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汽车后市场智能客服 Ontology 产品需求与架构设计</w:t>
      </w:r>
    </w:p>
    <w:p>
      <w:pPr>
        <w:spacing w:before="160" w:after="560" w:line="300" w:lineRule="auto"/>
        <w:jc w:val="center"/>
      </w:pPr>
      <w:r>
        <w:rPr>
          <w:rFonts w:ascii="Arial Unicode MS" w:hAnsi="Arial Unicode MS" w:eastAsia="Arial Unicode MS" w:cs="Arial Unicode MS"/>
          <w:b/>
          <w:color w:val="000000"/>
          <w:sz w:val="32"/>
        </w:rPr>
        <w:t>新项目立项评审版本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4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20"/>
              </w:rPr>
              <w:t>文档版本</w:t>
            </w:r>
          </w:p>
        </w:tc>
        <w:tc>
          <w:tcPr>
            <w:tcW w:type="dxa" w:w="73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20"/>
              </w:rPr>
              <w:t>V1.0</w:t>
            </w:r>
          </w:p>
        </w:tc>
      </w:tr>
      <w:tr>
        <w:tc>
          <w:tcPr>
            <w:tcW w:type="dxa" w:w="230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20"/>
              </w:rPr>
              <w:t>方案选择</w:t>
            </w:r>
          </w:p>
        </w:tc>
        <w:tc>
          <w:tcPr>
            <w:tcW w:type="dxa" w:w="73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20"/>
              </w:rPr>
              <w:t>方案B  Ontology驱动的业务能力平台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20"/>
              </w:rPr>
              <w:t>规划范围</w:t>
            </w:r>
          </w:p>
        </w:tc>
        <w:tc>
          <w:tcPr>
            <w:tcW w:type="dxa" w:w="73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20"/>
              </w:rPr>
              <w:t>20个二级意图  查询与Action  人工审核  全链路审计</w:t>
            </w:r>
          </w:p>
        </w:tc>
      </w:tr>
      <w:tr>
        <w:tc>
          <w:tcPr>
            <w:tcW w:type="dxa" w:w="230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20"/>
              </w:rPr>
              <w:t>计划周期</w:t>
            </w:r>
          </w:p>
        </w:tc>
        <w:tc>
          <w:tcPr>
            <w:tcW w:type="dxa" w:w="73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20"/>
              </w:rPr>
              <w:t>28周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20"/>
              </w:rPr>
              <w:t>预算区间</w:t>
            </w:r>
          </w:p>
        </w:tc>
        <w:tc>
          <w:tcPr>
            <w:tcW w:type="dxa" w:w="73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20"/>
              </w:rPr>
              <w:t>人民币440万元至690万元  不含可选私有化硬件</w:t>
            </w:r>
          </w:p>
        </w:tc>
      </w:tr>
      <w:tr>
        <w:tc>
          <w:tcPr>
            <w:tcW w:type="dxa" w:w="230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20"/>
              </w:rPr>
              <w:t>评审日期</w:t>
            </w:r>
          </w:p>
        </w:tc>
        <w:tc>
          <w:tcPr>
            <w:tcW w:type="dxa" w:w="73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20"/>
              </w:rPr>
              <w:t>2026年9月</w:t>
            </w:r>
          </w:p>
        </w:tc>
      </w:tr>
    </w:tbl>
    <w:p>
      <w:pPr>
        <w:spacing w:before="0" w:after="40" w:line="300" w:lineRule="auto"/>
      </w:pPr>
    </w:p>
    <w:p>
      <w:pPr>
        <w:keepLines w:val="0"/>
        <w:spacing w:before="0" w:after="0" w:line="300" w:lineRule="auto"/>
      </w:pPr>
      <w:r>
        <w:rPr>
          <w:rFonts w:ascii="Arial Unicode MS" w:hAnsi="Arial Unicode MS" w:eastAsia="Arial Unicode MS" w:cs="Arial Unicode MS"/>
        </w:rPr>
        <w:t>本文用于产品、业务、技术、安全和项目管理联合评审。评审需要确认范围、业务规则责任人、系统接口条件、人工审核边界、资源投入和预算。</w:t>
      </w:r>
    </w:p>
    <w:p>
      <w:r>
        <w:br w:type="page"/>
      </w:r>
    </w:p>
    <w:p>
      <w:pPr>
        <w:pStyle w:val="Heading1"/>
        <w:keepNext/>
      </w:pPr>
      <w:r>
        <w:t>文档结论</w:t>
      </w:r>
    </w:p>
    <w:p>
      <w:pPr>
        <w:keepLines w:val="0"/>
        <w:spacing w:before="0" w:after="120" w:line="300" w:lineRule="auto"/>
      </w:pPr>
      <w:r>
        <w:rPr>
          <w:rFonts w:ascii="Arial Unicode MS" w:hAnsi="Arial Unicode MS" w:eastAsia="Arial Unicode MS" w:cs="Arial Unicode MS"/>
        </w:rPr>
        <w:t>本项目采用方案B。Ontology负责统一业务对象、关系、能力、规则、权限和Action；意图识别小模型负责理解用户诉求；LangGraph负责编排运行步骤；RAG提供非结构化知识；现有业务系统继续保存订单、库存、会员、预约和理赔等事实。</w:t>
      </w:r>
    </w:p>
    <w:p>
      <w:pPr>
        <w:keepLines w:val="0"/>
        <w:spacing w:before="0" w:after="120" w:line="300" w:lineRule="auto"/>
      </w:pPr>
      <w:r>
        <w:rPr>
          <w:rFonts w:ascii="Arial Unicode MS" w:hAnsi="Arial Unicode MS" w:eastAsia="Arial Unicode MS" w:cs="Arial Unicode MS"/>
        </w:rPr>
        <w:t>一期按生产试点设计，覆盖图中20个二级意图，并优先上线5个代表性场景。项目计划周期为28周，预计供应侧投入约72至86人月，客户侧另需业务和IT骨干持续参与。预算基线为人民币440万元至690万元；如果要求模型、向量库和全部中间件私有化部署，还需增加硬件和软件许可预算。</w:t>
      </w:r>
    </w:p>
    <w:p>
      <w:pPr>
        <w:pStyle w:val="Heading1"/>
        <w:keepNext/>
      </w:pPr>
      <w:r>
        <w:t>目录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1 项目背景与决策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2 产品价值与项目目标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3 产品范围与用户角色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4 业务场景与需求优先级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5 产品总体架构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6 Ontology本体设计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7 运行流程与决策闭环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8 各端产品需求与原型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9 功能模块需求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10 数据 RAG 与系统集成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11 安全权限风险与审计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12 非功能需求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13 迭代与发布机制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14 项目计划与里程碑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15 团队与资源投入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16 费用估算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17 验收标准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18 项目风险与待决策事项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附录A 核心配置示例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附录B 术语表</w:t>
      </w:r>
    </w:p>
    <w:p>
      <w:r>
        <w:br w:type="page"/>
      </w:r>
    </w:p>
    <w:p>
      <w:pPr>
        <w:pStyle w:val="Heading1"/>
        <w:keepNext/>
      </w:pPr>
      <w:r>
        <w:t>1 项目背景与决策</w:t>
      </w:r>
    </w:p>
    <w:p>
      <w:pPr>
        <w:pStyle w:val="Heading2"/>
        <w:keepNext/>
      </w:pPr>
      <w:r>
        <w:t>1.1 业务背景</w:t>
      </w:r>
    </w:p>
    <w:p>
      <w:pPr>
        <w:keepLines w:val="0"/>
        <w:spacing w:before="0" w:after="120" w:line="300" w:lineRule="auto"/>
      </w:pPr>
      <w:r>
        <w:rPr>
          <w:rFonts w:ascii="Arial Unicode MS" w:hAnsi="Arial Unicode MS" w:eastAsia="Arial Unicode MS" w:cs="Arial Unicode MS"/>
        </w:rPr>
        <w:t>汽车后市场客服同时处理商品咨询、原厂保障、订单服务、门店服务、账户会员、会话控制和维修保养报价。用户问题表面上是对话，实际会访问客户、车辆、商品、订单、库存、门店、预约、质保和售后系统。部分请求只需回答知识，部分请求会改变订单或服务状态。</w:t>
      </w:r>
    </w:p>
    <w:p>
      <w:pPr>
        <w:keepLines w:val="0"/>
        <w:spacing w:before="0" w:after="120" w:line="300" w:lineRule="auto"/>
      </w:pPr>
      <w:r>
        <w:rPr>
          <w:rFonts w:ascii="Arial Unicode MS" w:hAnsi="Arial Unicode MS" w:eastAsia="Arial Unicode MS" w:cs="Arial Unicode MS"/>
        </w:rPr>
        <w:t>现有意图驱动方案可以快速上线，但每个意图容易形成独立LangGraph分支、Method、Prompt和知识库路由。业务规模扩大后，相同的客户查询、订单校验、权限判断和转人工逻辑会在多个流程重复。规则更新需要修改代码，运行证据分散在节点日志中。</w:t>
      </w:r>
    </w:p>
    <w:p>
      <w:pPr>
        <w:pStyle w:val="Heading2"/>
        <w:keepNext/>
      </w:pPr>
      <w:r>
        <w:t>1.2 方案决策</w:t>
      </w:r>
    </w:p>
    <w:p>
      <w:pPr>
        <w:keepLines w:val="0"/>
        <w:spacing w:before="0" w:after="120" w:line="300" w:lineRule="auto"/>
      </w:pPr>
      <w:r>
        <w:rPr>
          <w:rFonts w:ascii="Arial Unicode MS" w:hAnsi="Arial Unicode MS" w:eastAsia="Arial Unicode MS" w:cs="Arial Unicode MS"/>
        </w:rPr>
        <w:t>项目选择Ontology驱动的业务能力平台。系统先把用户诉求映射到标准业务对象和Capability，再由规则、Function和Action完成查询或执行。LangGraph继续作为运行编排器，不承担业务语义和权限的唯一来源。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032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672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不承担的职责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意图识别小模型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输出一级意图、二级意图、置信度和候选意图</w:t>
            </w:r>
          </w:p>
        </w:tc>
        <w:tc>
          <w:tcPr>
            <w:tcW w:type="dxa" w:w="367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不直接操作订单、库存或预约</w:t>
            </w:r>
          </w:p>
        </w:tc>
      </w:tr>
      <w:tr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Ontology</w:t>
            </w:r>
          </w:p>
        </w:tc>
        <w:tc>
          <w:tcPr>
            <w:tcW w:type="dxa" w:w="40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定义对象、关系、能力、规则、Action、权限和审计对象</w:t>
            </w:r>
          </w:p>
        </w:tc>
        <w:tc>
          <w:tcPr>
            <w:tcW w:type="dxa" w:w="367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不替代自然语言理解模型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LangGraph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控制节点顺序、分支、等待、恢复和异常处理</w:t>
            </w:r>
          </w:p>
        </w:tc>
        <w:tc>
          <w:tcPr>
            <w:tcW w:type="dxa" w:w="367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不保存唯一业务规则</w:t>
            </w:r>
          </w:p>
        </w:tc>
      </w:tr>
      <w:tr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RAG</w:t>
            </w:r>
          </w:p>
        </w:tc>
        <w:tc>
          <w:tcPr>
            <w:tcW w:type="dxa" w:w="40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检索产品说明、质保条款、维修保养知识</w:t>
            </w:r>
          </w:p>
        </w:tc>
        <w:tc>
          <w:tcPr>
            <w:tcW w:type="dxa" w:w="367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不提供实时库存、价格和订单状态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Function与Action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查询业务事实或改变业务状态</w:t>
            </w:r>
          </w:p>
        </w:tc>
        <w:tc>
          <w:tcPr>
            <w:tcW w:type="dxa" w:w="367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不自行生成未经证据支持的回答</w:t>
            </w:r>
          </w:p>
        </w:tc>
      </w:tr>
      <w:tr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大模型</w:t>
            </w:r>
          </w:p>
        </w:tc>
        <w:tc>
          <w:tcPr>
            <w:tcW w:type="dxa" w:w="40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参数抽取、证据归纳、解释和语言生成</w:t>
            </w:r>
          </w:p>
        </w:tc>
        <w:tc>
          <w:tcPr>
            <w:tcW w:type="dxa" w:w="367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不绕过权限和Action前置条件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1.3 产品原则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真实业务事实以源系统为准。本体通过虚拟映射、索引或缓存提供统一对象视图。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读操作使用Function，改变状态的操作必须定义为Action。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意图风险只是基础风险，最终风险还要考虑数据敏感度、Action、业务状态和模型置信度。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大模型可以生成建议和解释，关键资格、金额、权限和执行条件由确定性规则校验。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每次运行记录输入、对象版本、规则版本、证据、人工修改和Action结果。</w:t>
      </w:r>
    </w:p>
    <w:p>
      <w:pPr>
        <w:pStyle w:val="Heading1"/>
        <w:keepNext/>
      </w:pPr>
      <w:r>
        <w:t>2 产品价值与项目目标</w:t>
      </w:r>
    </w:p>
    <w:p>
      <w:pPr>
        <w:pStyle w:val="Heading2"/>
        <w:keepNext/>
      </w:pPr>
      <w:r>
        <w:t>2.1 产品价值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价值对象</w:t>
            </w:r>
          </w:p>
        </w:tc>
        <w:tc>
          <w:tcPr>
            <w:tcW w:type="dxa" w:w="381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当前问题</w:t>
            </w:r>
          </w:p>
        </w:tc>
        <w:tc>
          <w:tcPr>
            <w:tcW w:type="dxa" w:w="417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目标变化</w:t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客户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需要在多个入口查询商品、订单、门店和售后</w:t>
            </w:r>
          </w:p>
        </w:tc>
        <w:tc>
          <w:tcPr>
            <w:tcW w:type="dxa" w:w="41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一个对话入口完成咨询、查询、申请和进度跟踪</w:t>
            </w:r>
          </w:p>
        </w:tc>
      </w:tr>
      <w:tr>
        <w:tc>
          <w:tcPr>
            <w:tcW w:type="dxa" w:w="165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客服坐席</w:t>
            </w:r>
          </w:p>
        </w:tc>
        <w:tc>
          <w:tcPr>
            <w:tcW w:type="dxa" w:w="381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重复查询多个系统，人工整理上下文</w:t>
            </w:r>
          </w:p>
        </w:tc>
        <w:tc>
          <w:tcPr>
            <w:tcW w:type="dxa" w:w="417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收到结构化客户、车辆、订单、证据和建议</w:t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业务团队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规则散落在代码和Prompt中</w:t>
            </w:r>
          </w:p>
        </w:tc>
        <w:tc>
          <w:tcPr>
            <w:tcW w:type="dxa" w:w="41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规则版本化管理并记录命中依据</w:t>
            </w:r>
          </w:p>
        </w:tc>
      </w:tr>
      <w:tr>
        <w:tc>
          <w:tcPr>
            <w:tcW w:type="dxa" w:w="165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技术团队</w:t>
            </w:r>
          </w:p>
        </w:tc>
        <w:tc>
          <w:tcPr>
            <w:tcW w:type="dxa" w:w="381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每个意图单独开发流程</w:t>
            </w:r>
          </w:p>
        </w:tc>
        <w:tc>
          <w:tcPr>
            <w:tcW w:type="dxa" w:w="417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复用对象、Function、Action和公共LangGraph</w:t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管理与合规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难以还原AI为何回答或执行</w:t>
            </w:r>
          </w:p>
        </w:tc>
        <w:tc>
          <w:tcPr>
            <w:tcW w:type="dxa" w:w="41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通过DecisionRecord和ActionExecution追踪全过程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2.2 项目目标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覆盖20个二级意图，其中知识问答、个人数据查询、业务Action和人工转接均具备标准处理链路。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建立12至18个核心业务Object Type、不少于15个Capability、20至30个Function以及8至12个Action。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形成一张公共LangGraph和不超过5张特殊子图，减少按意图复制流程。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让新增相似意图至少复用60%的对象、Function、Action和知识映射。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对写操作实现100%的身份校验、前置条件、用户确认或人工审批，以及完整审计。</w:t>
      </w:r>
    </w:p>
    <w:p>
      <w:pPr>
        <w:pStyle w:val="Heading2"/>
        <w:keepNext/>
      </w:pPr>
      <w:r>
        <w:t>2.3 建议KPI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16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16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试点目标</w:t>
            </w:r>
          </w:p>
        </w:tc>
        <w:tc>
          <w:tcPr>
            <w:tcW w:type="dxa" w:w="2232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正式运营目标</w:t>
            </w:r>
          </w:p>
        </w:tc>
        <w:tc>
          <w:tcPr>
            <w:tcW w:type="dxa" w:w="309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测量方式</w:t>
            </w:r>
          </w:p>
        </w:tc>
      </w:tr>
      <w:t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一级意图准确率</w:t>
            </w:r>
          </w:p>
        </w:tc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不低于95%</w:t>
            </w:r>
          </w:p>
        </w:tc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不低于97%</w:t>
            </w:r>
          </w:p>
        </w:tc>
        <w:tc>
          <w:tcPr>
            <w:tcW w:type="dxa" w:w="30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标注测试集和线上抽样</w:t>
            </w:r>
          </w:p>
        </w:tc>
      </w:tr>
      <w:tr>
        <w:tc>
          <w:tcPr>
            <w:tcW w:type="dxa" w:w="216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二级意图准确率</w:t>
            </w:r>
          </w:p>
        </w:tc>
        <w:tc>
          <w:tcPr>
            <w:tcW w:type="dxa" w:w="216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不低于88%</w:t>
            </w:r>
          </w:p>
        </w:tc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不低于92%</w:t>
            </w:r>
          </w:p>
        </w:tc>
        <w:tc>
          <w:tcPr>
            <w:tcW w:type="dxa" w:w="309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分意图混淆矩阵</w:t>
            </w:r>
          </w:p>
        </w:tc>
      </w:tr>
      <w:t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自动解决率</w:t>
            </w:r>
          </w:p>
        </w:tc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不低于45%</w:t>
            </w:r>
          </w:p>
        </w:tc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不低于60%</w:t>
            </w:r>
          </w:p>
        </w:tc>
        <w:tc>
          <w:tcPr>
            <w:tcW w:type="dxa" w:w="30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无人工介入且用户未重复咨询</w:t>
            </w:r>
          </w:p>
        </w:tc>
      </w:tr>
      <w:tr>
        <w:tc>
          <w:tcPr>
            <w:tcW w:type="dxa" w:w="216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高风险错误执行</w:t>
            </w:r>
          </w:p>
        </w:tc>
        <w:tc>
          <w:tcPr>
            <w:tcW w:type="dxa" w:w="216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0</w:t>
            </w:r>
          </w:p>
        </w:tc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0</w:t>
            </w:r>
          </w:p>
        </w:tc>
        <w:tc>
          <w:tcPr>
            <w:tcW w:type="dxa" w:w="309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Action审计记录</w:t>
            </w:r>
          </w:p>
        </w:tc>
      </w:tr>
      <w:t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Action成功率</w:t>
            </w:r>
          </w:p>
        </w:tc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不低于95%</w:t>
            </w:r>
          </w:p>
        </w:tc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不低于99%</w:t>
            </w:r>
          </w:p>
        </w:tc>
        <w:tc>
          <w:tcPr>
            <w:tcW w:type="dxa" w:w="30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排除业务规则拒绝</w:t>
            </w:r>
          </w:p>
        </w:tc>
      </w:tr>
      <w:tr>
        <w:tc>
          <w:tcPr>
            <w:tcW w:type="dxa" w:w="216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回答证据覆盖率</w:t>
            </w:r>
          </w:p>
        </w:tc>
        <w:tc>
          <w:tcPr>
            <w:tcW w:type="dxa" w:w="216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不低于90%</w:t>
            </w:r>
          </w:p>
        </w:tc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不低于95%</w:t>
            </w:r>
          </w:p>
        </w:tc>
        <w:tc>
          <w:tcPr>
            <w:tcW w:type="dxa" w:w="309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需证据场景的引用记录</w:t>
            </w:r>
          </w:p>
        </w:tc>
      </w:tr>
      <w:t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P95响应时间</w:t>
            </w:r>
          </w:p>
        </w:tc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问答小于8秒</w:t>
            </w:r>
          </w:p>
        </w:tc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问答小于5秒</w:t>
            </w:r>
          </w:p>
        </w:tc>
        <w:tc>
          <w:tcPr>
            <w:tcW w:type="dxa" w:w="30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端到端监控</w:t>
            </w:r>
          </w:p>
        </w:tc>
      </w:tr>
      <w:tr>
        <w:tc>
          <w:tcPr>
            <w:tcW w:type="dxa" w:w="216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新增意图交付周期</w:t>
            </w:r>
          </w:p>
        </w:tc>
        <w:tc>
          <w:tcPr>
            <w:tcW w:type="dxa" w:w="216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小于10个工作日</w:t>
            </w:r>
          </w:p>
        </w:tc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小于5个工作日</w:t>
            </w:r>
          </w:p>
        </w:tc>
        <w:tc>
          <w:tcPr>
            <w:tcW w:type="dxa" w:w="309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需求进入到灰度发布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</w:pPr>
      <w:r>
        <w:t>3 产品范围与用户角色</w:t>
      </w:r>
    </w:p>
    <w:p>
      <w:pPr>
        <w:pStyle w:val="Heading2"/>
        <w:keepNext/>
      </w:pPr>
      <w:r>
        <w:t>3.1 范围内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客户聊天端及结构化交互组件。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意图识别、实体抽取、对象解析和能力路由。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商品、质保、订单、门店、会员、会话控制和维修保养场景。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Ontology对象、关系、规则、Function、Action和运行实例。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知识域建设、Ontology过滤检索、证据和版本管理。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人工坐席与审核工作台。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配置发布、回归测试、运营监控和全链路审计。</w:t>
      </w:r>
    </w:p>
    <w:p>
      <w:pPr>
        <w:pStyle w:val="Heading2"/>
        <w:keepNext/>
      </w:pPr>
      <w:r>
        <w:t>3.2 范围外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替换现有订单、库存、门店、会员、预约、质保和财务系统。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让大模型直接决定赔付金额、退款或其他高风险不可逆操作。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一期建设覆盖企业全部业务的通用Ontology平台。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一期训练通用大模型或建设自有基础模型。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未获得业务授权时自动调用外部系统执行写操作。</w:t>
      </w:r>
    </w:p>
    <w:p>
      <w:pPr>
        <w:pStyle w:val="Heading2"/>
        <w:keepNext/>
      </w:pPr>
      <w:r>
        <w:t>3.3 用户角色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32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核心需求</w:t>
            </w:r>
          </w:p>
        </w:tc>
        <w:tc>
          <w:tcPr>
            <w:tcW w:type="dxa" w:w="352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主要权限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匿名客户</w:t>
            </w:r>
          </w:p>
        </w:tc>
        <w:tc>
          <w:tcPr>
            <w:tcW w:type="dxa" w:w="43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公开商品和门店咨询</w:t>
            </w:r>
          </w:p>
        </w:tc>
        <w:tc>
          <w:tcPr>
            <w:tcW w:type="dxa" w:w="35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公开知识与有限查询</w:t>
            </w:r>
          </w:p>
        </w:tc>
      </w:tr>
      <w:tr>
        <w:tc>
          <w:tcPr>
            <w:tcW w:type="dxa" w:w="180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登录客户</w:t>
            </w:r>
          </w:p>
        </w:tc>
        <w:tc>
          <w:tcPr>
            <w:tcW w:type="dxa" w:w="432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查询本人车辆、订单、会员、预约和售后</w:t>
            </w:r>
          </w:p>
        </w:tc>
        <w:tc>
          <w:tcPr>
            <w:tcW w:type="dxa" w:w="35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本人对象读取和受控Action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客服坐席</w:t>
            </w:r>
          </w:p>
        </w:tc>
        <w:tc>
          <w:tcPr>
            <w:tcW w:type="dxa" w:w="43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查看上下文、接管会话、处理普通工单</w:t>
            </w:r>
          </w:p>
        </w:tc>
        <w:tc>
          <w:tcPr>
            <w:tcW w:type="dxa" w:w="35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授权范围内读取和操作</w:t>
            </w:r>
          </w:p>
        </w:tc>
      </w:tr>
      <w:tr>
        <w:tc>
          <w:tcPr>
            <w:tcW w:type="dxa" w:w="180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业务审核人</w:t>
            </w:r>
          </w:p>
        </w:tc>
        <w:tc>
          <w:tcPr>
            <w:tcW w:type="dxa" w:w="432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审批理赔、投诉、异常报价</w:t>
            </w:r>
          </w:p>
        </w:tc>
        <w:tc>
          <w:tcPr>
            <w:tcW w:type="dxa" w:w="35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高风险Action审批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知识运营</w:t>
            </w:r>
          </w:p>
        </w:tc>
        <w:tc>
          <w:tcPr>
            <w:tcW w:type="dxa" w:w="43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维护文档、标签、版本和有效期</w:t>
            </w:r>
          </w:p>
        </w:tc>
        <w:tc>
          <w:tcPr>
            <w:tcW w:type="dxa" w:w="35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KnowledgeDocument管理</w:t>
            </w:r>
          </w:p>
        </w:tc>
      </w:tr>
      <w:tr>
        <w:tc>
          <w:tcPr>
            <w:tcW w:type="dxa" w:w="180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业务规则管理员</w:t>
            </w:r>
          </w:p>
        </w:tc>
        <w:tc>
          <w:tcPr>
            <w:tcW w:type="dxa" w:w="432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维护业务和风险规则</w:t>
            </w:r>
          </w:p>
        </w:tc>
        <w:tc>
          <w:tcPr>
            <w:tcW w:type="dxa" w:w="35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规则草稿与送审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平台管理员</w:t>
            </w:r>
          </w:p>
        </w:tc>
        <w:tc>
          <w:tcPr>
            <w:tcW w:type="dxa" w:w="43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管理对象、能力、连接器和发布</w:t>
            </w:r>
          </w:p>
        </w:tc>
        <w:tc>
          <w:tcPr>
            <w:tcW w:type="dxa" w:w="35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平台配置及发布</w:t>
            </w:r>
          </w:p>
        </w:tc>
      </w:tr>
      <w:tr>
        <w:tc>
          <w:tcPr>
            <w:tcW w:type="dxa" w:w="180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审计人员</w:t>
            </w:r>
          </w:p>
        </w:tc>
        <w:tc>
          <w:tcPr>
            <w:tcW w:type="dxa" w:w="432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查询运行证据和操作记录</w:t>
            </w:r>
          </w:p>
        </w:tc>
        <w:tc>
          <w:tcPr>
            <w:tcW w:type="dxa" w:w="35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只读审计视图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</w:pPr>
      <w:r>
        <w:t>4 业务场景与需求优先级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一级意图</w:t>
            </w:r>
          </w:p>
        </w:tc>
        <w:tc>
          <w:tcPr>
            <w:tcW w:type="dxa" w:w="2232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二级意图</w:t>
            </w:r>
          </w:p>
        </w:tc>
        <w:tc>
          <w:tcPr>
            <w:tcW w:type="dxa" w:w="345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22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基础风险</w:t>
            </w:r>
          </w:p>
        </w:tc>
        <w:tc>
          <w:tcPr>
            <w:tcW w:type="dxa" w:w="100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商品咨询</w:t>
            </w:r>
          </w:p>
        </w:tc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原装轮胎型号</w:t>
            </w:r>
          </w:p>
        </w:tc>
        <w:tc>
          <w:tcPr>
            <w:tcW w:type="dxa" w:w="34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GetOEMTireSpec</w:t>
            </w:r>
          </w:p>
        </w:tc>
        <w:tc>
          <w:tcPr>
            <w:tcW w:type="dxa" w:w="12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L1</w:t>
            </w:r>
          </w:p>
        </w:tc>
        <w:tc>
          <w:tcPr>
            <w:tcW w:type="dxa" w:w="10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P0</w:t>
            </w:r>
          </w:p>
        </w:tc>
      </w:tr>
      <w:tr>
        <w:tc>
          <w:tcPr>
            <w:tcW w:type="dxa" w:w="17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商品咨询</w:t>
            </w:r>
          </w:p>
        </w:tc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换胎咨询与选型</w:t>
            </w:r>
          </w:p>
        </w:tc>
        <w:tc>
          <w:tcPr>
            <w:tcW w:type="dxa" w:w="345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>RecommendReplacementTire</w:t>
            </w:r>
          </w:p>
        </w:tc>
        <w:tc>
          <w:tcPr>
            <w:tcW w:type="dxa" w:w="12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L1</w:t>
            </w:r>
          </w:p>
        </w:tc>
        <w:tc>
          <w:tcPr>
            <w:tcW w:type="dxa" w:w="100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商品咨询</w:t>
            </w:r>
          </w:p>
        </w:tc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价格优惠活动</w:t>
            </w:r>
          </w:p>
        </w:tc>
        <w:tc>
          <w:tcPr>
            <w:tcW w:type="dxa" w:w="34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>GetPriceAndPromotion</w:t>
            </w:r>
          </w:p>
        </w:tc>
        <w:tc>
          <w:tcPr>
            <w:tcW w:type="dxa" w:w="12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L1/L2</w:t>
            </w:r>
          </w:p>
        </w:tc>
        <w:tc>
          <w:tcPr>
            <w:tcW w:type="dxa" w:w="10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P1</w:t>
            </w:r>
          </w:p>
        </w:tc>
      </w:tr>
      <w:tr>
        <w:tc>
          <w:tcPr>
            <w:tcW w:type="dxa" w:w="17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商品咨询</w:t>
            </w:r>
          </w:p>
        </w:tc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门店库存查询</w:t>
            </w:r>
          </w:p>
        </w:tc>
        <w:tc>
          <w:tcPr>
            <w:tcW w:type="dxa" w:w="345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>CheckNearbyInventory</w:t>
            </w:r>
          </w:p>
        </w:tc>
        <w:tc>
          <w:tcPr>
            <w:tcW w:type="dxa" w:w="12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L2</w:t>
            </w:r>
          </w:p>
        </w:tc>
        <w:tc>
          <w:tcPr>
            <w:tcW w:type="dxa" w:w="100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原厂保障</w:t>
            </w:r>
          </w:p>
        </w:tc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质保内容咨询</w:t>
            </w:r>
          </w:p>
        </w:tc>
        <w:tc>
          <w:tcPr>
            <w:tcW w:type="dxa" w:w="34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ExplainWarranty</w:t>
            </w:r>
          </w:p>
        </w:tc>
        <w:tc>
          <w:tcPr>
            <w:tcW w:type="dxa" w:w="12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L1</w:t>
            </w:r>
          </w:p>
        </w:tc>
        <w:tc>
          <w:tcPr>
            <w:tcW w:type="dxa" w:w="10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P1</w:t>
            </w:r>
          </w:p>
        </w:tc>
      </w:tr>
      <w:tr>
        <w:tc>
          <w:tcPr>
            <w:tcW w:type="dxa" w:w="17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原厂保障</w:t>
            </w:r>
          </w:p>
        </w:tc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理赔或更换申请</w:t>
            </w:r>
          </w:p>
        </w:tc>
        <w:tc>
          <w:tcPr>
            <w:tcW w:type="dxa" w:w="345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>SubmitWarrantyClaim</w:t>
            </w:r>
          </w:p>
        </w:tc>
        <w:tc>
          <w:tcPr>
            <w:tcW w:type="dxa" w:w="12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L4</w:t>
            </w:r>
          </w:p>
        </w:tc>
        <w:tc>
          <w:tcPr>
            <w:tcW w:type="dxa" w:w="100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原厂保障</w:t>
            </w:r>
          </w:p>
        </w:tc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理赔进度查询</w:t>
            </w:r>
          </w:p>
        </w:tc>
        <w:tc>
          <w:tcPr>
            <w:tcW w:type="dxa" w:w="34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GetClaimStatus</w:t>
            </w:r>
          </w:p>
        </w:tc>
        <w:tc>
          <w:tcPr>
            <w:tcW w:type="dxa" w:w="12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L2</w:t>
            </w:r>
          </w:p>
        </w:tc>
        <w:tc>
          <w:tcPr>
            <w:tcW w:type="dxa" w:w="10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P1</w:t>
            </w:r>
          </w:p>
        </w:tc>
      </w:tr>
      <w:tr>
        <w:tc>
          <w:tcPr>
            <w:tcW w:type="dxa" w:w="17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原厂保障</w:t>
            </w:r>
          </w:p>
        </w:tc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售后进度查询</w:t>
            </w:r>
          </w:p>
        </w:tc>
        <w:tc>
          <w:tcPr>
            <w:tcW w:type="dxa" w:w="345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>GetAfterSalesStatus</w:t>
            </w:r>
          </w:p>
        </w:tc>
        <w:tc>
          <w:tcPr>
            <w:tcW w:type="dxa" w:w="12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L2</w:t>
            </w:r>
          </w:p>
        </w:tc>
        <w:tc>
          <w:tcPr>
            <w:tcW w:type="dxa" w:w="100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订单服务</w:t>
            </w:r>
          </w:p>
        </w:tc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订单查询</w:t>
            </w:r>
          </w:p>
        </w:tc>
        <w:tc>
          <w:tcPr>
            <w:tcW w:type="dxa" w:w="34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GetCustomerOrder</w:t>
            </w:r>
          </w:p>
        </w:tc>
        <w:tc>
          <w:tcPr>
            <w:tcW w:type="dxa" w:w="12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L2</w:t>
            </w:r>
          </w:p>
        </w:tc>
        <w:tc>
          <w:tcPr>
            <w:tcW w:type="dxa" w:w="10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P1</w:t>
            </w:r>
          </w:p>
        </w:tc>
      </w:tr>
      <w:tr>
        <w:tc>
          <w:tcPr>
            <w:tcW w:type="dxa" w:w="17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订单服务</w:t>
            </w:r>
          </w:p>
        </w:tc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预约门店服务</w:t>
            </w:r>
          </w:p>
        </w:tc>
        <w:tc>
          <w:tcPr>
            <w:tcW w:type="dxa" w:w="345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BookStoreService</w:t>
            </w:r>
          </w:p>
        </w:tc>
        <w:tc>
          <w:tcPr>
            <w:tcW w:type="dxa" w:w="12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L3</w:t>
            </w:r>
          </w:p>
        </w:tc>
        <w:tc>
          <w:tcPr>
            <w:tcW w:type="dxa" w:w="100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订单服务</w:t>
            </w:r>
          </w:p>
        </w:tc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修改或取消预约</w:t>
            </w:r>
          </w:p>
        </w:tc>
        <w:tc>
          <w:tcPr>
            <w:tcW w:type="dxa" w:w="34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ManageAppointment</w:t>
            </w:r>
          </w:p>
        </w:tc>
        <w:tc>
          <w:tcPr>
            <w:tcW w:type="dxa" w:w="12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L3</w:t>
            </w:r>
          </w:p>
        </w:tc>
        <w:tc>
          <w:tcPr>
            <w:tcW w:type="dxa" w:w="10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P0</w:t>
            </w:r>
          </w:p>
        </w:tc>
      </w:tr>
      <w:tr>
        <w:tc>
          <w:tcPr>
            <w:tcW w:type="dxa" w:w="17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门店服务</w:t>
            </w:r>
          </w:p>
        </w:tc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门店咨询</w:t>
            </w:r>
          </w:p>
        </w:tc>
        <w:tc>
          <w:tcPr>
            <w:tcW w:type="dxa" w:w="345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FindStore</w:t>
            </w:r>
          </w:p>
        </w:tc>
        <w:tc>
          <w:tcPr>
            <w:tcW w:type="dxa" w:w="12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L1</w:t>
            </w:r>
          </w:p>
        </w:tc>
        <w:tc>
          <w:tcPr>
            <w:tcW w:type="dxa" w:w="100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门店服务</w:t>
            </w:r>
          </w:p>
        </w:tc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门店服务投诉</w:t>
            </w:r>
          </w:p>
        </w:tc>
        <w:tc>
          <w:tcPr>
            <w:tcW w:type="dxa" w:w="34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>CreateStoreComplaint</w:t>
            </w:r>
          </w:p>
        </w:tc>
        <w:tc>
          <w:tcPr>
            <w:tcW w:type="dxa" w:w="12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L4</w:t>
            </w:r>
          </w:p>
        </w:tc>
        <w:tc>
          <w:tcPr>
            <w:tcW w:type="dxa" w:w="10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P1</w:t>
            </w:r>
          </w:p>
        </w:tc>
      </w:tr>
      <w:tr>
        <w:tc>
          <w:tcPr>
            <w:tcW w:type="dxa" w:w="17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账户会员</w:t>
            </w:r>
          </w:p>
        </w:tc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会员权益与积分</w:t>
            </w:r>
          </w:p>
        </w:tc>
        <w:tc>
          <w:tcPr>
            <w:tcW w:type="dxa" w:w="345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GetMemberBenefits</w:t>
            </w:r>
          </w:p>
        </w:tc>
        <w:tc>
          <w:tcPr>
            <w:tcW w:type="dxa" w:w="12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L2</w:t>
            </w:r>
          </w:p>
        </w:tc>
        <w:tc>
          <w:tcPr>
            <w:tcW w:type="dxa" w:w="100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账户会员</w:t>
            </w:r>
          </w:p>
        </w:tc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账户问题反馈</w:t>
            </w:r>
          </w:p>
        </w:tc>
        <w:tc>
          <w:tcPr>
            <w:tcW w:type="dxa" w:w="34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>CreateAccountIssue</w:t>
            </w:r>
          </w:p>
        </w:tc>
        <w:tc>
          <w:tcPr>
            <w:tcW w:type="dxa" w:w="12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L3</w:t>
            </w:r>
          </w:p>
        </w:tc>
        <w:tc>
          <w:tcPr>
            <w:tcW w:type="dxa" w:w="10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P1</w:t>
            </w:r>
          </w:p>
        </w:tc>
      </w:tr>
      <w:tr>
        <w:tc>
          <w:tcPr>
            <w:tcW w:type="dxa" w:w="17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会话控制</w:t>
            </w:r>
          </w:p>
        </w:tc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转人工</w:t>
            </w:r>
          </w:p>
        </w:tc>
        <w:tc>
          <w:tcPr>
            <w:tcW w:type="dxa" w:w="345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EscalateToHuman</w:t>
            </w:r>
          </w:p>
        </w:tc>
        <w:tc>
          <w:tcPr>
            <w:tcW w:type="dxa" w:w="12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L2</w:t>
            </w:r>
          </w:p>
        </w:tc>
        <w:tc>
          <w:tcPr>
            <w:tcW w:type="dxa" w:w="100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会话控制</w:t>
            </w:r>
          </w:p>
        </w:tc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闲聊或无效输入</w:t>
            </w:r>
          </w:p>
        </w:tc>
        <w:tc>
          <w:tcPr>
            <w:tcW w:type="dxa" w:w="34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HandleSmallTalk</w:t>
            </w:r>
          </w:p>
        </w:tc>
        <w:tc>
          <w:tcPr>
            <w:tcW w:type="dxa" w:w="12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L1</w:t>
            </w:r>
          </w:p>
        </w:tc>
        <w:tc>
          <w:tcPr>
            <w:tcW w:type="dxa" w:w="10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P1</w:t>
            </w:r>
          </w:p>
        </w:tc>
      </w:tr>
      <w:tr>
        <w:tc>
          <w:tcPr>
            <w:tcW w:type="dxa" w:w="17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会话控制</w:t>
            </w:r>
          </w:p>
        </w:tc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情绪吐槽</w:t>
            </w:r>
          </w:p>
        </w:tc>
        <w:tc>
          <w:tcPr>
            <w:tcW w:type="dxa" w:w="345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>DetectEmotionAndCare</w:t>
            </w:r>
          </w:p>
        </w:tc>
        <w:tc>
          <w:tcPr>
            <w:tcW w:type="dxa" w:w="12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L2/L3</w:t>
            </w:r>
          </w:p>
        </w:tc>
        <w:tc>
          <w:tcPr>
            <w:tcW w:type="dxa" w:w="100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维修保养</w:t>
            </w:r>
          </w:p>
        </w:tc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维修报价</w:t>
            </w:r>
          </w:p>
        </w:tc>
        <w:tc>
          <w:tcPr>
            <w:tcW w:type="dxa" w:w="34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>GenerateRepairQuote</w:t>
            </w:r>
          </w:p>
        </w:tc>
        <w:tc>
          <w:tcPr>
            <w:tcW w:type="dxa" w:w="12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L3/L4</w:t>
            </w:r>
          </w:p>
        </w:tc>
        <w:tc>
          <w:tcPr>
            <w:tcW w:type="dxa" w:w="10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P1</w:t>
            </w:r>
          </w:p>
        </w:tc>
      </w:tr>
      <w:tr>
        <w:tc>
          <w:tcPr>
            <w:tcW w:type="dxa" w:w="17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维修保养</w:t>
            </w:r>
          </w:p>
        </w:tc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保养报价</w:t>
            </w:r>
          </w:p>
        </w:tc>
        <w:tc>
          <w:tcPr>
            <w:tcW w:type="dxa" w:w="345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>GenerateMaintenanceQuote</w:t>
            </w:r>
          </w:p>
        </w:tc>
        <w:tc>
          <w:tcPr>
            <w:tcW w:type="dxa" w:w="12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L3</w:t>
            </w:r>
          </w:p>
        </w:tc>
        <w:tc>
          <w:tcPr>
            <w:tcW w:type="dxa" w:w="100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P1</w:t>
            </w:r>
          </w:p>
        </w:tc>
      </w:tr>
    </w:tbl>
    <w:p>
      <w:pPr>
        <w:spacing w:before="0" w:after="40" w:line="300" w:lineRule="auto"/>
      </w:pPr>
    </w:p>
    <w:p>
      <w:pPr>
        <w:keepLines w:val="0"/>
        <w:spacing w:before="0" w:after="120" w:line="300" w:lineRule="auto"/>
      </w:pPr>
      <w:r>
        <w:rPr>
          <w:rFonts w:ascii="Arial Unicode MS" w:hAnsi="Arial Unicode MS" w:eastAsia="Arial Unicode MS" w:cs="Arial Unicode MS"/>
        </w:rPr>
        <w:t>P0用于验证对象解析、规则、RAG、实时查询、写Action、高风险人工审批和转人工六类核心能力。P1在P0稳定后复用同一套运行时扩展。</w:t>
      </w:r>
    </w:p>
    <w:p>
      <w:pPr>
        <w:pStyle w:val="Heading1"/>
        <w:keepNext/>
      </w:pPr>
      <w:r>
        <w:t>5 产品总体架构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4216998"/>
            <wp:docPr id="1" name="Picture 1" descr="图1  汽车后市场智能客服总体架构" title="图1  汽车后市场智能客服总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16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Arial Unicode MS" w:hAnsi="Arial Unicode MS" w:eastAsia="Arial Unicode MS" w:cs="Arial Unicode MS"/>
          <w:color w:val="666666"/>
          <w:sz w:val="18"/>
        </w:rPr>
        <w:t>图1  汽车后市场智能客服总体架构</w:t>
      </w:r>
    </w:p>
    <w:p>
      <w:pPr>
        <w:pStyle w:val="Heading2"/>
        <w:keepNext/>
      </w:pPr>
      <w:r>
        <w:t>5.1 架构说明</w:t>
      </w:r>
    </w:p>
    <w:p>
      <w:pPr>
        <w:spacing w:before="0" w:after="80" w:line="300" w:lineRule="auto"/>
        <w:ind w:left="360" w:hanging="360"/>
      </w:pPr>
      <w:r>
        <w:rPr>
          <w:rFonts w:ascii="Arial Unicode MS" w:hAnsi="Arial Unicode MS" w:eastAsia="Arial Unicode MS" w:cs="Arial Unicode MS"/>
        </w:rPr>
        <w:t>1.  渠道层只处理展示和交互，不保存唯一业务规则。所有渠道使用统一对话API。</w:t>
      </w:r>
    </w:p>
    <w:p>
      <w:pPr>
        <w:spacing w:before="0" w:after="80" w:line="300" w:lineRule="auto"/>
        <w:ind w:left="360" w:hanging="360"/>
      </w:pPr>
      <w:r>
        <w:rPr>
          <w:rFonts w:ascii="Arial Unicode MS" w:hAnsi="Arial Unicode MS" w:eastAsia="Arial Unicode MS" w:cs="Arial Unicode MS"/>
        </w:rPr>
        <w:t>2.  对话理解层输出意图、置信度、实体和缺失参数，并把当前用户身份传给运行时。</w:t>
      </w:r>
    </w:p>
    <w:p>
      <w:pPr>
        <w:spacing w:before="0" w:after="80" w:line="300" w:lineRule="auto"/>
        <w:ind w:left="360" w:hanging="360"/>
      </w:pPr>
      <w:r>
        <w:rPr>
          <w:rFonts w:ascii="Arial Unicode MS" w:hAnsi="Arial Unicode MS" w:eastAsia="Arial Unicode MS" w:cs="Arial Unicode MS"/>
        </w:rPr>
        <w:t>3.  AI运行编排层创建ServiceRequest，查询Capability定义，再由通用LangGraph执行。</w:t>
      </w:r>
    </w:p>
    <w:p>
      <w:pPr>
        <w:spacing w:before="0" w:after="80" w:line="300" w:lineRule="auto"/>
        <w:ind w:left="360" w:hanging="360"/>
      </w:pPr>
      <w:r>
        <w:rPr>
          <w:rFonts w:ascii="Arial Unicode MS" w:hAnsi="Arial Unicode MS" w:eastAsia="Arial Unicode MS" w:cs="Arial Unicode MS"/>
        </w:rPr>
        <w:t>4.  可执行本体层统一对象、规则、Function、Action、权限和审计。</w:t>
      </w:r>
    </w:p>
    <w:p>
      <w:pPr>
        <w:spacing w:before="0" w:after="80" w:line="300" w:lineRule="auto"/>
        <w:ind w:left="360" w:hanging="360"/>
      </w:pPr>
      <w:r>
        <w:rPr>
          <w:rFonts w:ascii="Arial Unicode MS" w:hAnsi="Arial Unicode MS" w:eastAsia="Arial Unicode MS" w:cs="Arial Unicode MS"/>
        </w:rPr>
        <w:t>5.  数据与知识层通过连接器访问源系统，按场景选择虚拟查询、缓存或索引。</w:t>
      </w:r>
    </w:p>
    <w:p>
      <w:pPr>
        <w:pStyle w:val="Heading2"/>
        <w:keepNext/>
      </w:pPr>
      <w:r>
        <w:t>5.2 建议技术边界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52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建议实现形态</w:t>
            </w:r>
          </w:p>
        </w:tc>
        <w:tc>
          <w:tcPr>
            <w:tcW w:type="dxa" w:w="388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边界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对话入口</w:t>
            </w:r>
          </w:p>
        </w:tc>
        <w:tc>
          <w:tcPr>
            <w:tcW w:type="dxa" w:w="35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Web组件或原生SDK加BFF</w:t>
            </w:r>
          </w:p>
        </w:tc>
        <w:tc>
          <w:tcPr>
            <w:tcW w:type="dxa" w:w="38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不直接访问业务系统</w:t>
            </w:r>
          </w:p>
        </w:tc>
      </w:tr>
      <w:tr>
        <w:tc>
          <w:tcPr>
            <w:tcW w:type="dxa" w:w="20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意图与实体识别</w:t>
            </w:r>
          </w:p>
        </w:tc>
        <w:tc>
          <w:tcPr>
            <w:tcW w:type="dxa" w:w="35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小模型加大模型兜底</w:t>
            </w:r>
          </w:p>
        </w:tc>
        <w:tc>
          <w:tcPr>
            <w:tcW w:type="dxa" w:w="38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输出结构化结果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运行编排</w:t>
            </w:r>
          </w:p>
        </w:tc>
        <w:tc>
          <w:tcPr>
            <w:tcW w:type="dxa" w:w="35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LangGraph服务</w:t>
            </w:r>
          </w:p>
        </w:tc>
        <w:tc>
          <w:tcPr>
            <w:tcW w:type="dxa" w:w="38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读取配置，不保存唯一业务口径</w:t>
            </w:r>
          </w:p>
        </w:tc>
      </w:tr>
      <w:tr>
        <w:tc>
          <w:tcPr>
            <w:tcW w:type="dxa" w:w="20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Ontology Runtime</w:t>
            </w:r>
          </w:p>
        </w:tc>
        <w:tc>
          <w:tcPr>
            <w:tcW w:type="dxa" w:w="35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对象查询、关系解析、规则和Action服务</w:t>
            </w:r>
          </w:p>
        </w:tc>
        <w:tc>
          <w:tcPr>
            <w:tcW w:type="dxa" w:w="38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为上层提供稳定语义API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知识检索</w:t>
            </w:r>
          </w:p>
        </w:tc>
        <w:tc>
          <w:tcPr>
            <w:tcW w:type="dxa" w:w="35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向量、关键词、元数据过滤和重排</w:t>
            </w:r>
          </w:p>
        </w:tc>
        <w:tc>
          <w:tcPr>
            <w:tcW w:type="dxa" w:w="38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只处理非结构化知识</w:t>
            </w:r>
          </w:p>
        </w:tc>
      </w:tr>
      <w:tr>
        <w:tc>
          <w:tcPr>
            <w:tcW w:type="dxa" w:w="20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Action Gateway</w:t>
            </w:r>
          </w:p>
        </w:tc>
        <w:tc>
          <w:tcPr>
            <w:tcW w:type="dxa" w:w="35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统一写操作代理</w:t>
            </w:r>
          </w:p>
        </w:tc>
        <w:tc>
          <w:tcPr>
            <w:tcW w:type="dxa" w:w="38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权限、幂等、审计、补偿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审计与观测</w:t>
            </w:r>
          </w:p>
        </w:tc>
        <w:tc>
          <w:tcPr>
            <w:tcW w:type="dxa" w:w="35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事件日志、指标、链路追踪</w:t>
            </w:r>
          </w:p>
        </w:tc>
        <w:tc>
          <w:tcPr>
            <w:tcW w:type="dxa" w:w="38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保留运行版本和证据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</w:pPr>
      <w:r>
        <w:t>6 Ontology本体设计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4141694"/>
            <wp:docPr id="2" name="Picture 2" descr="图2  核心业务对象与关系" title="图2  核心业务对象与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tology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1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Arial Unicode MS" w:hAnsi="Arial Unicode MS" w:eastAsia="Arial Unicode MS" w:cs="Arial Unicode MS"/>
          <w:color w:val="666666"/>
          <w:sz w:val="18"/>
        </w:rPr>
        <w:t>图2  核心业务对象与关系</w:t>
      </w:r>
    </w:p>
    <w:p>
      <w:pPr>
        <w:pStyle w:val="Heading2"/>
        <w:keepNext/>
      </w:pPr>
      <w:r>
        <w:t>6.1 对象分层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468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核心对象</w:t>
            </w:r>
          </w:p>
        </w:tc>
        <w:tc>
          <w:tcPr>
            <w:tcW w:type="dxa" w:w="309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主要事实来源</w:t>
            </w:r>
          </w:p>
        </w:tc>
      </w:tr>
      <w:tr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客户与车辆</w:t>
            </w:r>
          </w:p>
        </w:tc>
        <w:tc>
          <w:tcPr>
            <w:tcW w:type="dxa" w:w="4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Customer、MemberAccount、Vehicle、VehicleModel</w:t>
            </w:r>
          </w:p>
        </w:tc>
        <w:tc>
          <w:tcPr>
            <w:tcW w:type="dxa" w:w="30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CRM、会员、车辆主数据</w:t>
            </w:r>
          </w:p>
        </w:tc>
      </w:tr>
      <w:tr>
        <w:tc>
          <w:tcPr>
            <w:tcW w:type="dxa" w:w="17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商品与适配</w:t>
            </w:r>
          </w:p>
        </w:tc>
        <w:tc>
          <w:tcPr>
            <w:tcW w:type="dxa" w:w="46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TireProduct、TireSKU、TireCompatibility、Price、Promotion</w:t>
            </w:r>
          </w:p>
        </w:tc>
        <w:tc>
          <w:tcPr>
            <w:tcW w:type="dxa" w:w="309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PIM、商品、价格活动系统</w:t>
            </w:r>
          </w:p>
        </w:tc>
      </w:tr>
      <w:tr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门店与库存</w:t>
            </w:r>
          </w:p>
        </w:tc>
        <w:tc>
          <w:tcPr>
            <w:tcW w:type="dxa" w:w="4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Store、StoreInventory、ServiceSlot</w:t>
            </w:r>
          </w:p>
        </w:tc>
        <w:tc>
          <w:tcPr>
            <w:tcW w:type="dxa" w:w="30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门店系统、库存、预约排班</w:t>
            </w:r>
          </w:p>
        </w:tc>
      </w:tr>
      <w:tr>
        <w:tc>
          <w:tcPr>
            <w:tcW w:type="dxa" w:w="17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订单与服务</w:t>
            </w:r>
          </w:p>
        </w:tc>
        <w:tc>
          <w:tcPr>
            <w:tcW w:type="dxa" w:w="46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Order、ServiceAppointment、RepairPlan、MaintenancePlan、Quote</w:t>
            </w:r>
          </w:p>
        </w:tc>
        <w:tc>
          <w:tcPr>
            <w:tcW w:type="dxa" w:w="309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订单、预约、维修保养系统</w:t>
            </w:r>
          </w:p>
        </w:tc>
      </w:tr>
      <w:tr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保障与售后</w:t>
            </w:r>
          </w:p>
        </w:tc>
        <w:tc>
          <w:tcPr>
            <w:tcW w:type="dxa" w:w="4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WarrantyPolicy、WarrantyClaim、AfterSalesCase、Complaint</w:t>
            </w:r>
          </w:p>
        </w:tc>
        <w:tc>
          <w:tcPr>
            <w:tcW w:type="dxa" w:w="30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质保、理赔、工单系统</w:t>
            </w:r>
          </w:p>
        </w:tc>
      </w:tr>
      <w:tr>
        <w:tc>
          <w:tcPr>
            <w:tcW w:type="dxa" w:w="17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AI运行</w:t>
            </w:r>
          </w:p>
        </w:tc>
        <w:tc>
          <w:tcPr>
            <w:tcW w:type="dxa" w:w="46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ConversationTurn、IntentPrediction、ServiceRequest、RiskAssessment、DecisionRecord、ActionExecution</w:t>
            </w:r>
          </w:p>
        </w:tc>
        <w:tc>
          <w:tcPr>
            <w:tcW w:type="dxa" w:w="309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AI运行时和审计事件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6.2 对象实例化策略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302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建议方式</w:t>
            </w:r>
          </w:p>
        </w:tc>
        <w:tc>
          <w:tcPr>
            <w:tcW w:type="dxa" w:w="360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客户、车辆、订单、预约当前状态</w:t>
            </w:r>
          </w:p>
        </w:tc>
        <w:tc>
          <w:tcPr>
            <w:tcW w:type="dxa" w:w="30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API或虚拟查询，必要时短时缓存</w:t>
            </w:r>
          </w:p>
        </w:tc>
        <w:tc>
          <w:tcPr>
            <w:tcW w:type="dxa" w:w="360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保持源系统为事实来源</w:t>
            </w:r>
          </w:p>
        </w:tc>
      </w:tr>
      <w:tr>
        <w:tc>
          <w:tcPr>
            <w:tcW w:type="dxa" w:w="28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车型与轮胎适配关系</w:t>
            </w:r>
          </w:p>
        </w:tc>
        <w:tc>
          <w:tcPr>
            <w:tcW w:type="dxa" w:w="30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索引或物化</w:t>
            </w:r>
          </w:p>
        </w:tc>
        <w:tc>
          <w:tcPr>
            <w:tcW w:type="dxa" w:w="360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高频关联查询和规则计算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实时库存和价格</w:t>
            </w:r>
          </w:p>
        </w:tc>
        <w:tc>
          <w:tcPr>
            <w:tcW w:type="dxa" w:w="30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源系统实时查询</w:t>
            </w:r>
          </w:p>
        </w:tc>
        <w:tc>
          <w:tcPr>
            <w:tcW w:type="dxa" w:w="360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避免陈旧结果</w:t>
            </w:r>
          </w:p>
        </w:tc>
      </w:tr>
      <w:tr>
        <w:tc>
          <w:tcPr>
            <w:tcW w:type="dxa" w:w="28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产品和政策文档</w:t>
            </w:r>
          </w:p>
        </w:tc>
        <w:tc>
          <w:tcPr>
            <w:tcW w:type="dxa" w:w="30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向量索引并关联对象ID</w:t>
            </w:r>
          </w:p>
        </w:tc>
        <w:tc>
          <w:tcPr>
            <w:tcW w:type="dxa" w:w="360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支持语义检索和版本过滤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DecisionRecord和ActionExecution</w:t>
            </w:r>
          </w:p>
        </w:tc>
        <w:tc>
          <w:tcPr>
            <w:tcW w:type="dxa" w:w="30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本体运行时持久化</w:t>
            </w:r>
          </w:p>
        </w:tc>
        <w:tc>
          <w:tcPr>
            <w:tcW w:type="dxa" w:w="360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支持审计、复盘和指标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</w:pPr>
      <w:r>
        <w:t>7 运行流程与决策闭环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4786312"/>
            <wp:docPr id="3" name="Picture 3" descr="图3  单轮对话从意图识别到审计的运行流程" title="图3  单轮对话从意图识别到审计的运行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8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Arial Unicode MS" w:hAnsi="Arial Unicode MS" w:eastAsia="Arial Unicode MS" w:cs="Arial Unicode MS"/>
          <w:color w:val="666666"/>
          <w:sz w:val="18"/>
        </w:rPr>
        <w:t>图3  单轮对话从意图识别到审计的运行流程</w:t>
      </w:r>
    </w:p>
    <w:p>
      <w:pPr>
        <w:pStyle w:val="Heading2"/>
        <w:keepNext/>
      </w:pPr>
      <w:r>
        <w:t>7.1 公共LangGraph</w:t>
      </w:r>
    </w:p>
    <w:p>
      <w:pPr>
        <w:keepLines w:val="0"/>
        <w:spacing w:before="0" w:after="120" w:line="300" w:lineRule="auto"/>
      </w:pPr>
      <w:r>
        <w:rPr>
          <w:rFonts w:ascii="Arial Unicode MS" w:hAnsi="Arial Unicode MS" w:eastAsia="Arial Unicode MS" w:cs="Arial Unicode MS"/>
        </w:rPr>
        <w:t>公共图包含意图识别、实体抽取、对象解析、能力路由、参数检查、对象加载、策略评估、执行、确认、回答和审计节点。特殊子图只用于理赔材料收集、复杂报价、人工审批等长流程。</w:t>
      </w:r>
    </w:p>
    <w:p>
      <w:pPr>
        <w:pStyle w:val="Heading2"/>
        <w:keepNext/>
      </w:pPr>
      <w:r>
        <w:t>7.2 风险决策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风险等级</w:t>
            </w:r>
          </w:p>
        </w:tc>
        <w:tc>
          <w:tcPr>
            <w:tcW w:type="dxa" w:w="432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4032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15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L1</w:t>
            </w:r>
          </w:p>
        </w:tc>
        <w:tc>
          <w:tcPr>
            <w:tcW w:type="dxa" w:w="43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公开商品知识、门店信息、闲聊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可以直接回答</w:t>
            </w:r>
          </w:p>
        </w:tc>
      </w:tr>
      <w:tr>
        <w:tc>
          <w:tcPr>
            <w:tcW w:type="dxa" w:w="115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L2</w:t>
            </w:r>
          </w:p>
        </w:tc>
        <w:tc>
          <w:tcPr>
            <w:tcW w:type="dxa" w:w="432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本人订单、会员、理赔进度查询</w:t>
            </w:r>
          </w:p>
        </w:tc>
        <w:tc>
          <w:tcPr>
            <w:tcW w:type="dxa" w:w="40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完成身份认证后查询</w:t>
            </w:r>
          </w:p>
        </w:tc>
      </w:tr>
      <w:tr>
        <w:tc>
          <w:tcPr>
            <w:tcW w:type="dxa" w:w="115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L3</w:t>
            </w:r>
          </w:p>
        </w:tc>
        <w:tc>
          <w:tcPr>
            <w:tcW w:type="dxa" w:w="43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预约、取消、账户问题提交、一般报价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明确确认后执行Action</w:t>
            </w:r>
          </w:p>
        </w:tc>
      </w:tr>
      <w:tr>
        <w:tc>
          <w:tcPr>
            <w:tcW w:type="dxa" w:w="115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L4</w:t>
            </w:r>
          </w:p>
        </w:tc>
        <w:tc>
          <w:tcPr>
            <w:tcW w:type="dxa" w:w="432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理赔、更换、重大投诉、异常高金额报价</w:t>
            </w:r>
          </w:p>
        </w:tc>
        <w:tc>
          <w:tcPr>
            <w:tcW w:type="dxa" w:w="40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建立案件并人工审核</w:t>
            </w:r>
          </w:p>
        </w:tc>
      </w:tr>
    </w:tbl>
    <w:p>
      <w:pPr>
        <w:spacing w:before="0" w:after="40" w:line="300" w:lineRule="auto"/>
      </w:pPr>
    </w:p>
    <w:p>
      <w:pPr>
        <w:keepLines w:val="0"/>
        <w:spacing w:before="0" w:after="120" w:line="300" w:lineRule="auto"/>
      </w:pPr>
      <w:r>
        <w:rPr>
          <w:rFonts w:ascii="Arial Unicode MS" w:hAnsi="Arial Unicode MS" w:eastAsia="Arial Unicode MS" w:cs="Arial Unicode MS"/>
        </w:rPr>
        <w:t>最终风险由意图基础风险、数据敏感度、Action风险、对象当前状态和模型置信度共同决定。业务拒绝不会自动重试。只有网络超时等技术失败可以通过幂等机制有限重试。</w:t>
      </w:r>
    </w:p>
    <w:p>
      <w:pPr>
        <w:pStyle w:val="Heading1"/>
        <w:keepNext/>
      </w:pPr>
      <w:r>
        <w:t>8 各端产品需求与原型</w:t>
      </w:r>
    </w:p>
    <w:p>
      <w:pPr>
        <w:pStyle w:val="Heading2"/>
        <w:keepNext/>
      </w:pPr>
      <w:r>
        <w:t>8.1 客户聊天端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3942893"/>
            <wp:docPr id="4" name="Picture 4" descr="图4  客户侧Action确认原型" title="图4  客户侧Action确认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_wirefr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42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Arial Unicode MS" w:hAnsi="Arial Unicode MS" w:eastAsia="Arial Unicode MS" w:cs="Arial Unicode MS"/>
          <w:color w:val="666666"/>
          <w:sz w:val="18"/>
        </w:rPr>
        <w:t>图4  客户侧Action确认原型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741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需求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会话</w:t>
            </w:r>
          </w:p>
        </w:tc>
        <w:tc>
          <w:tcPr>
            <w:tcW w:type="dxa" w:w="74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支持多轮上下文、历史消息、重新进入和会话超时</w:t>
            </w:r>
          </w:p>
        </w:tc>
      </w:tr>
      <w:tr>
        <w:tc>
          <w:tcPr>
            <w:tcW w:type="dxa" w:w="20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结构化组件</w:t>
            </w:r>
          </w:p>
        </w:tc>
        <w:tc>
          <w:tcPr>
            <w:tcW w:type="dxa" w:w="741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商品、门店、订单、预约、报价、确认、进度和上传组件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身份</w:t>
            </w:r>
          </w:p>
        </w:tc>
        <w:tc>
          <w:tcPr>
            <w:tcW w:type="dxa" w:w="74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匿名与登录态区分，敏感查询前完成认证</w:t>
            </w:r>
          </w:p>
        </w:tc>
      </w:tr>
      <w:tr>
        <w:tc>
          <w:tcPr>
            <w:tcW w:type="dxa" w:w="20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Action确认</w:t>
            </w:r>
          </w:p>
        </w:tc>
        <w:tc>
          <w:tcPr>
            <w:tcW w:type="dxa" w:w="741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显示目标对象、影响、有效期和取消入口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转人工</w:t>
            </w:r>
          </w:p>
        </w:tc>
        <w:tc>
          <w:tcPr>
            <w:tcW w:type="dxa" w:w="74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显示排队状态，并把上下文和证据交给坐席</w:t>
            </w:r>
          </w:p>
        </w:tc>
      </w:tr>
      <w:tr>
        <w:tc>
          <w:tcPr>
            <w:tcW w:type="dxa" w:w="20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证据</w:t>
            </w:r>
          </w:p>
        </w:tc>
        <w:tc>
          <w:tcPr>
            <w:tcW w:type="dxa" w:w="741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适用场景显示政策来源、商品依据和数据更新时间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8.2 人工坐席与审核工作台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920490"/>
            <wp:docPr id="5" name="Picture 5" descr="图5  坐席和高风险审核工作台原型" title="图5  坐席和高风险审核工作台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wirefra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0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Arial Unicode MS" w:hAnsi="Arial Unicode MS" w:eastAsia="Arial Unicode MS" w:cs="Arial Unicode MS"/>
          <w:color w:val="666666"/>
          <w:sz w:val="18"/>
        </w:rPr>
        <w:t>图5  坐席和高风险审核工作台原型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741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对象摘要</w:t>
            </w:r>
          </w:p>
        </w:tc>
        <w:tc>
          <w:tcPr>
            <w:tcW w:type="dxa" w:w="74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客户、车辆、订单、商品、预约、会员和案件</w:t>
            </w:r>
          </w:p>
        </w:tc>
      </w:tr>
      <w:tr>
        <w:tc>
          <w:tcPr>
            <w:tcW w:type="dxa" w:w="20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会话摘要</w:t>
            </w:r>
          </w:p>
        </w:tc>
        <w:tc>
          <w:tcPr>
            <w:tcW w:type="dxa" w:w="741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用户诉求、已追问内容、情绪和未解决事项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AI建议</w:t>
            </w:r>
          </w:p>
        </w:tc>
        <w:tc>
          <w:tcPr>
            <w:tcW w:type="dxa" w:w="74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候选结论、命中规则、风险等级和置信度</w:t>
            </w:r>
          </w:p>
        </w:tc>
      </w:tr>
      <w:tr>
        <w:tc>
          <w:tcPr>
            <w:tcW w:type="dxa" w:w="20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证据</w:t>
            </w:r>
          </w:p>
        </w:tc>
        <w:tc>
          <w:tcPr>
            <w:tcW w:type="dxa" w:w="741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结构化数据、RAG引用、图片和材料完整性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操作</w:t>
            </w:r>
          </w:p>
        </w:tc>
        <w:tc>
          <w:tcPr>
            <w:tcW w:type="dxa" w:w="74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补件、批准、驳回、修改建议、转交专家</w:t>
            </w:r>
          </w:p>
        </w:tc>
      </w:tr>
      <w:tr>
        <w:tc>
          <w:tcPr>
            <w:tcW w:type="dxa" w:w="20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审计</w:t>
            </w:r>
          </w:p>
        </w:tc>
        <w:tc>
          <w:tcPr>
            <w:tcW w:type="dxa" w:w="741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记录人工修改内容、原因、操作者和Action结果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8.3 Ontology配置管理端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920490"/>
            <wp:docPr id="6" name="Picture 6" descr="图6  意图能力映射与发布原型" title="图6  意图能力映射与发布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wirefra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0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Arial Unicode MS" w:hAnsi="Arial Unicode MS" w:eastAsia="Arial Unicode MS" w:cs="Arial Unicode MS"/>
          <w:color w:val="666666"/>
          <w:sz w:val="18"/>
        </w:rPr>
        <w:t>图6  意图能力映射与发布原型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41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一期要求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对象管理</w:t>
            </w:r>
          </w:p>
        </w:tc>
        <w:tc>
          <w:tcPr>
            <w:tcW w:type="dxa" w:w="74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查看Object Type、属性、关系、主键和数据来源</w:t>
            </w:r>
          </w:p>
        </w:tc>
      </w:tr>
      <w:tr>
        <w:tc>
          <w:tcPr>
            <w:tcW w:type="dxa" w:w="20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能力管理</w:t>
            </w:r>
          </w:p>
        </w:tc>
        <w:tc>
          <w:tcPr>
            <w:tcW w:type="dxa" w:w="741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维护Intent到Capability的映射和输入输出契约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规则管理</w:t>
            </w:r>
          </w:p>
        </w:tc>
        <w:tc>
          <w:tcPr>
            <w:tcW w:type="dxa" w:w="74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草稿、版本、测试、审批、生效和回滚</w:t>
            </w:r>
          </w:p>
        </w:tc>
      </w:tr>
      <w:tr>
        <w:tc>
          <w:tcPr>
            <w:tcW w:type="dxa" w:w="20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Action管理</w:t>
            </w:r>
          </w:p>
        </w:tc>
        <w:tc>
          <w:tcPr>
            <w:tcW w:type="dxa" w:w="741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权限、前置条件、确认、幂等、补偿和接口绑定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知识管理</w:t>
            </w:r>
          </w:p>
        </w:tc>
        <w:tc>
          <w:tcPr>
            <w:tcW w:type="dxa" w:w="74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知识域、对象标签、地区、版本、有效期和权限</w:t>
            </w:r>
          </w:p>
        </w:tc>
      </w:tr>
      <w:tr>
        <w:tc>
          <w:tcPr>
            <w:tcW w:type="dxa" w:w="20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发布管理</w:t>
            </w:r>
          </w:p>
        </w:tc>
        <w:tc>
          <w:tcPr>
            <w:tcW w:type="dxa" w:w="741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回归结果、影子运行、灰度比例和生产版本</w:t>
            </w:r>
          </w:p>
        </w:tc>
      </w:tr>
    </w:tbl>
    <w:p>
      <w:pPr>
        <w:spacing w:before="0" w:after="40" w:line="300" w:lineRule="auto"/>
      </w:pPr>
    </w:p>
    <w:p>
      <w:pPr>
        <w:keepLines w:val="0"/>
        <w:spacing w:before="0" w:after="120" w:line="300" w:lineRule="auto"/>
      </w:pPr>
      <w:r>
        <w:rPr>
          <w:rFonts w:ascii="Arial Unicode MS" w:hAnsi="Arial Unicode MS" w:eastAsia="Arial Unicode MS" w:cs="Arial Unicode MS"/>
        </w:rPr>
        <w:t>一期可以使用Git中的YAML和JSON配置配合简单只读页面。业务规则需要频繁调整后，再建设完整可视化编辑器，避免首期把预算消耗在低频后台功能上。</w:t>
      </w:r>
    </w:p>
    <w:p>
      <w:pPr>
        <w:pStyle w:val="Heading2"/>
        <w:keepNext/>
      </w:pPr>
      <w:r>
        <w:t>8.4 运营与审计端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视图</w:t>
            </w:r>
          </w:p>
        </w:tc>
        <w:tc>
          <w:tcPr>
            <w:tcW w:type="dxa" w:w="741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核心指标或信息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意图效果</w:t>
            </w:r>
          </w:p>
        </w:tc>
        <w:tc>
          <w:tcPr>
            <w:tcW w:type="dxa" w:w="74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准确率、混淆矩阵、低置信度比例、未识别Query</w:t>
            </w:r>
          </w:p>
        </w:tc>
      </w:tr>
      <w:tr>
        <w:tc>
          <w:tcPr>
            <w:tcW w:type="dxa" w:w="20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业务效果</w:t>
            </w:r>
          </w:p>
        </w:tc>
        <w:tc>
          <w:tcPr>
            <w:tcW w:type="dxa" w:w="741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自动解决率、转人工率、一次解决率、用户重复提问率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运行质量</w:t>
            </w:r>
          </w:p>
        </w:tc>
        <w:tc>
          <w:tcPr>
            <w:tcW w:type="dxa" w:w="74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响应时间、节点失败率、RAG无证据率、Tool错误率</w:t>
            </w:r>
          </w:p>
        </w:tc>
      </w:tr>
      <w:tr>
        <w:tc>
          <w:tcPr>
            <w:tcW w:type="dxa" w:w="20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Action</w:t>
            </w:r>
          </w:p>
        </w:tc>
        <w:tc>
          <w:tcPr>
            <w:tcW w:type="dxa" w:w="741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提案数、确认率、成功率、失败原因、补偿次数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人工审核</w:t>
            </w:r>
          </w:p>
        </w:tc>
        <w:tc>
          <w:tcPr>
            <w:tcW w:type="dxa" w:w="74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队列时长、通过率、修改原因、不同审核人差异</w:t>
            </w:r>
          </w:p>
        </w:tc>
      </w:tr>
      <w:tr>
        <w:tc>
          <w:tcPr>
            <w:tcW w:type="dxa" w:w="20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审计查询</w:t>
            </w:r>
          </w:p>
        </w:tc>
        <w:tc>
          <w:tcPr>
            <w:tcW w:type="dxa" w:w="741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按客户、对象、规则版本、Action和时间检索运行记录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8.5 单一聊天窗口的边界</w:t>
      </w:r>
    </w:p>
    <w:p>
      <w:pPr>
        <w:keepLines w:val="0"/>
        <w:spacing w:before="0" w:after="120" w:line="300" w:lineRule="auto"/>
      </w:pPr>
      <w:r>
        <w:rPr>
          <w:rFonts w:ascii="Arial Unicode MS" w:hAnsi="Arial Unicode MS" w:eastAsia="Arial Unicode MS" w:cs="Arial Unicode MS"/>
        </w:rPr>
        <w:t>客户侧可以只嵌入一个聊天入口，但完整生产系统不能只有聊天窗口。查询和低风险问答可以在聊天端完成；理赔、投诉和异常报价需要坐席或审核工作台；规则、对象、Action和知识版本需要配置发布能力；运营团队需要质量与审计视图。</w:t>
      </w:r>
    </w:p>
    <w:p>
      <w:pPr>
        <w:pStyle w:val="Heading1"/>
        <w:keepNext/>
      </w:pPr>
      <w:r>
        <w:t>9 功能模块需求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0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232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68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一期功能</w:t>
            </w:r>
          </w:p>
        </w:tc>
        <w:tc>
          <w:tcPr>
            <w:tcW w:type="dxa" w:w="93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0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M01</w:t>
            </w:r>
          </w:p>
        </w:tc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会话与身份</w:t>
            </w:r>
          </w:p>
        </w:tc>
        <w:tc>
          <w:tcPr>
            <w:tcW w:type="dxa" w:w="56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会话创建、身份传递、匿名和登录状态、上下文保存</w:t>
            </w:r>
          </w:p>
        </w:tc>
        <w:tc>
          <w:tcPr>
            <w:tcW w:type="dxa" w:w="9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</w:tr>
      <w:tr>
        <w:tc>
          <w:tcPr>
            <w:tcW w:type="dxa" w:w="100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M02</w:t>
            </w:r>
          </w:p>
        </w:tc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意图识别</w:t>
            </w:r>
          </w:p>
        </w:tc>
        <w:tc>
          <w:tcPr>
            <w:tcW w:type="dxa" w:w="56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一级二级意图、Top K、置信度、版本、兜底</w:t>
            </w:r>
          </w:p>
        </w:tc>
        <w:tc>
          <w:tcPr>
            <w:tcW w:type="dxa" w:w="93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</w:tr>
      <w:tr>
        <w:tc>
          <w:tcPr>
            <w:tcW w:type="dxa" w:w="10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M03</w:t>
            </w:r>
          </w:p>
        </w:tc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实体与参数抽取</w:t>
            </w:r>
          </w:p>
        </w:tc>
        <w:tc>
          <w:tcPr>
            <w:tcW w:type="dxa" w:w="56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车型、SKU、订单号、日期、门店和操作类型</w:t>
            </w:r>
          </w:p>
        </w:tc>
        <w:tc>
          <w:tcPr>
            <w:tcW w:type="dxa" w:w="9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</w:tr>
      <w:tr>
        <w:tc>
          <w:tcPr>
            <w:tcW w:type="dxa" w:w="100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M04</w:t>
            </w:r>
          </w:p>
        </w:tc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对象解析</w:t>
            </w:r>
          </w:p>
        </w:tc>
        <w:tc>
          <w:tcPr>
            <w:tcW w:type="dxa" w:w="56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实体消歧、主键映射、对象加载和关系遍历</w:t>
            </w:r>
          </w:p>
        </w:tc>
        <w:tc>
          <w:tcPr>
            <w:tcW w:type="dxa" w:w="93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</w:tr>
      <w:tr>
        <w:tc>
          <w:tcPr>
            <w:tcW w:type="dxa" w:w="10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M05</w:t>
            </w:r>
          </w:p>
        </w:tc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Capability Router</w:t>
            </w:r>
          </w:p>
        </w:tc>
        <w:tc>
          <w:tcPr>
            <w:tcW w:type="dxa" w:w="56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意图到能力映射、适用条件、缺参策略</w:t>
            </w:r>
          </w:p>
        </w:tc>
        <w:tc>
          <w:tcPr>
            <w:tcW w:type="dxa" w:w="9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</w:tr>
      <w:tr>
        <w:tc>
          <w:tcPr>
            <w:tcW w:type="dxa" w:w="100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M06</w:t>
            </w:r>
          </w:p>
        </w:tc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规则与风险</w:t>
            </w:r>
          </w:p>
        </w:tc>
        <w:tc>
          <w:tcPr>
            <w:tcW w:type="dxa" w:w="56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业务规则、最终风险、权限和前置条件</w:t>
            </w:r>
          </w:p>
        </w:tc>
        <w:tc>
          <w:tcPr>
            <w:tcW w:type="dxa" w:w="93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</w:tr>
      <w:tr>
        <w:tc>
          <w:tcPr>
            <w:tcW w:type="dxa" w:w="10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M07</w:t>
            </w:r>
          </w:p>
        </w:tc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LangGraph Runtime</w:t>
            </w:r>
          </w:p>
        </w:tc>
        <w:tc>
          <w:tcPr>
            <w:tcW w:type="dxa" w:w="56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公共图、子图、暂停、恢复、超时和异常</w:t>
            </w:r>
          </w:p>
        </w:tc>
        <w:tc>
          <w:tcPr>
            <w:tcW w:type="dxa" w:w="9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</w:tr>
      <w:tr>
        <w:tc>
          <w:tcPr>
            <w:tcW w:type="dxa" w:w="100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M08</w:t>
            </w:r>
          </w:p>
        </w:tc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Function Gateway</w:t>
            </w:r>
          </w:p>
        </w:tc>
        <w:tc>
          <w:tcPr>
            <w:tcW w:type="dxa" w:w="56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只读查询、缓存、超时、降级和数据血缘</w:t>
            </w:r>
          </w:p>
        </w:tc>
        <w:tc>
          <w:tcPr>
            <w:tcW w:type="dxa" w:w="93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</w:tr>
      <w:tr>
        <w:tc>
          <w:tcPr>
            <w:tcW w:type="dxa" w:w="10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M09</w:t>
            </w:r>
          </w:p>
        </w:tc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Action Gateway</w:t>
            </w:r>
          </w:p>
        </w:tc>
        <w:tc>
          <w:tcPr>
            <w:tcW w:type="dxa" w:w="56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确认、审批、幂等、写回、补偿和审计</w:t>
            </w:r>
          </w:p>
        </w:tc>
        <w:tc>
          <w:tcPr>
            <w:tcW w:type="dxa" w:w="9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</w:tr>
      <w:tr>
        <w:tc>
          <w:tcPr>
            <w:tcW w:type="dxa" w:w="100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M10</w:t>
            </w:r>
          </w:p>
        </w:tc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Ontology RAG</w:t>
            </w:r>
          </w:p>
        </w:tc>
        <w:tc>
          <w:tcPr>
            <w:tcW w:type="dxa" w:w="56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知识域、对象过滤、混合检索、重排和引用</w:t>
            </w:r>
          </w:p>
        </w:tc>
        <w:tc>
          <w:tcPr>
            <w:tcW w:type="dxa" w:w="93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</w:tr>
      <w:tr>
        <w:tc>
          <w:tcPr>
            <w:tcW w:type="dxa" w:w="10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M11</w:t>
            </w:r>
          </w:p>
        </w:tc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回答生成</w:t>
            </w:r>
          </w:p>
        </w:tc>
        <w:tc>
          <w:tcPr>
            <w:tcW w:type="dxa" w:w="56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结构化结果、Prompt策略、内容安全和渠道适配</w:t>
            </w:r>
          </w:p>
        </w:tc>
        <w:tc>
          <w:tcPr>
            <w:tcW w:type="dxa" w:w="9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</w:tr>
      <w:tr>
        <w:tc>
          <w:tcPr>
            <w:tcW w:type="dxa" w:w="100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M12</w:t>
            </w:r>
          </w:p>
        </w:tc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人工工作台</w:t>
            </w:r>
          </w:p>
        </w:tc>
        <w:tc>
          <w:tcPr>
            <w:tcW w:type="dxa" w:w="56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队列、对象摘要、证据、审批和接管</w:t>
            </w:r>
          </w:p>
        </w:tc>
        <w:tc>
          <w:tcPr>
            <w:tcW w:type="dxa" w:w="93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</w:tr>
      <w:tr>
        <w:tc>
          <w:tcPr>
            <w:tcW w:type="dxa" w:w="10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M13</w:t>
            </w:r>
          </w:p>
        </w:tc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配置与发布</w:t>
            </w:r>
          </w:p>
        </w:tc>
        <w:tc>
          <w:tcPr>
            <w:tcW w:type="dxa" w:w="56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版本、测试、审批、灰度、回滚</w:t>
            </w:r>
          </w:p>
        </w:tc>
        <w:tc>
          <w:tcPr>
            <w:tcW w:type="dxa" w:w="9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P1</w:t>
            </w:r>
          </w:p>
        </w:tc>
      </w:tr>
      <w:tr>
        <w:tc>
          <w:tcPr>
            <w:tcW w:type="dxa" w:w="100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M14</w:t>
            </w:r>
          </w:p>
        </w:tc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运营与审计</w:t>
            </w:r>
          </w:p>
        </w:tc>
        <w:tc>
          <w:tcPr>
            <w:tcW w:type="dxa" w:w="56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指标、抽样、回放、查询和导出</w:t>
            </w:r>
          </w:p>
        </w:tc>
        <w:tc>
          <w:tcPr>
            <w:tcW w:type="dxa" w:w="93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9.1 统一Capability契约</w:t>
      </w:r>
    </w:p>
    <w:p>
      <w:pPr>
        <w:keepLines w:val="0"/>
        <w:spacing w:before="0" w:after="120" w:line="300" w:lineRule="auto"/>
      </w:pPr>
      <w:r>
        <w:rPr>
          <w:rFonts w:ascii="Arial Unicode MS" w:hAnsi="Arial Unicode MS" w:eastAsia="Arial Unicode MS" w:cs="Arial Unicode MS"/>
        </w:rPr>
        <w:t>每个Capability必须声明支持的意图、所需对象、输入参数、可调用Function、允许的Action、知识策略、风险策略、输出结构和兜底方式。运行时只依赖契约，不依赖意图名称拼接方法名。</w:t>
      </w:r>
    </w:p>
    <w:p>
      <w:pPr>
        <w:pStyle w:val="Heading2"/>
        <w:keepNext/>
      </w:pPr>
      <w:r>
        <w:t>9.2 统一运行结果</w:t>
      </w:r>
    </w:p>
    <w:p>
      <w:pPr>
        <w:keepLines w:val="0"/>
        <w:spacing w:before="0" w:after="120" w:line="300" w:lineRule="auto"/>
      </w:pPr>
      <w:r>
        <w:rPr>
          <w:rFonts w:ascii="Arial Unicode MS" w:hAnsi="Arial Unicode MS" w:eastAsia="Arial Unicode MS" w:cs="Arial Unicode MS"/>
        </w:rPr>
        <w:t>每个节点返回status、data、evidence、errorCode、latency和sourceVersion。大模型生成回答时只读取允许暴露给当前用户的数据和证据。</w:t>
      </w:r>
    </w:p>
    <w:p>
      <w:pPr>
        <w:pStyle w:val="Heading1"/>
        <w:keepNext/>
      </w:pPr>
      <w:r>
        <w:t>10 数据 RAG 与系统集成</w:t>
      </w:r>
    </w:p>
    <w:p>
      <w:pPr>
        <w:pStyle w:val="Heading2"/>
        <w:keepNext/>
      </w:pPr>
      <w:r>
        <w:t>10.1 系统接口清单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系统</w:t>
            </w:r>
          </w:p>
        </w:tc>
        <w:tc>
          <w:tcPr>
            <w:tcW w:type="dxa" w:w="3672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读取能力</w:t>
            </w:r>
          </w:p>
        </w:tc>
        <w:tc>
          <w:tcPr>
            <w:tcW w:type="dxa" w:w="309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写入能力</w:t>
            </w:r>
          </w:p>
        </w:tc>
        <w:tc>
          <w:tcPr>
            <w:tcW w:type="dxa" w:w="108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一期优先级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客户与会员</w:t>
            </w:r>
          </w:p>
        </w:tc>
        <w:tc>
          <w:tcPr>
            <w:tcW w:type="dxa" w:w="367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身份、会员等级、积分、权益</w:t>
            </w:r>
          </w:p>
        </w:tc>
        <w:tc>
          <w:tcPr>
            <w:tcW w:type="dxa" w:w="30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创建账户问题</w:t>
            </w:r>
          </w:p>
        </w:tc>
        <w:tc>
          <w:tcPr>
            <w:tcW w:type="dxa" w:w="10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P1</w:t>
            </w:r>
          </w:p>
        </w:tc>
      </w:tr>
      <w:tr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车辆主数据</w:t>
            </w:r>
          </w:p>
        </w:tc>
        <w:tc>
          <w:tcPr>
            <w:tcW w:type="dxa" w:w="367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VIN、车型、年款、原厂参数</w:t>
            </w:r>
          </w:p>
        </w:tc>
        <w:tc>
          <w:tcPr>
            <w:tcW w:type="dxa" w:w="309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无</w:t>
            </w:r>
          </w:p>
        </w:tc>
        <w:tc>
          <w:tcPr>
            <w:tcW w:type="dxa" w:w="10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商品与适配</w:t>
            </w:r>
          </w:p>
        </w:tc>
        <w:tc>
          <w:tcPr>
            <w:tcW w:type="dxa" w:w="367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SKU、规格、适配关系、上下架</w:t>
            </w:r>
          </w:p>
        </w:tc>
        <w:tc>
          <w:tcPr>
            <w:tcW w:type="dxa" w:w="30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无</w:t>
            </w:r>
          </w:p>
        </w:tc>
        <w:tc>
          <w:tcPr>
            <w:tcW w:type="dxa" w:w="10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</w:tr>
      <w:tr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价格活动</w:t>
            </w:r>
          </w:p>
        </w:tc>
        <w:tc>
          <w:tcPr>
            <w:tcW w:type="dxa" w:w="367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价格、优惠、生效期</w:t>
            </w:r>
          </w:p>
        </w:tc>
        <w:tc>
          <w:tcPr>
            <w:tcW w:type="dxa" w:w="309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报价记录可选</w:t>
            </w:r>
          </w:p>
        </w:tc>
        <w:tc>
          <w:tcPr>
            <w:tcW w:type="dxa" w:w="10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P1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门店库存</w:t>
            </w:r>
          </w:p>
        </w:tc>
        <w:tc>
          <w:tcPr>
            <w:tcW w:type="dxa" w:w="367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门店、服务能力、实时库存</w:t>
            </w:r>
          </w:p>
        </w:tc>
        <w:tc>
          <w:tcPr>
            <w:tcW w:type="dxa" w:w="30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预留库存可选</w:t>
            </w:r>
          </w:p>
        </w:tc>
        <w:tc>
          <w:tcPr>
            <w:tcW w:type="dxa" w:w="10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</w:tr>
      <w:tr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订单预约</w:t>
            </w:r>
          </w:p>
        </w:tc>
        <w:tc>
          <w:tcPr>
            <w:tcW w:type="dxa" w:w="367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订单、预约、可约时段</w:t>
            </w:r>
          </w:p>
        </w:tc>
        <w:tc>
          <w:tcPr>
            <w:tcW w:type="dxa" w:w="309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新增、修改、取消预约</w:t>
            </w:r>
          </w:p>
        </w:tc>
        <w:tc>
          <w:tcPr>
            <w:tcW w:type="dxa" w:w="10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质保理赔</w:t>
            </w:r>
          </w:p>
        </w:tc>
        <w:tc>
          <w:tcPr>
            <w:tcW w:type="dxa" w:w="367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政策、案件、进度</w:t>
            </w:r>
          </w:p>
        </w:tc>
        <w:tc>
          <w:tcPr>
            <w:tcW w:type="dxa" w:w="30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创建理赔、补件</w:t>
            </w:r>
          </w:p>
        </w:tc>
        <w:tc>
          <w:tcPr>
            <w:tcW w:type="dxa" w:w="10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</w:tr>
      <w:tr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客服工单</w:t>
            </w:r>
          </w:p>
        </w:tc>
        <w:tc>
          <w:tcPr>
            <w:tcW w:type="dxa" w:w="367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队列、历史工单</w:t>
            </w:r>
          </w:p>
        </w:tc>
        <w:tc>
          <w:tcPr>
            <w:tcW w:type="dxa" w:w="309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建单、转派、关闭</w:t>
            </w:r>
          </w:p>
        </w:tc>
        <w:tc>
          <w:tcPr>
            <w:tcW w:type="dxa" w:w="10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10.2 知识域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知识域</w:t>
            </w:r>
          </w:p>
        </w:tc>
        <w:tc>
          <w:tcPr>
            <w:tcW w:type="dxa" w:w="3672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032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本体过滤字段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商品知识</w:t>
            </w:r>
          </w:p>
        </w:tc>
        <w:tc>
          <w:tcPr>
            <w:tcW w:type="dxa" w:w="367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产品手册、规格说明、使用建议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ProductID、SKU、车型、地区、版本</w:t>
            </w:r>
          </w:p>
        </w:tc>
      </w:tr>
      <w:tr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质保政策</w:t>
            </w:r>
          </w:p>
        </w:tc>
        <w:tc>
          <w:tcPr>
            <w:tcW w:type="dxa" w:w="367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保障范围、排除条款、材料要求</w:t>
            </w:r>
          </w:p>
        </w:tc>
        <w:tc>
          <w:tcPr>
            <w:tcW w:type="dxa" w:w="40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PolicyID、SKU、购买时间、生效期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维修保养</w:t>
            </w:r>
          </w:p>
        </w:tc>
        <w:tc>
          <w:tcPr>
            <w:tcW w:type="dxa" w:w="367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周期、项目、技术说明和安全提示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VehicleModel、里程、年款</w:t>
            </w:r>
          </w:p>
        </w:tc>
      </w:tr>
      <w:tr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门店服务</w:t>
            </w:r>
          </w:p>
        </w:tc>
        <w:tc>
          <w:tcPr>
            <w:tcW w:type="dxa" w:w="367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服务项目、营业信息和说明</w:t>
            </w:r>
          </w:p>
        </w:tc>
        <w:tc>
          <w:tcPr>
            <w:tcW w:type="dxa" w:w="40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StoreID、地区、服务类型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会员政策</w:t>
            </w:r>
          </w:p>
        </w:tc>
        <w:tc>
          <w:tcPr>
            <w:tcW w:type="dxa" w:w="367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等级、积分和权益规则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会员等级、地区、生效期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10.3 数据质量要求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客户、车辆、订单、SKU、门店和案件必须有稳定主键。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所有时间相关数据明确时区、生效时间和更新时间。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库存、价格和预约数据必须返回数据时间戳。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知识文档必须设置版本、生效期、责任人和权限。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对象映射失败进入异常队列，不允许大模型猜测对象。</w:t>
      </w:r>
    </w:p>
    <w:p>
      <w:pPr>
        <w:pStyle w:val="Heading1"/>
        <w:keepNext/>
      </w:pPr>
      <w:r>
        <w:t>11 安全权限风险与审计</w:t>
      </w:r>
    </w:p>
    <w:p>
      <w:pPr>
        <w:pStyle w:val="Heading2"/>
        <w:keepNext/>
      </w:pPr>
      <w:r>
        <w:t>11.1 权限模型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控制层级</w:t>
            </w:r>
          </w:p>
        </w:tc>
        <w:tc>
          <w:tcPr>
            <w:tcW w:type="dxa" w:w="741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渠道和身份</w:t>
            </w:r>
          </w:p>
        </w:tc>
        <w:tc>
          <w:tcPr>
            <w:tcW w:type="dxa" w:w="74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传递可信actorId、角色、组织和认证强度</w:t>
            </w:r>
          </w:p>
        </w:tc>
      </w:tr>
      <w:tr>
        <w:tc>
          <w:tcPr>
            <w:tcW w:type="dxa" w:w="20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对象权限</w:t>
            </w:r>
          </w:p>
        </w:tc>
        <w:tc>
          <w:tcPr>
            <w:tcW w:type="dxa" w:w="741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用户只能读取本人对象；坐席按组织和职责授权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属性权限</w:t>
            </w:r>
          </w:p>
        </w:tc>
        <w:tc>
          <w:tcPr>
            <w:tcW w:type="dxa" w:w="74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手机号、地址、VIN等敏感字段按角色脱敏</w:t>
            </w:r>
          </w:p>
        </w:tc>
      </w:tr>
      <w:tr>
        <w:tc>
          <w:tcPr>
            <w:tcW w:type="dxa" w:w="20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Function权限</w:t>
            </w:r>
          </w:p>
        </w:tc>
        <w:tc>
          <w:tcPr>
            <w:tcW w:type="dxa" w:w="741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查询能力按对象和数据来源检查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Action权限</w:t>
            </w:r>
          </w:p>
        </w:tc>
        <w:tc>
          <w:tcPr>
            <w:tcW w:type="dxa" w:w="74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同时检查操作者、目标对象、当前状态和金额范围</w:t>
            </w:r>
          </w:p>
        </w:tc>
      </w:tr>
      <w:tr>
        <w:tc>
          <w:tcPr>
            <w:tcW w:type="dxa" w:w="20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知识权限</w:t>
            </w:r>
          </w:p>
        </w:tc>
        <w:tc>
          <w:tcPr>
            <w:tcW w:type="dxa" w:w="741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内部文档不得进入客户回答上下文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审计权限</w:t>
            </w:r>
          </w:p>
        </w:tc>
        <w:tc>
          <w:tcPr>
            <w:tcW w:type="dxa" w:w="74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审计记录只读，限制导出并记录访问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11.2 Action安全要求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每个写Action定义输入Schema、权限、前置条件、确认文案、幂等键和目标系统。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Action执行前重新读取目标对象版本，避免基于陈旧状态操作。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已产生外部影响的操作使用补偿Action，不删除历史。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技术失败可以有限重试；业务拒绝进入明确分支，不自动重复计算。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L4场景必须形成证据包并由授权人员审批。</w:t>
      </w:r>
    </w:p>
    <w:p>
      <w:pPr>
        <w:pStyle w:val="Heading2"/>
        <w:keepNext/>
      </w:pPr>
      <w:r>
        <w:t>11.3 审计记录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记录</w:t>
            </w:r>
          </w:p>
        </w:tc>
        <w:tc>
          <w:tcPr>
            <w:tcW w:type="dxa" w:w="7272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必须保存的内容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IntentPrediction</w:t>
            </w:r>
          </w:p>
        </w:tc>
        <w:tc>
          <w:tcPr>
            <w:tcW w:type="dxa" w:w="727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原始Query、意图、Top K、置信度、小模型版本</w:t>
            </w:r>
          </w:p>
        </w:tc>
      </w:tr>
      <w:tr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DecisionRecord</w:t>
            </w:r>
          </w:p>
        </w:tc>
        <w:tc>
          <w:tcPr>
            <w:tcW w:type="dxa" w:w="727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对象引用、数据时间、规则版本、模型版本、证据、结论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ActionExecution</w:t>
            </w:r>
          </w:p>
        </w:tc>
        <w:tc>
          <w:tcPr>
            <w:tcW w:type="dxa" w:w="727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操作者、权限结果、前置校验、输入、目标、状态、错误</w:t>
            </w:r>
          </w:p>
        </w:tc>
      </w:tr>
      <w:tr>
        <w:tc>
          <w:tcPr>
            <w:tcW w:type="dxa" w:w="223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HumanReview</w:t>
            </w:r>
          </w:p>
        </w:tc>
        <w:tc>
          <w:tcPr>
            <w:tcW w:type="dxa" w:w="7272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审核人、修改内容、修改原因、审批时间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ResponseRecord</w:t>
            </w:r>
          </w:p>
        </w:tc>
        <w:tc>
          <w:tcPr>
            <w:tcW w:type="dxa" w:w="727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最终文本、结构化组件、引用、内容安全结果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</w:pPr>
      <w:r>
        <w:t>12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70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一期要求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性能</w:t>
            </w:r>
          </w:p>
        </w:tc>
        <w:tc>
          <w:tcPr>
            <w:tcW w:type="dxa" w:w="770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普通知识问答P95小于8秒；结构化查询P95小于5秒；Action不含人工等待P95小于10秒</w:t>
            </w:r>
          </w:p>
        </w:tc>
      </w:tr>
      <w:tr>
        <w:tc>
          <w:tcPr>
            <w:tcW w:type="dxa" w:w="180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可用性</w:t>
            </w:r>
          </w:p>
        </w:tc>
        <w:tc>
          <w:tcPr>
            <w:tcW w:type="dxa" w:w="770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核心运行时月可用性不低于99.5%；业务系统不可用时给出明确降级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扩展性</w:t>
            </w:r>
          </w:p>
        </w:tc>
        <w:tc>
          <w:tcPr>
            <w:tcW w:type="dxa" w:w="770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新增渠道无需复制业务规则；新增相似意图可以复用已有Capability</w:t>
            </w:r>
          </w:p>
        </w:tc>
      </w:tr>
      <w:tr>
        <w:tc>
          <w:tcPr>
            <w:tcW w:type="dxa" w:w="180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可观测性</w:t>
            </w:r>
          </w:p>
        </w:tc>
        <w:tc>
          <w:tcPr>
            <w:tcW w:type="dxa" w:w="770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每轮请求具备traceId；记录节点耗时、模型调用、Tool调用和错误码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可恢复性</w:t>
            </w:r>
          </w:p>
        </w:tc>
        <w:tc>
          <w:tcPr>
            <w:tcW w:type="dxa" w:w="770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长流程支持暂停和恢复；Action支持幂等；发布支持版本回滚</w:t>
            </w:r>
          </w:p>
        </w:tc>
      </w:tr>
      <w:tr>
        <w:tc>
          <w:tcPr>
            <w:tcW w:type="dxa" w:w="180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安全</w:t>
            </w:r>
          </w:p>
        </w:tc>
        <w:tc>
          <w:tcPr>
            <w:tcW w:type="dxa" w:w="770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传输和存储加密；敏感字段脱敏；密钥集中管理；最小权限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合规</w:t>
            </w:r>
          </w:p>
        </w:tc>
        <w:tc>
          <w:tcPr>
            <w:tcW w:type="dxa" w:w="770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保留期限可配置；支持用户数据删除或匿名化流程；高风险操作可追责</w:t>
            </w:r>
          </w:p>
        </w:tc>
      </w:tr>
      <w:tr>
        <w:tc>
          <w:tcPr>
            <w:tcW w:type="dxa" w:w="180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模型治理</w:t>
            </w:r>
          </w:p>
        </w:tc>
        <w:tc>
          <w:tcPr>
            <w:tcW w:type="dxa" w:w="770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模型、Prompt、知识、规则和Ontology版本可定位；上线前完成回归评估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12.1 降级策略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故障</w:t>
            </w:r>
          </w:p>
        </w:tc>
        <w:tc>
          <w:tcPr>
            <w:tcW w:type="dxa" w:w="662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降级方式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意图模型低置信度</w:t>
            </w:r>
          </w:p>
        </w:tc>
        <w:tc>
          <w:tcPr>
            <w:tcW w:type="dxa" w:w="66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大模型复核或追问；仍不确定则转人工</w:t>
            </w:r>
          </w:p>
        </w:tc>
      </w:tr>
      <w:tr>
        <w:tc>
          <w:tcPr>
            <w:tcW w:type="dxa" w:w="28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RAG无可靠证据</w:t>
            </w:r>
          </w:p>
        </w:tc>
        <w:tc>
          <w:tcPr>
            <w:tcW w:type="dxa" w:w="66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返回可确认的结构化事实或转人工，不编造政策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业务接口超时</w:t>
            </w:r>
          </w:p>
        </w:tc>
        <w:tc>
          <w:tcPr>
            <w:tcW w:type="dxa" w:w="66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只读接口有限重试；写接口通过幂等查询状态</w:t>
            </w:r>
          </w:p>
        </w:tc>
      </w:tr>
      <w:tr>
        <w:tc>
          <w:tcPr>
            <w:tcW w:type="dxa" w:w="28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大模型不可用</w:t>
            </w:r>
          </w:p>
        </w:tc>
        <w:tc>
          <w:tcPr>
            <w:tcW w:type="dxa" w:w="66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使用模板回答、展示查询结果或转人工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Ontology对象解析失败</w:t>
            </w:r>
          </w:p>
        </w:tc>
        <w:tc>
          <w:tcPr>
            <w:tcW w:type="dxa" w:w="66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请求用户选择对象或进入人工异常队列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</w:pPr>
      <w:r>
        <w:t>13 迭代与发布机制</w:t>
      </w:r>
    </w:p>
    <w:p>
      <w:pPr>
        <w:pStyle w:val="Heading2"/>
        <w:keepNext/>
      </w:pPr>
      <w:r>
        <w:t>13.1 快速开发方式</w:t>
      </w:r>
    </w:p>
    <w:p>
      <w:pPr>
        <w:spacing w:before="0" w:after="80" w:line="300" w:lineRule="auto"/>
        <w:ind w:left="360" w:hanging="360"/>
      </w:pPr>
      <w:r>
        <w:rPr>
          <w:rFonts w:ascii="Arial Unicode MS" w:hAnsi="Arial Unicode MS" w:eastAsia="Arial Unicode MS" w:cs="Arial Unicode MS"/>
        </w:rPr>
        <w:t>1.  新增表达只更新训练样本和评估集，不修改Ontology。</w:t>
      </w:r>
    </w:p>
    <w:p>
      <w:pPr>
        <w:spacing w:before="0" w:after="80" w:line="300" w:lineRule="auto"/>
        <w:ind w:left="360" w:hanging="360"/>
      </w:pPr>
      <w:r>
        <w:rPr>
          <w:rFonts w:ascii="Arial Unicode MS" w:hAnsi="Arial Unicode MS" w:eastAsia="Arial Unicode MS" w:cs="Arial Unicode MS"/>
        </w:rPr>
        <w:t>2.  新增相似意图时绑定已有Capability，优先复用对象、Function和Action。</w:t>
      </w:r>
    </w:p>
    <w:p>
      <w:pPr>
        <w:spacing w:before="0" w:after="80" w:line="300" w:lineRule="auto"/>
        <w:ind w:left="360" w:hanging="360"/>
      </w:pPr>
      <w:r>
        <w:rPr>
          <w:rFonts w:ascii="Arial Unicode MS" w:hAnsi="Arial Unicode MS" w:eastAsia="Arial Unicode MS" w:cs="Arial Unicode MS"/>
        </w:rPr>
        <w:t>3.  业务政策变化通过规则新版本发布，不修改聊天端和主流程。</w:t>
      </w:r>
    </w:p>
    <w:p>
      <w:pPr>
        <w:spacing w:before="0" w:after="80" w:line="300" w:lineRule="auto"/>
        <w:ind w:left="360" w:hanging="360"/>
      </w:pPr>
      <w:r>
        <w:rPr>
          <w:rFonts w:ascii="Arial Unicode MS" w:hAnsi="Arial Unicode MS" w:eastAsia="Arial Unicode MS" w:cs="Arial Unicode MS"/>
        </w:rPr>
        <w:t>4.  接入新系统时替换对象数据连接器，上层Capability接口保持稳定。</w:t>
      </w:r>
    </w:p>
    <w:p>
      <w:pPr>
        <w:spacing w:before="0" w:after="80" w:line="300" w:lineRule="auto"/>
        <w:ind w:left="360" w:hanging="360"/>
      </w:pPr>
      <w:r>
        <w:rPr>
          <w:rFonts w:ascii="Arial Unicode MS" w:hAnsi="Arial Unicode MS" w:eastAsia="Arial Unicode MS" w:cs="Arial Unicode MS"/>
        </w:rPr>
        <w:t>5.  新增写操作时创建Action定义，并补齐权限、前置条件、确认、幂等和补偿。</w:t>
      </w:r>
    </w:p>
    <w:p>
      <w:pPr>
        <w:spacing w:before="0" w:after="80" w:line="300" w:lineRule="auto"/>
        <w:ind w:left="360" w:hanging="360"/>
      </w:pPr>
      <w:r>
        <w:rPr>
          <w:rFonts w:ascii="Arial Unicode MS" w:hAnsi="Arial Unicode MS" w:eastAsia="Arial Unicode MS" w:cs="Arial Unicode MS"/>
        </w:rPr>
        <w:t>6.  每次发布先跑离线回归，再做影子运行和小流量灰度。</w:t>
      </w:r>
    </w:p>
    <w:p>
      <w:pPr>
        <w:pStyle w:val="Heading2"/>
        <w:keepNext/>
      </w:pPr>
      <w:r>
        <w:t>13.2 配置发布流程</w:t>
      </w:r>
    </w:p>
    <w:p>
      <w:pPr>
        <w:keepLines w:val="0"/>
        <w:spacing w:before="0" w:after="120" w:line="300" w:lineRule="auto"/>
      </w:pPr>
      <w:r>
        <w:rPr>
          <w:rFonts w:ascii="Arial Unicode MS" w:hAnsi="Arial Unicode MS" w:eastAsia="Arial Unicode MS" w:cs="Arial Unicode MS"/>
        </w:rPr>
        <w:t>业务或产品人员提交意图、规则、知识或能力变更；平台自动校验Schema和依赖；测试环境运行回归样本；业务负责人审核规则；安全负责人审核L3和L4 Action；影子环境比较新旧版本；通过后按5%、20%、50%和100%逐级放量。</w:t>
      </w:r>
    </w:p>
    <w:p>
      <w:pPr>
        <w:pStyle w:val="Heading2"/>
        <w:keepNext/>
      </w:pPr>
      <w:r>
        <w:t>13.3 版本对象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版本类型</w:t>
            </w:r>
          </w:p>
        </w:tc>
        <w:tc>
          <w:tcPr>
            <w:tcW w:type="dxa" w:w="712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Ontology Schema</w:t>
            </w:r>
          </w:p>
        </w:tc>
        <w:tc>
          <w:tcPr>
            <w:tcW w:type="dxa" w:w="71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对象和属性变更保持向后兼容，破坏性变更需要迁移方案</w:t>
            </w:r>
          </w:p>
        </w:tc>
      </w:tr>
      <w:tr>
        <w:tc>
          <w:tcPr>
            <w:tcW w:type="dxa" w:w="237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Intent Model</w:t>
            </w:r>
          </w:p>
        </w:tc>
        <w:tc>
          <w:tcPr>
            <w:tcW w:type="dxa" w:w="71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保存训练集版本、指标和混淆矩阵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Capability</w:t>
            </w:r>
          </w:p>
        </w:tc>
        <w:tc>
          <w:tcPr>
            <w:tcW w:type="dxa" w:w="71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输入输出Schema版本化</w:t>
            </w:r>
          </w:p>
        </w:tc>
      </w:tr>
      <w:tr>
        <w:tc>
          <w:tcPr>
            <w:tcW w:type="dxa" w:w="237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Rule</w:t>
            </w:r>
          </w:p>
        </w:tc>
        <w:tc>
          <w:tcPr>
            <w:tcW w:type="dxa" w:w="71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责任人、生效期、审批人和回滚版本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Prompt与Model</w:t>
            </w:r>
          </w:p>
        </w:tc>
        <w:tc>
          <w:tcPr>
            <w:tcW w:type="dxa" w:w="71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保存精确模型、参数、模板和评估结果</w:t>
            </w:r>
          </w:p>
        </w:tc>
      </w:tr>
      <w:tr>
        <w:tc>
          <w:tcPr>
            <w:tcW w:type="dxa" w:w="237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Knowledge</w:t>
            </w:r>
          </w:p>
        </w:tc>
        <w:tc>
          <w:tcPr>
            <w:tcW w:type="dxa" w:w="71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文档版本、生效期、对象标签和索引批次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</w:pPr>
      <w:r>
        <w:t>14 项目计划与里程碑</w:t>
      </w:r>
    </w:p>
    <w:p>
      <w:pPr>
        <w:keepLines w:val="0"/>
        <w:spacing w:before="0" w:after="120" w:line="300" w:lineRule="auto"/>
      </w:pPr>
      <w:r>
        <w:rPr>
          <w:rFonts w:ascii="Arial Unicode MS" w:hAnsi="Arial Unicode MS" w:eastAsia="Arial Unicode MS" w:cs="Arial Unicode MS"/>
        </w:rPr>
        <w:t>计划总周期为28周。接口准备、Ontology建模、平台开发和业务场景可以并行，但P0场景上线前必须完成身份、权限、审计和Action安全检查。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8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30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工作</w:t>
            </w:r>
          </w:p>
        </w:tc>
        <w:tc>
          <w:tcPr>
            <w:tcW w:type="dxa" w:w="165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446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主要产出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阶段0</w:t>
            </w:r>
          </w:p>
        </w:tc>
        <w:tc>
          <w:tcPr>
            <w:tcW w:type="dxa" w:w="230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立项与业务发现</w:t>
            </w:r>
          </w:p>
        </w:tc>
        <w:tc>
          <w:tcPr>
            <w:tcW w:type="dxa" w:w="16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第1至2周</w:t>
            </w:r>
          </w:p>
        </w:tc>
        <w:tc>
          <w:tcPr>
            <w:tcW w:type="dxa" w:w="44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范围、KPI、20个意图确认、5个P0场景、接口清单</w:t>
            </w:r>
          </w:p>
        </w:tc>
      </w:tr>
      <w:tr>
        <w:tc>
          <w:tcPr>
            <w:tcW w:type="dxa" w:w="10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阶段1</w:t>
            </w:r>
          </w:p>
        </w:tc>
        <w:tc>
          <w:tcPr>
            <w:tcW w:type="dxa" w:w="230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本体与方案设计</w:t>
            </w:r>
          </w:p>
        </w:tc>
        <w:tc>
          <w:tcPr>
            <w:tcW w:type="dxa" w:w="165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第3至5周</w:t>
            </w:r>
          </w:p>
        </w:tc>
        <w:tc>
          <w:tcPr>
            <w:tcW w:type="dxa" w:w="446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对象模型、关系、Capability、规则和Action设计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阶段2</w:t>
            </w:r>
          </w:p>
        </w:tc>
        <w:tc>
          <w:tcPr>
            <w:tcW w:type="dxa" w:w="230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平台基础能力</w:t>
            </w:r>
          </w:p>
        </w:tc>
        <w:tc>
          <w:tcPr>
            <w:tcW w:type="dxa" w:w="16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第4至9周</w:t>
            </w:r>
          </w:p>
        </w:tc>
        <w:tc>
          <w:tcPr>
            <w:tcW w:type="dxa" w:w="44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统一State、公共LangGraph、Ontology Runtime、审计骨架</w:t>
            </w:r>
          </w:p>
        </w:tc>
      </w:tr>
      <w:tr>
        <w:tc>
          <w:tcPr>
            <w:tcW w:type="dxa" w:w="10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阶段3</w:t>
            </w:r>
          </w:p>
        </w:tc>
        <w:tc>
          <w:tcPr>
            <w:tcW w:type="dxa" w:w="230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数据与RAG接入</w:t>
            </w:r>
          </w:p>
        </w:tc>
        <w:tc>
          <w:tcPr>
            <w:tcW w:type="dxa" w:w="165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第5至11周</w:t>
            </w:r>
          </w:p>
        </w:tc>
        <w:tc>
          <w:tcPr>
            <w:tcW w:type="dxa" w:w="446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车辆、商品、门店库存、预约、质保和知识域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阶段4</w:t>
            </w:r>
          </w:p>
        </w:tc>
        <w:tc>
          <w:tcPr>
            <w:tcW w:type="dxa" w:w="230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P0五场景开发</w:t>
            </w:r>
          </w:p>
        </w:tc>
        <w:tc>
          <w:tcPr>
            <w:tcW w:type="dxa" w:w="16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第8至15周</w:t>
            </w:r>
          </w:p>
        </w:tc>
        <w:tc>
          <w:tcPr>
            <w:tcW w:type="dxa" w:w="44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车型、选型、库存、取消预约、理赔和转人工能力</w:t>
            </w:r>
          </w:p>
        </w:tc>
      </w:tr>
      <w:tr>
        <w:tc>
          <w:tcPr>
            <w:tcW w:type="dxa" w:w="10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阶段5</w:t>
            </w:r>
          </w:p>
        </w:tc>
        <w:tc>
          <w:tcPr>
            <w:tcW w:type="dxa" w:w="230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P1十五场景扩展</w:t>
            </w:r>
          </w:p>
        </w:tc>
        <w:tc>
          <w:tcPr>
            <w:tcW w:type="dxa" w:w="165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第14至21周</w:t>
            </w:r>
          </w:p>
        </w:tc>
        <w:tc>
          <w:tcPr>
            <w:tcW w:type="dxa" w:w="446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全部20个意图、坐席工作台和运营视图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阶段6</w:t>
            </w:r>
          </w:p>
        </w:tc>
        <w:tc>
          <w:tcPr>
            <w:tcW w:type="dxa" w:w="230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联调与验收</w:t>
            </w:r>
          </w:p>
        </w:tc>
        <w:tc>
          <w:tcPr>
            <w:tcW w:type="dxa" w:w="16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第20至24周</w:t>
            </w:r>
          </w:p>
        </w:tc>
        <w:tc>
          <w:tcPr>
            <w:tcW w:type="dxa" w:w="44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安全、性能、回归、UAT和应急演练</w:t>
            </w:r>
          </w:p>
        </w:tc>
      </w:tr>
      <w:tr>
        <w:tc>
          <w:tcPr>
            <w:tcW w:type="dxa" w:w="10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阶段7</w:t>
            </w:r>
          </w:p>
        </w:tc>
        <w:tc>
          <w:tcPr>
            <w:tcW w:type="dxa" w:w="230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生产试点</w:t>
            </w:r>
          </w:p>
        </w:tc>
        <w:tc>
          <w:tcPr>
            <w:tcW w:type="dxa" w:w="165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第25至28周</w:t>
            </w:r>
          </w:p>
        </w:tc>
        <w:tc>
          <w:tcPr>
            <w:tcW w:type="dxa" w:w="446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灰度、运营复盘、指标验收和正式切换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14.1 关键里程碑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165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568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M1 需求基线</w:t>
            </w:r>
          </w:p>
        </w:tc>
        <w:tc>
          <w:tcPr>
            <w:tcW w:type="dxa" w:w="16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第2周</w:t>
            </w:r>
          </w:p>
        </w:tc>
        <w:tc>
          <w:tcPr>
            <w:tcW w:type="dxa" w:w="56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场景、KPI、风险等级和接口责任人确认</w:t>
            </w:r>
          </w:p>
        </w:tc>
      </w:tr>
      <w:tr>
        <w:tc>
          <w:tcPr>
            <w:tcW w:type="dxa" w:w="216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M2 设计评审</w:t>
            </w:r>
          </w:p>
        </w:tc>
        <w:tc>
          <w:tcPr>
            <w:tcW w:type="dxa" w:w="165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第5周</w:t>
            </w:r>
          </w:p>
        </w:tc>
        <w:tc>
          <w:tcPr>
            <w:tcW w:type="dxa" w:w="56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Ontology、架构、Action边界和原型通过</w:t>
            </w:r>
          </w:p>
        </w:tc>
      </w:tr>
      <w:t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M3 平台骨架</w:t>
            </w:r>
          </w:p>
        </w:tc>
        <w:tc>
          <w:tcPr>
            <w:tcW w:type="dxa" w:w="16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第9周</w:t>
            </w:r>
          </w:p>
        </w:tc>
        <w:tc>
          <w:tcPr>
            <w:tcW w:type="dxa" w:w="56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公共图、对象查询、审计链路跑通</w:t>
            </w:r>
          </w:p>
        </w:tc>
      </w:tr>
      <w:tr>
        <w:tc>
          <w:tcPr>
            <w:tcW w:type="dxa" w:w="216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M4 P0完成</w:t>
            </w:r>
          </w:p>
        </w:tc>
        <w:tc>
          <w:tcPr>
            <w:tcW w:type="dxa" w:w="165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第15周</w:t>
            </w:r>
          </w:p>
        </w:tc>
        <w:tc>
          <w:tcPr>
            <w:tcW w:type="dxa" w:w="56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5个场景在测试环境端到端完成</w:t>
            </w:r>
          </w:p>
        </w:tc>
      </w:tr>
      <w:t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M5 全场景完成</w:t>
            </w:r>
          </w:p>
        </w:tc>
        <w:tc>
          <w:tcPr>
            <w:tcW w:type="dxa" w:w="16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第21周</w:t>
            </w:r>
          </w:p>
        </w:tc>
        <w:tc>
          <w:tcPr>
            <w:tcW w:type="dxa" w:w="56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20个意图进入回归测试</w:t>
            </w:r>
          </w:p>
        </w:tc>
      </w:tr>
      <w:tr>
        <w:tc>
          <w:tcPr>
            <w:tcW w:type="dxa" w:w="216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M6 上线许可</w:t>
            </w:r>
          </w:p>
        </w:tc>
        <w:tc>
          <w:tcPr>
            <w:tcW w:type="dxa" w:w="165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第24周</w:t>
            </w:r>
          </w:p>
        </w:tc>
        <w:tc>
          <w:tcPr>
            <w:tcW w:type="dxa" w:w="56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安全、性能和UAT通过</w:t>
            </w:r>
          </w:p>
        </w:tc>
      </w:tr>
      <w:t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M7 试点验收</w:t>
            </w:r>
          </w:p>
        </w:tc>
        <w:tc>
          <w:tcPr>
            <w:tcW w:type="dxa" w:w="16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第28周</w:t>
            </w:r>
          </w:p>
        </w:tc>
        <w:tc>
          <w:tcPr>
            <w:tcW w:type="dxa" w:w="56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达到约定KPI并完成问题关闭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</w:pPr>
      <w:r>
        <w:t>15 团队与资源投入</w:t>
      </w:r>
    </w:p>
    <w:p>
      <w:pPr>
        <w:pStyle w:val="Heading2"/>
        <w:keepNext/>
      </w:pPr>
      <w:r>
        <w:t>15.1 供应侧团队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108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峰值人数</w:t>
            </w:r>
          </w:p>
        </w:tc>
        <w:tc>
          <w:tcPr>
            <w:tcW w:type="dxa" w:w="194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主要阶段</w:t>
            </w:r>
          </w:p>
        </w:tc>
        <w:tc>
          <w:tcPr>
            <w:tcW w:type="dxa" w:w="453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职责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项目经理</w:t>
            </w:r>
          </w:p>
        </w:tc>
        <w:tc>
          <w:tcPr>
            <w:tcW w:type="dxa" w:w="10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1</w:t>
            </w:r>
          </w:p>
        </w:tc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全程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计划、风险、跨团队协调、验收</w:t>
            </w:r>
          </w:p>
        </w:tc>
      </w:tr>
      <w:tr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产品经理</w:t>
            </w:r>
          </w:p>
        </w:tc>
        <w:tc>
          <w:tcPr>
            <w:tcW w:type="dxa" w:w="10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1至2</w:t>
            </w:r>
          </w:p>
        </w:tc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全程</w:t>
            </w:r>
          </w:p>
        </w:tc>
        <w:tc>
          <w:tcPr>
            <w:tcW w:type="dxa" w:w="453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PRD、原型、场景和运营指标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业务分析与FDE</w:t>
            </w:r>
          </w:p>
        </w:tc>
        <w:tc>
          <w:tcPr>
            <w:tcW w:type="dxa" w:w="10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2</w:t>
            </w:r>
          </w:p>
        </w:tc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前16周为主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驻场调研、规则、验收样本和业务闭环</w:t>
            </w:r>
          </w:p>
        </w:tc>
      </w:tr>
      <w:tr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Ontology架构师</w:t>
            </w:r>
          </w:p>
        </w:tc>
        <w:tc>
          <w:tcPr>
            <w:tcW w:type="dxa" w:w="10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1</w:t>
            </w:r>
          </w:p>
        </w:tc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全程</w:t>
            </w:r>
          </w:p>
        </w:tc>
        <w:tc>
          <w:tcPr>
            <w:tcW w:type="dxa" w:w="453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对象、关系、能力和Action标准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解决方案架构师</w:t>
            </w:r>
          </w:p>
        </w:tc>
        <w:tc>
          <w:tcPr>
            <w:tcW w:type="dxa" w:w="10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1</w:t>
            </w:r>
          </w:p>
        </w:tc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全程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总体架构、接口、安全和非功能</w:t>
            </w:r>
          </w:p>
        </w:tc>
      </w:tr>
      <w:tr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AI算法工程师</w:t>
            </w:r>
          </w:p>
        </w:tc>
        <w:tc>
          <w:tcPr>
            <w:tcW w:type="dxa" w:w="10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2</w:t>
            </w:r>
          </w:p>
        </w:tc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第3至24周</w:t>
            </w:r>
          </w:p>
        </w:tc>
        <w:tc>
          <w:tcPr>
            <w:tcW w:type="dxa" w:w="453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意图、实体、RAG、评估和模型治理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后端工程师</w:t>
            </w:r>
          </w:p>
        </w:tc>
        <w:tc>
          <w:tcPr>
            <w:tcW w:type="dxa" w:w="10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3</w:t>
            </w:r>
          </w:p>
        </w:tc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第4至24周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>Runtime、连接器、Function、Action和审计</w:t>
            </w:r>
          </w:p>
        </w:tc>
      </w:tr>
      <w:tr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前端工程师</w:t>
            </w:r>
          </w:p>
        </w:tc>
        <w:tc>
          <w:tcPr>
            <w:tcW w:type="dxa" w:w="10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2</w:t>
            </w:r>
          </w:p>
        </w:tc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第7至24周</w:t>
            </w:r>
          </w:p>
        </w:tc>
        <w:tc>
          <w:tcPr>
            <w:tcW w:type="dxa" w:w="453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聊天组件、坐席和配置运营端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数据工程师</w:t>
            </w:r>
          </w:p>
        </w:tc>
        <w:tc>
          <w:tcPr>
            <w:tcW w:type="dxa" w:w="10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1至2</w:t>
            </w:r>
          </w:p>
        </w:tc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第4至18周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对象映射、数据质量和索引</w:t>
            </w:r>
          </w:p>
        </w:tc>
      </w:tr>
      <w:tr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测试工程师</w:t>
            </w:r>
          </w:p>
        </w:tc>
        <w:tc>
          <w:tcPr>
            <w:tcW w:type="dxa" w:w="10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2</w:t>
            </w:r>
          </w:p>
        </w:tc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第8至28周</w:t>
            </w:r>
          </w:p>
        </w:tc>
        <w:tc>
          <w:tcPr>
            <w:tcW w:type="dxa" w:w="453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功能、回归、接口、性能和安全测试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DevOps与安全</w:t>
            </w:r>
          </w:p>
        </w:tc>
        <w:tc>
          <w:tcPr>
            <w:tcW w:type="dxa" w:w="10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1</w:t>
            </w:r>
          </w:p>
        </w:tc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第4至28周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环境、发布、监控、安全和应急</w:t>
            </w:r>
          </w:p>
        </w:tc>
      </w:tr>
      <w:tr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UI设计师</w:t>
            </w:r>
          </w:p>
        </w:tc>
        <w:tc>
          <w:tcPr>
            <w:tcW w:type="dxa" w:w="10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0.5</w:t>
            </w:r>
          </w:p>
        </w:tc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第2至10周</w:t>
            </w:r>
          </w:p>
        </w:tc>
        <w:tc>
          <w:tcPr>
            <w:tcW w:type="dxa" w:w="453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交互、组件和视觉规范</w:t>
            </w:r>
          </w:p>
        </w:tc>
      </w:tr>
    </w:tbl>
    <w:p>
      <w:pPr>
        <w:spacing w:before="0" w:after="40" w:line="300" w:lineRule="auto"/>
      </w:pPr>
    </w:p>
    <w:p>
      <w:pPr>
        <w:keepLines w:val="0"/>
        <w:spacing w:before="0" w:after="120" w:line="300" w:lineRule="auto"/>
      </w:pPr>
      <w:r>
        <w:rPr>
          <w:rFonts w:ascii="Arial Unicode MS" w:hAnsi="Arial Unicode MS" w:eastAsia="Arial Unicode MS" w:cs="Arial Unicode MS"/>
        </w:rPr>
        <w:t>供应侧峰值约15至17人，平均约11至13人，预计总投入72至86人月。实际人数取决于客户接口成熟度、前端复用程度和私有化部署要求。</w:t>
      </w:r>
    </w:p>
    <w:p>
      <w:pPr>
        <w:pStyle w:val="Heading2"/>
        <w:keepNext/>
      </w:pPr>
      <w:r>
        <w:t>15.2 客户侧投入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37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建议投入</w:t>
            </w:r>
          </w:p>
        </w:tc>
        <w:tc>
          <w:tcPr>
            <w:tcW w:type="dxa" w:w="482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业务负责人</w:t>
            </w:r>
          </w:p>
        </w:tc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0.5人全程</w:t>
            </w:r>
          </w:p>
        </w:tc>
        <w:tc>
          <w:tcPr>
            <w:tcW w:type="dxa" w:w="48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范围、规则和KPI拍板</w:t>
            </w:r>
          </w:p>
        </w:tc>
      </w:tr>
      <w:tr>
        <w:tc>
          <w:tcPr>
            <w:tcW w:type="dxa" w:w="230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产品与客服运营</w:t>
            </w:r>
          </w:p>
        </w:tc>
        <w:tc>
          <w:tcPr>
            <w:tcW w:type="dxa" w:w="237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1至2人全程</w:t>
            </w:r>
          </w:p>
        </w:tc>
        <w:tc>
          <w:tcPr>
            <w:tcW w:type="dxa" w:w="48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场景、语料、原型和运营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商品与技术专家</w:t>
            </w:r>
          </w:p>
        </w:tc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每周1至2人日</w:t>
            </w:r>
          </w:p>
        </w:tc>
        <w:tc>
          <w:tcPr>
            <w:tcW w:type="dxa" w:w="48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轮胎、维修保养规则确认</w:t>
            </w:r>
          </w:p>
        </w:tc>
      </w:tr>
      <w:tr>
        <w:tc>
          <w:tcPr>
            <w:tcW w:type="dxa" w:w="230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质保与售后专家</w:t>
            </w:r>
          </w:p>
        </w:tc>
        <w:tc>
          <w:tcPr>
            <w:tcW w:type="dxa" w:w="237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每周1至2人日</w:t>
            </w:r>
          </w:p>
        </w:tc>
        <w:tc>
          <w:tcPr>
            <w:tcW w:type="dxa" w:w="48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政策、理赔和人工审核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IT与数据负责人</w:t>
            </w:r>
          </w:p>
        </w:tc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1至2人全程</w:t>
            </w:r>
          </w:p>
        </w:tc>
        <w:tc>
          <w:tcPr>
            <w:tcW w:type="dxa" w:w="48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接口、数据、环境和上线</w:t>
            </w:r>
          </w:p>
        </w:tc>
      </w:tr>
      <w:tr>
        <w:tc>
          <w:tcPr>
            <w:tcW w:type="dxa" w:w="230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安全与合规</w:t>
            </w:r>
          </w:p>
        </w:tc>
        <w:tc>
          <w:tcPr>
            <w:tcW w:type="dxa" w:w="237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关键评审参与</w:t>
            </w:r>
          </w:p>
        </w:tc>
        <w:tc>
          <w:tcPr>
            <w:tcW w:type="dxa" w:w="48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权限、隐私、安全测试和上线许可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</w:pPr>
      <w:r>
        <w:t>16 费用估算</w:t>
      </w:r>
    </w:p>
    <w:p>
      <w:pPr>
        <w:keepLines w:val="0"/>
        <w:spacing w:before="0" w:after="120" w:line="300" w:lineRule="auto"/>
      </w:pPr>
      <w:r>
        <w:rPr>
          <w:rFonts w:ascii="Arial Unicode MS" w:hAnsi="Arial Unicode MS" w:eastAsia="Arial Unicode MS" w:cs="Arial Unicode MS"/>
        </w:rPr>
        <w:t>以下为2026年新项目规划级估算，适用于立项预算，不作为最终商务报价。估算基于28周、72至86供应侧人月、复用现有云或数据中心基础设施，并假设订单、库存、预约、会员和质保系统提供可用API。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费用项</w:t>
            </w:r>
          </w:p>
        </w:tc>
        <w:tc>
          <w:tcPr>
            <w:tcW w:type="dxa" w:w="194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投入依据</w:t>
            </w:r>
          </w:p>
        </w:tc>
        <w:tc>
          <w:tcPr>
            <w:tcW w:type="dxa" w:w="180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估算区间</w:t>
            </w:r>
          </w:p>
        </w:tc>
        <w:tc>
          <w:tcPr>
            <w:tcW w:type="dxa" w:w="360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产品、业务与架构</w:t>
            </w:r>
          </w:p>
        </w:tc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18至22人月</w:t>
            </w:r>
          </w:p>
        </w:tc>
        <w:tc>
          <w:tcPr>
            <w:tcW w:type="dxa" w:w="180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95至145万元</w:t>
            </w:r>
          </w:p>
        </w:tc>
        <w:tc>
          <w:tcPr>
            <w:tcW w:type="dxa" w:w="360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>产品、FDE、Ontology与方案架构</w:t>
            </w:r>
          </w:p>
        </w:tc>
      </w:tr>
      <w:tr>
        <w:tc>
          <w:tcPr>
            <w:tcW w:type="dxa" w:w="230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AI、数据与RAG</w:t>
            </w:r>
          </w:p>
        </w:tc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16至20人月</w:t>
            </w:r>
          </w:p>
        </w:tc>
        <w:tc>
          <w:tcPr>
            <w:tcW w:type="dxa" w:w="180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85至135万元</w:t>
            </w:r>
          </w:p>
        </w:tc>
        <w:tc>
          <w:tcPr>
            <w:tcW w:type="dxa" w:w="360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意图、实体、检索、评估和数据映射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后端与集成</w:t>
            </w:r>
          </w:p>
        </w:tc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22至26人月</w:t>
            </w:r>
          </w:p>
        </w:tc>
        <w:tc>
          <w:tcPr>
            <w:tcW w:type="dxa" w:w="180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115至175万元</w:t>
            </w:r>
          </w:p>
        </w:tc>
        <w:tc>
          <w:tcPr>
            <w:tcW w:type="dxa" w:w="360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>Runtime、连接器、Function、Action和审计</w:t>
            </w:r>
          </w:p>
        </w:tc>
      </w:tr>
      <w:tr>
        <w:tc>
          <w:tcPr>
            <w:tcW w:type="dxa" w:w="230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前端与交互</w:t>
            </w:r>
          </w:p>
        </w:tc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9至12人月</w:t>
            </w:r>
          </w:p>
        </w:tc>
        <w:tc>
          <w:tcPr>
            <w:tcW w:type="dxa" w:w="180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45至75万元</w:t>
            </w:r>
          </w:p>
        </w:tc>
        <w:tc>
          <w:tcPr>
            <w:tcW w:type="dxa" w:w="360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聊天、坐席、配置与运营端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测试、DevOps和安全</w:t>
            </w:r>
          </w:p>
        </w:tc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12至16人月</w:t>
            </w:r>
          </w:p>
        </w:tc>
        <w:tc>
          <w:tcPr>
            <w:tcW w:type="dxa" w:w="180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60至105万元</w:t>
            </w:r>
          </w:p>
        </w:tc>
        <w:tc>
          <w:tcPr>
            <w:tcW w:type="dxa" w:w="360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测试、环境、监控、安全和上线</w:t>
            </w:r>
          </w:p>
        </w:tc>
      </w:tr>
      <w:tr>
        <w:tc>
          <w:tcPr>
            <w:tcW w:type="dxa" w:w="230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模型、向量库和运行基础设施</w:t>
            </w:r>
          </w:p>
        </w:tc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项目期</w:t>
            </w:r>
          </w:p>
        </w:tc>
        <w:tc>
          <w:tcPr>
            <w:tcW w:type="dxa" w:w="180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25至65万元</w:t>
            </w:r>
          </w:p>
        </w:tc>
        <w:tc>
          <w:tcPr>
            <w:tcW w:type="dxa" w:w="360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开发测试和试点流量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安全测评与专项测试</w:t>
            </w:r>
          </w:p>
        </w:tc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项目期</w:t>
            </w:r>
          </w:p>
        </w:tc>
        <w:tc>
          <w:tcPr>
            <w:tcW w:type="dxa" w:w="180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15至35万元</w:t>
            </w:r>
          </w:p>
        </w:tc>
        <w:tc>
          <w:tcPr>
            <w:tcW w:type="dxa" w:w="360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渗透、隐私和性能专项</w:t>
            </w:r>
          </w:p>
        </w:tc>
      </w:tr>
      <w:tr>
        <w:tc>
          <w:tcPr>
            <w:tcW w:type="dxa" w:w="230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预备费</w:t>
            </w:r>
          </w:p>
        </w:tc>
        <w:tc>
          <w:tcPr>
            <w:tcW w:type="dxa" w:w="194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约10%至15%</w:t>
            </w:r>
          </w:p>
        </w:tc>
        <w:tc>
          <w:tcPr>
            <w:tcW w:type="dxa" w:w="180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35至60万元</w:t>
            </w:r>
          </w:p>
        </w:tc>
        <w:tc>
          <w:tcPr>
            <w:tcW w:type="dxa" w:w="360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6"/>
              </w:rPr>
              <w:t>接口变化、数据清洗和范围波动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16.1 总预算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口径</w:t>
            </w:r>
          </w:p>
        </w:tc>
        <w:tc>
          <w:tcPr>
            <w:tcW w:type="dxa" w:w="561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预算</w:t>
            </w:r>
          </w:p>
        </w:tc>
      </w:tr>
      <w:tr>
        <w:tc>
          <w:tcPr>
            <w:tcW w:type="dxa" w:w="38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9"/>
              </w:rPr>
              <w:t>推荐项目预算</w:t>
            </w:r>
          </w:p>
        </w:tc>
        <w:tc>
          <w:tcPr>
            <w:tcW w:type="dxa" w:w="56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9"/>
              </w:rPr>
              <w:t>人民币440万元至690万元</w:t>
            </w:r>
          </w:p>
        </w:tc>
      </w:tr>
      <w:tr>
        <w:tc>
          <w:tcPr>
            <w:tcW w:type="dxa" w:w="38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9"/>
              </w:rPr>
              <w:t>建议立项控制数</w:t>
            </w:r>
          </w:p>
        </w:tc>
        <w:tc>
          <w:tcPr>
            <w:tcW w:type="dxa" w:w="561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9"/>
              </w:rPr>
              <w:t>人民币550万元</w:t>
            </w:r>
          </w:p>
        </w:tc>
      </w:tr>
      <w:tr>
        <w:tc>
          <w:tcPr>
            <w:tcW w:type="dxa" w:w="38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9"/>
              </w:rPr>
              <w:t>可选私有化硬件与商业软件</w:t>
            </w:r>
          </w:p>
        </w:tc>
        <w:tc>
          <w:tcPr>
            <w:tcW w:type="dxa" w:w="56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9"/>
              </w:rPr>
              <w:t>另增加人民币80万元至300万元</w:t>
            </w:r>
          </w:p>
        </w:tc>
      </w:tr>
      <w:tr>
        <w:tc>
          <w:tcPr>
            <w:tcW w:type="dxa" w:w="388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9"/>
              </w:rPr>
              <w:t>客户侧内部人员成本</w:t>
            </w:r>
          </w:p>
        </w:tc>
        <w:tc>
          <w:tcPr>
            <w:tcW w:type="dxa" w:w="561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9"/>
              </w:rPr>
              <w:t>未计入，预计15至25人月</w:t>
            </w:r>
          </w:p>
        </w:tc>
      </w:tr>
      <w:tr>
        <w:tc>
          <w:tcPr>
            <w:tcW w:type="dxa" w:w="38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9"/>
              </w:rPr>
              <w:t>上线后年度运维</w:t>
            </w:r>
          </w:p>
        </w:tc>
        <w:tc>
          <w:tcPr>
            <w:tcW w:type="dxa" w:w="56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9"/>
              </w:rPr>
              <w:t>通常为建设费用的15%至25%，另加模型实际调用成本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16.2 费用敏感因素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如果源系统没有稳定API，需要新增适配和数据治理，预算可能增加15%至30%。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如果一期只上线5个P0场景，预算可控制在人民币220万元至360万元，周期约16至18周。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如果仅做知识问答且不建设Action、坐席和审计，成本可进一步下降，但不属于本PRD选择的方案B范围。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如果要求全栈私有化、高可用双中心或国产化软硬件适配，需要单独估算。</w:t>
      </w:r>
    </w:p>
    <w:p>
      <w:pPr>
        <w:pStyle w:val="Heading1"/>
        <w:keepNext/>
      </w:pPr>
      <w:r>
        <w:t>17 验收标准</w:t>
      </w:r>
    </w:p>
    <w:p>
      <w:pPr>
        <w:pStyle w:val="Heading2"/>
        <w:keepNext/>
      </w:pPr>
      <w:r>
        <w:t>17.1 产品验收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20个二级意图全部有明确Capability、风险等级和处理链路。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客户聊天端能够完成问答、查询、确认、上传、进度和转人工。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人工工作台能够查看对象、证据、规则、建议并完成审批或接管。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配置变更经过测试、审批、灰度和回滚流程。</w:t>
      </w:r>
    </w:p>
    <w:p>
      <w:pPr>
        <w:pStyle w:val="Heading2"/>
        <w:keepNext/>
      </w:pPr>
      <w:r>
        <w:t>17.2 技术验收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核心对象主键和关系映射完成，并通过数据质量检查。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读Function与写Action边界清晰，写Action全部具备幂等、前置条件和审计。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满足第2.3节KPI和第12节非功能需求。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任意生产回答可以定位意图模型、规则、对象数据、知识和模型版本。</w:t>
      </w:r>
    </w:p>
    <w:p>
      <w:pPr>
        <w:pStyle w:val="ListBullet"/>
        <w:spacing w:before="0" w:after="60" w:line="300" w:lineRule="auto"/>
      </w:pPr>
      <w:r>
        <w:rPr>
          <w:rFonts w:ascii="Arial Unicode MS" w:hAnsi="Arial Unicode MS" w:eastAsia="Arial Unicode MS" w:cs="Arial Unicode MS"/>
        </w:rPr>
        <w:t>完成异常、降级、补偿、安全和灾备演练。</w:t>
      </w:r>
    </w:p>
    <w:p>
      <w:pPr>
        <w:pStyle w:val="Heading2"/>
        <w:keepNext/>
      </w:pPr>
      <w:r>
        <w:t>17.3 业务验收样本</w:t>
      </w:r>
    </w:p>
    <w:p>
      <w:pPr>
        <w:keepLines w:val="0"/>
        <w:spacing w:before="0" w:after="120" w:line="300" w:lineRule="auto"/>
      </w:pPr>
      <w:r>
        <w:rPr>
          <w:rFonts w:ascii="Arial Unicode MS" w:hAnsi="Arial Unicode MS" w:eastAsia="Arial Unicode MS" w:cs="Arial Unicode MS"/>
        </w:rPr>
        <w:t>每个二级意图至少准备正常、缺参数、对象歧义、无权限、低置信度、源系统超时和人工接管样本。每个L3和L4场景另需覆盖重复提交、对象版本冲突、审批驳回和Action部分失败。</w:t>
      </w:r>
    </w:p>
    <w:p>
      <w:pPr>
        <w:pStyle w:val="Heading1"/>
        <w:keepNext/>
      </w:pPr>
      <w:r>
        <w:t>18 项目风险与待决策事项</w:t>
      </w:r>
    </w:p>
    <w:p>
      <w:pPr>
        <w:pStyle w:val="Heading2"/>
        <w:keepNext/>
      </w:pPr>
      <w:r>
        <w:t>18.1 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16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96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应对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源系统接口不稳定</w:t>
            </w:r>
          </w:p>
        </w:tc>
        <w:tc>
          <w:tcPr>
            <w:tcW w:type="dxa" w:w="31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查询和Action无法达到上线指标</w:t>
            </w:r>
          </w:p>
        </w:tc>
        <w:tc>
          <w:tcPr>
            <w:tcW w:type="dxa" w:w="39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第2周锁定接口责任人，建立Mock和降级策略</w:t>
            </w:r>
          </w:p>
        </w:tc>
      </w:tr>
      <w:tr>
        <w:tc>
          <w:tcPr>
            <w:tcW w:type="dxa" w:w="237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对象主键不统一</w:t>
            </w:r>
          </w:p>
        </w:tc>
        <w:tc>
          <w:tcPr>
            <w:tcW w:type="dxa" w:w="316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客户、车辆、订单无法可靠关联</w:t>
            </w:r>
          </w:p>
        </w:tc>
        <w:tc>
          <w:tcPr>
            <w:tcW w:type="dxa" w:w="396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优先完成主数据映射和消歧规则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业务规则未形成书面口径</w:t>
            </w:r>
          </w:p>
        </w:tc>
        <w:tc>
          <w:tcPr>
            <w:tcW w:type="dxa" w:w="31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模型和人工处理结果不一致</w:t>
            </w:r>
          </w:p>
        </w:tc>
        <w:tc>
          <w:tcPr>
            <w:tcW w:type="dxa" w:w="39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规则指定责任人、版本和生效期</w:t>
            </w:r>
          </w:p>
        </w:tc>
      </w:tr>
      <w:tr>
        <w:tc>
          <w:tcPr>
            <w:tcW w:type="dxa" w:w="237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过度依赖大模型判断</w:t>
            </w:r>
          </w:p>
        </w:tc>
        <w:tc>
          <w:tcPr>
            <w:tcW w:type="dxa" w:w="316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关键操作不可预测</w:t>
            </w:r>
          </w:p>
        </w:tc>
        <w:tc>
          <w:tcPr>
            <w:tcW w:type="dxa" w:w="396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关键条件落到确定性规则和Action校验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一期平台范围过大</w:t>
            </w:r>
          </w:p>
        </w:tc>
        <w:tc>
          <w:tcPr>
            <w:tcW w:type="dxa" w:w="31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延期并降低业务验收质量</w:t>
            </w:r>
          </w:p>
        </w:tc>
        <w:tc>
          <w:tcPr>
            <w:tcW w:type="dxa" w:w="39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先完成P0五场景和最小配置能力</w:t>
            </w:r>
          </w:p>
        </w:tc>
      </w:tr>
      <w:tr>
        <w:tc>
          <w:tcPr>
            <w:tcW w:type="dxa" w:w="237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客户侧投入不足</w:t>
            </w:r>
          </w:p>
        </w:tc>
        <w:tc>
          <w:tcPr>
            <w:tcW w:type="dxa" w:w="316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语料、规则、接口和UAT阻塞</w:t>
            </w:r>
          </w:p>
        </w:tc>
        <w:tc>
          <w:tcPr>
            <w:tcW w:type="dxa" w:w="396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立项时确认客户侧角色和每周投入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18.2 立项前必须确认</w:t>
      </w:r>
    </w:p>
    <w:p>
      <w:pPr>
        <w:spacing w:before="0" w:after="80" w:line="300" w:lineRule="auto"/>
        <w:ind w:left="360" w:hanging="360"/>
      </w:pPr>
      <w:r>
        <w:rPr>
          <w:rFonts w:ascii="Arial Unicode MS" w:hAnsi="Arial Unicode MS" w:eastAsia="Arial Unicode MS" w:cs="Arial Unicode MS"/>
        </w:rPr>
        <w:t>1.  客户聊天端使用现有App、小程序还是新建Web组件。</w:t>
      </w:r>
    </w:p>
    <w:p>
      <w:pPr>
        <w:spacing w:before="0" w:after="80" w:line="300" w:lineRule="auto"/>
        <w:ind w:left="360" w:hanging="360"/>
      </w:pPr>
      <w:r>
        <w:rPr>
          <w:rFonts w:ascii="Arial Unicode MS" w:hAnsi="Arial Unicode MS" w:eastAsia="Arial Unicode MS" w:cs="Arial Unicode MS"/>
        </w:rPr>
        <w:t>2.  20个意图的准确名称、风险基线和业务责任人。</w:t>
      </w:r>
    </w:p>
    <w:p>
      <w:pPr>
        <w:spacing w:before="0" w:after="80" w:line="300" w:lineRule="auto"/>
        <w:ind w:left="360" w:hanging="360"/>
      </w:pPr>
      <w:r>
        <w:rPr>
          <w:rFonts w:ascii="Arial Unicode MS" w:hAnsi="Arial Unicode MS" w:eastAsia="Arial Unicode MS" w:cs="Arial Unicode MS"/>
        </w:rPr>
        <w:t>3.  P0五场景的成功指标及试点用户范围。</w:t>
      </w:r>
    </w:p>
    <w:p>
      <w:pPr>
        <w:spacing w:before="0" w:after="80" w:line="300" w:lineRule="auto"/>
        <w:ind w:left="360" w:hanging="360"/>
      </w:pPr>
      <w:r>
        <w:rPr>
          <w:rFonts w:ascii="Arial Unicode MS" w:hAnsi="Arial Unicode MS" w:eastAsia="Arial Unicode MS" w:cs="Arial Unicode MS"/>
        </w:rPr>
        <w:t>4.  订单、预约、库存、车辆、质保和客服系统接口成熟度。</w:t>
      </w:r>
    </w:p>
    <w:p>
      <w:pPr>
        <w:spacing w:before="0" w:after="80" w:line="300" w:lineRule="auto"/>
        <w:ind w:left="360" w:hanging="360"/>
      </w:pPr>
      <w:r>
        <w:rPr>
          <w:rFonts w:ascii="Arial Unicode MS" w:hAnsi="Arial Unicode MS" w:eastAsia="Arial Unicode MS" w:cs="Arial Unicode MS"/>
        </w:rPr>
        <w:t>5.  哪些Action允许用户确认后自动执行，哪些必须人工审批。</w:t>
      </w:r>
    </w:p>
    <w:p>
      <w:pPr>
        <w:spacing w:before="0" w:after="80" w:line="300" w:lineRule="auto"/>
        <w:ind w:left="360" w:hanging="360"/>
      </w:pPr>
      <w:r>
        <w:rPr>
          <w:rFonts w:ascii="Arial Unicode MS" w:hAnsi="Arial Unicode MS" w:eastAsia="Arial Unicode MS" w:cs="Arial Unicode MS"/>
        </w:rPr>
        <w:t>6.  部署在公有云、客户私有云还是本地数据中心。</w:t>
      </w:r>
    </w:p>
    <w:p>
      <w:pPr>
        <w:spacing w:before="0" w:after="80" w:line="300" w:lineRule="auto"/>
        <w:ind w:left="360" w:hanging="360"/>
      </w:pPr>
      <w:r>
        <w:rPr>
          <w:rFonts w:ascii="Arial Unicode MS" w:hAnsi="Arial Unicode MS" w:eastAsia="Arial Unicode MS" w:cs="Arial Unicode MS"/>
        </w:rPr>
        <w:t>7.  日志和会话数据保留期限，以及敏感信息脱敏规则。</w:t>
      </w:r>
    </w:p>
    <w:p>
      <w:pPr>
        <w:spacing w:before="0" w:after="80" w:line="300" w:lineRule="auto"/>
        <w:ind w:left="360" w:hanging="360"/>
      </w:pPr>
      <w:r>
        <w:rPr>
          <w:rFonts w:ascii="Arial Unicode MS" w:hAnsi="Arial Unicode MS" w:eastAsia="Arial Unicode MS" w:cs="Arial Unicode MS"/>
        </w:rPr>
        <w:t>8.  预算采用P0试点分段立项，还是一次批准全量28周计划。</w:t>
      </w:r>
    </w:p>
    <w:p>
      <w:pPr>
        <w:pStyle w:val="Heading1"/>
        <w:keepNext/>
      </w:pPr>
      <w:r>
        <w:t>附录A 核心配置示例</w:t>
      </w:r>
    </w:p>
    <w:p>
      <w:pPr>
        <w:pStyle w:val="Heading2"/>
        <w:keepNext/>
      </w:pPr>
      <w:r>
        <w:t>A.1 意图与能力映射</w:t>
      </w:r>
    </w:p>
    <w:p>
      <w:pPr>
        <w:shd w:fill="F2F2F2"/>
        <w:spacing w:before="0" w:after="200" w:line="252" w:lineRule="auto"/>
      </w:pPr>
      <w:r>
        <w:rPr>
          <w:rFonts w:ascii="Courier New" w:hAnsi="Courier New" w:eastAsia="Arial Unicode MS" w:cs="Courier New"/>
          <w:sz w:val="17"/>
        </w:rPr>
        <w:t>intent_id: ORDER_CANCEL</w:t>
        <w:br/>
        <w:t>capability_id: ManageAppointment</w:t>
        <w:br/>
        <w:t>required_objects:</w:t>
        <w:br/>
        <w:t xml:space="preserve">  - Customer</w:t>
        <w:br/>
        <w:t xml:space="preserve">  - ServiceAppointment</w:t>
        <w:br/>
        <w:t>required_slots:</w:t>
        <w:br/>
        <w:t xml:space="preserve">  - operation</w:t>
        <w:br/>
        <w:t>functions:</w:t>
        <w:br/>
        <w:t xml:space="preserve">  - GetAppointment</w:t>
        <w:br/>
        <w:t xml:space="preserve">  - CheckAppointmentEligibility</w:t>
        <w:br/>
        <w:t>actions:</w:t>
        <w:br/>
        <w:t xml:space="preserve">  - CancelAppointment</w:t>
        <w:br/>
        <w:t>risk_policy: APPOINTMENT_CHANGE_POLICY</w:t>
        <w:br/>
        <w:t>response_policy: ACTION_CONFIRMATION_RESPONSE</w:t>
      </w:r>
    </w:p>
    <w:p>
      <w:pPr>
        <w:pStyle w:val="Heading2"/>
        <w:keepNext/>
      </w:pPr>
      <w:r>
        <w:t>A.2 Action配置</w:t>
      </w:r>
    </w:p>
    <w:p>
      <w:pPr>
        <w:shd w:fill="F2F2F2"/>
        <w:spacing w:before="0" w:after="200" w:line="252" w:lineRule="auto"/>
      </w:pPr>
      <w:r>
        <w:rPr>
          <w:rFonts w:ascii="Courier New" w:hAnsi="Courier New" w:eastAsia="Arial Unicode MS" w:cs="Courier New"/>
          <w:sz w:val="17"/>
        </w:rPr>
        <w:t>action_id: CancelAppointment</w:t>
        <w:br/>
        <w:t>required_permission: appointment.cancel.self</w:t>
        <w:br/>
        <w:t>preconditions:</w:t>
        <w:br/>
        <w:t xml:space="preserve">  - actor.customer_id == appointment.customer_id</w:t>
        <w:br/>
        <w:t xml:space="preserve">  - appointment.status == CONFIRMED</w:t>
        <w:br/>
        <w:t>confirmation_required: true</w:t>
        <w:br/>
        <w:t>executor: appointment-service.cancel</w:t>
        <w:br/>
        <w:t>idempotency_key:</w:t>
        <w:br/>
        <w:t xml:space="preserve">  - customer_id</w:t>
        <w:br/>
        <w:t xml:space="preserve">  - appointment_id</w:t>
        <w:br/>
        <w:t xml:space="preserve">  - request_id</w:t>
        <w:br/>
        <w:t>on_failure:</w:t>
        <w:br/>
        <w:t xml:space="preserve">  timeout: query_status_then_retry</w:t>
        <w:br/>
        <w:t xml:space="preserve">  version_conflict: reload_and_reconfirm</w:t>
        <w:br/>
        <w:t xml:space="preserve">  policy_rejected: escalate_to_human</w:t>
      </w:r>
    </w:p>
    <w:p>
      <w:pPr>
        <w:pStyle w:val="Heading2"/>
        <w:keepNext/>
      </w:pPr>
      <w:r>
        <w:t>A.3 统一运行状态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字段组</w:t>
            </w:r>
          </w:p>
        </w:tc>
        <w:tc>
          <w:tcPr>
            <w:tcW w:type="dxa" w:w="712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主要字段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身份与会话</w:t>
            </w:r>
          </w:p>
        </w:tc>
        <w:tc>
          <w:tcPr>
            <w:tcW w:type="dxa" w:w="71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sessionId、turnId、actorId、channel、authLevel</w:t>
            </w:r>
          </w:p>
        </w:tc>
      </w:tr>
      <w:tr>
        <w:tc>
          <w:tcPr>
            <w:tcW w:type="dxa" w:w="237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语言理解</w:t>
            </w:r>
          </w:p>
        </w:tc>
        <w:tc>
          <w:tcPr>
            <w:tcW w:type="dxa" w:w="71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query、intentPrediction、entities、missingSlots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业务上下文</w:t>
            </w:r>
          </w:p>
        </w:tc>
        <w:tc>
          <w:tcPr>
            <w:tcW w:type="dxa" w:w="71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objectRefs、capabilityId、objectVersions</w:t>
            </w:r>
          </w:p>
        </w:tc>
      </w:tr>
      <w:tr>
        <w:tc>
          <w:tcPr>
            <w:tcW w:type="dxa" w:w="237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策略</w:t>
            </w:r>
          </w:p>
        </w:tc>
        <w:tc>
          <w:tcPr>
            <w:tcW w:type="dxa" w:w="71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policyDecision、riskAssessment、requiredApproval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执行</w:t>
            </w:r>
          </w:p>
        </w:tc>
        <w:tc>
          <w:tcPr>
            <w:tcW w:type="dxa" w:w="71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structuredData、evidence、proposedActions、actionResults</w:t>
            </w:r>
          </w:p>
        </w:tc>
      </w:tr>
      <w:tr>
        <w:tc>
          <w:tcPr>
            <w:tcW w:type="dxa" w:w="2376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结果</w:t>
            </w:r>
          </w:p>
        </w:tc>
        <w:tc>
          <w:tcPr>
            <w:tcW w:type="dxa" w:w="7128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response、decisionRecordId、traceId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</w:pPr>
      <w:r>
        <w:t>附录B 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62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Ontology</w:t>
            </w:r>
          </w:p>
        </w:tc>
        <w:tc>
          <w:tcPr>
            <w:tcW w:type="dxa" w:w="66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企业业务对象、关系、逻辑、Action和安全规则组成的可执行模型。</w:t>
            </w:r>
          </w:p>
        </w:tc>
      </w:tr>
      <w:tr>
        <w:tc>
          <w:tcPr>
            <w:tcW w:type="dxa" w:w="28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Object Type</w:t>
            </w:r>
          </w:p>
        </w:tc>
        <w:tc>
          <w:tcPr>
            <w:tcW w:type="dxa" w:w="66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业务对象的类型定义，例如Customer、Vehicle或Order。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Object Instance</w:t>
            </w:r>
          </w:p>
        </w:tc>
        <w:tc>
          <w:tcPr>
            <w:tcW w:type="dxa" w:w="66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具体业务实体，例如某位客户或某一笔订单。</w:t>
            </w:r>
          </w:p>
        </w:tc>
      </w:tr>
      <w:tr>
        <w:tc>
          <w:tcPr>
            <w:tcW w:type="dxa" w:w="28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Capability</w:t>
            </w:r>
          </w:p>
        </w:tc>
        <w:tc>
          <w:tcPr>
            <w:tcW w:type="dxa" w:w="66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面向业务目标的稳定能力契约，由Function、规则、RAG和Action组合实现。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Function</w:t>
            </w:r>
          </w:p>
        </w:tc>
        <w:tc>
          <w:tcPr>
            <w:tcW w:type="dxa" w:w="66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只读取或计算，不改变外部业务状态的能力。</w:t>
            </w:r>
          </w:p>
        </w:tc>
      </w:tr>
      <w:tr>
        <w:tc>
          <w:tcPr>
            <w:tcW w:type="dxa" w:w="28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Action</w:t>
            </w:r>
          </w:p>
        </w:tc>
        <w:tc>
          <w:tcPr>
            <w:tcW w:type="dxa" w:w="66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会改变业务对象或外部系统状态的受控操作。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DecisionRecord</w:t>
            </w:r>
          </w:p>
        </w:tc>
        <w:tc>
          <w:tcPr>
            <w:tcW w:type="dxa" w:w="66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记录某次判断的数据、规则、证据、版本和结论。</w:t>
            </w:r>
          </w:p>
        </w:tc>
      </w:tr>
      <w:tr>
        <w:tc>
          <w:tcPr>
            <w:tcW w:type="dxa" w:w="28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ActionExecution</w:t>
            </w:r>
          </w:p>
        </w:tc>
        <w:tc>
          <w:tcPr>
            <w:tcW w:type="dxa" w:w="66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记录Action的操作者、校验、输入、输出和执行状态。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Ontology grounded RAG</w:t>
            </w:r>
          </w:p>
        </w:tc>
        <w:tc>
          <w:tcPr>
            <w:tcW w:type="dxa" w:w="66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先通过业务对象限定知识范围，再进行语义和关键词检索。</w:t>
            </w:r>
          </w:p>
        </w:tc>
      </w:tr>
      <w:tr>
        <w:tc>
          <w:tcPr>
            <w:tcW w:type="dxa" w:w="2880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FDE</w:t>
            </w:r>
          </w:p>
        </w:tc>
        <w:tc>
          <w:tcPr>
            <w:tcW w:type="dxa" w:w="6624"/>
            <w:shd w:fill="F4F8F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深入客户现场，把业务问题转化为可运行产品能力的工程角色。</w:t>
            </w:r>
          </w:p>
        </w:tc>
      </w:tr>
    </w:tbl>
    <w:p>
      <w:pPr>
        <w:spacing w:before="0" w:after="40" w:line="30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666666"/>
        <w:sz w:val="17"/>
      </w:rPr>
      <w:t>内部评审材料   V1.0   2026年9月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 w:cs="Arial Unicode MS"/>
        <w:color w:val="666666"/>
        <w:sz w:val="17"/>
      </w:rPr>
      <w:t>汽车后市场智能客服 Ontology 产品需求与架构设计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汽车后市场智能客服 Ontology 产品需求与架构设计</dc:title>
  <dc:subject>产品需求 方案架构 项目计划 资源和费用</dc:subject>
  <dc:creator>项目组</dc:creator>
  <cp:keywords>Ontology 智能客服 LangGraph 汽车后市场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