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snapToGrid w:val="0"/>
      </w:pPr>
      <w:r>
        <w:t>医研导师——</w:t>
        <w:br/>
      </w:r>
      <w:r>
        <w:t>面向医学科研初学者的智能体设计说明</w:t>
      </w:r>
    </w:p>
    <w:p>
      <w:pPr>
        <w:pStyle w:val="Heading1"/>
        <w:keepNext/>
        <w:keepLines/>
        <w:snapToGrid w:val="0"/>
      </w:pPr>
      <w:r>
        <w:t>一、设计背景与目标</w:t>
      </w:r>
    </w:p>
    <w:p>
      <w:pPr>
        <w:ind w:firstLine="480"/>
        <w:jc w:val="both"/>
        <w:snapToGrid w:val="0"/>
      </w:pPr>
      <w:r>
        <w:t>医学科研初学者进入课题组后，常从阅读论文开始接触科研。理解论文既需要跨越英文术语障碍，也需要认识研究背景、理解方法原理、读懂图表，并判断实验结果如何支持结论。缺少科研训练的学生，即使知道论文做了什么，也往往难以解释为什么这样做，更难将其中的思路用于自己的研究问题。</w:t>
      </w:r>
    </w:p>
    <w:p>
      <w:pPr>
        <w:ind w:firstLine="480"/>
        <w:jc w:val="both"/>
        <w:snapToGrid w:val="0"/>
      </w:pPr>
      <w:r>
        <w:t>医研导师面向本科大一至大五及研究生一年级阶段的医学科研初学者，以论文为学习载体，提供连续、可追问、可对照原文的科研学习支持。系统从研究背景、问题和价值切入，顺着论文展开，在关键实验、方法与图表处深入解释，将专业术语、对照设置、证据推理与研究局限融入具体情境，并允许用户调整讲解深浅。</w:t>
      </w:r>
    </w:p>
    <w:p>
      <w:pPr>
        <w:ind w:firstLine="480"/>
        <w:jc w:val="both"/>
        <w:snapToGrid w:val="0"/>
      </w:pPr>
      <w:r>
        <w:t>作品围绕三个相互关联的目标展开：读懂研究，理解问题、方法与证据之间的关系；讲清研究，能够组织汇报并解释结论依据；尝试设计，能够结合新问题与实际条件，思考方法选择、对照设置和结果解释。</w:t>
      </w:r>
    </w:p>
    <w:p>
      <w:pPr>
        <w:ind w:firstLine="480"/>
        <w:jc w:val="both"/>
        <w:snapToGrid w:val="0"/>
      </w:pPr>
      <w:r>
        <w:t>为此，系统设置论文精读带学、科研汇报PPT生成和研究方案构思三条主线，以模块化Skill组织能力，通过多Agent协作开展教学、模拟学习和来源核验，并利用内部交叉验证持续改进教学与生成规则。</w:t>
      </w:r>
    </w:p>
    <w:p>
      <w:pPr>
        <w:pStyle w:val="Heading1"/>
        <w:keepNext/>
        <w:keepLines/>
        <w:snapToGrid w:val="0"/>
      </w:pPr>
      <w:r>
        <w:t>二、核心功能与学习体验</w:t>
      </w:r>
    </w:p>
    <w:p>
      <w:pPr>
        <w:pStyle w:val="Heading2"/>
        <w:keepNext/>
        <w:keepLines/>
        <w:snapToGrid w:val="0"/>
      </w:pPr>
      <w:r>
        <w:t>（一）论文精读带学</w:t>
      </w:r>
    </w:p>
    <w:p>
      <w:pPr>
        <w:ind w:firstLine="480"/>
        <w:jc w:val="both"/>
        <w:snapToGrid w:val="0"/>
      </w:pPr>
      <w:r>
        <w:t>用户导入医学论文PDF后，系统先介绍研究背景、核心问题与价值，再顺着论文展开讲解。在关键实验处，围绕“为什么做、如何做、设置了什么对照、结果说明什么”组织内容，将方法原理与研究目的联系起来，帮助初学者建立证据推理过程。</w:t>
      </w:r>
    </w:p>
    <w:p>
      <w:pPr>
        <w:ind w:firstLine="480"/>
        <w:jc w:val="both"/>
        <w:snapToGrid w:val="0"/>
      </w:pPr>
      <w:r>
        <w:t>讲解采用小标题与分段表达，提供专业术语的中英文对应，支持原文、PDF页面和图表对照。初次接触一类图表时，重点解释坐标、分组和比较关系；随着阅读推进，更多关注数据含义与结论依据。用户可以随时要求展开、简化或选中一句话追问，再接回阅读主线。界面呈现当前与下一步阅读范围，使学习保持方向感和连贯性。</w:t>
      </w:r>
    </w:p>
    <w:p>
      <w:pPr>
        <w:ind w:firstLine="480"/>
        <w:jc w:val="both"/>
        <w:snapToGrid w:val="0"/>
      </w:pPr>
      <w:r>
        <w:t>系统将科研思维融入具体讲解：解释结果时联系比较组和证据强度，讨论方法时说明适用条件，分析局限时指出其对结论的实际影响。用户可以沿着问题继续探索，也可以按正常节奏推进，使深入理解与阅读效率相互协调。</w:t>
      </w:r>
    </w:p>
    <w:p>
      <w:pPr>
        <w:pStyle w:val="Heading2"/>
        <w:keepNext/>
        <w:keepLines/>
        <w:snapToGrid w:val="0"/>
      </w:pPr>
      <w:r>
        <w:t>（二）科研汇报PPT生成</w:t>
      </w:r>
    </w:p>
    <w:p>
      <w:pPr>
        <w:ind w:firstLine="480"/>
        <w:jc w:val="both"/>
        <w:snapToGrid w:val="0"/>
      </w:pPr>
      <w:r>
        <w:t>用户选择论文、填写汇报重点和页数需求后，系统围绕研究背景、实验设计、主要证据、创新与不足组织幻灯片，结合论文原图安排图文内容，使汇报具有清晰的叙述顺序。</w:t>
      </w:r>
    </w:p>
    <w:p>
      <w:pPr>
        <w:ind w:firstLine="480"/>
        <w:jc w:val="both"/>
        <w:snapToGrid w:val="0"/>
      </w:pPr>
      <w:r>
        <w:t>页面内容与讲述提示分别组织：幻灯片呈现关键观点和证据，讲述提示帮助用户解释实验思路与结果。生成成果支持预览和可编辑PPTX导出，方便用户准备组会、修改页面及与导师交流。</w:t>
      </w:r>
    </w:p>
    <w:p>
      <w:pPr>
        <w:pStyle w:val="Heading2"/>
        <w:keepNext/>
        <w:keepLines/>
        <w:snapToGrid w:val="0"/>
      </w:pPr>
      <w:r>
        <w:t>（三）研究方案构思</w:t>
      </w:r>
    </w:p>
    <w:p>
      <w:pPr>
        <w:ind w:firstLine="480"/>
        <w:jc w:val="both"/>
        <w:snapToGrid w:val="0"/>
      </w:pPr>
      <w:r>
        <w:t>用户提供研究方向、初步问题、已有资源与现实限制，并按需导入参考论文。系统据此组织研究目标、研究对象、方法选择、对照设置、测量指标和分析思路，形成可与导师讨论的方案草案。</w:t>
      </w:r>
    </w:p>
    <w:p>
      <w:pPr>
        <w:ind w:firstLine="480"/>
        <w:jc w:val="both"/>
        <w:snapToGrid w:val="0"/>
      </w:pPr>
      <w:r>
        <w:t>方案强调设计理由与实际条件的联系。例如，当用户只有既往病历、无法新增随访时，研究问题、结局指标和分析方式需要随可用数据调整。系统通过呈现这些选择依据，帮助初学者理解如何从想法逐步形成研究设计。成果支持Word与Markdown导出。</w:t>
      </w:r>
    </w:p>
    <w:p>
      <w:pPr>
        <w:ind w:firstLine="480"/>
        <w:jc w:val="both"/>
        <w:snapToGrid w:val="0"/>
      </w:pPr>
      <w:r>
        <w:t>三项功能可独立使用，也可围绕同一研究主题展开。系统按需利用文献检索补充资料，并区分题录、摘要与全文证据，为阅读和构思提供支持。</w:t>
      </w:r>
    </w:p>
    <w:p>
      <w:pPr>
        <w:pStyle w:val="Heading1"/>
        <w:keepNext/>
        <w:keepLines/>
        <w:snapToGrid w:val="0"/>
      </w:pPr>
      <w:r>
        <w:t>三、多Agent协作与三功能交叉验证</w:t>
      </w:r>
    </w:p>
    <w:p>
      <w:pPr>
        <w:pStyle w:val="Heading2"/>
        <w:keepNext/>
        <w:keepLines/>
        <w:snapToGrid w:val="0"/>
      </w:pPr>
      <w:r>
        <w:t>（一）以导师为主导的角色分工</w:t>
      </w:r>
    </w:p>
    <w:p>
      <w:pPr>
        <w:ind w:firstLine="480"/>
        <w:jc w:val="both"/>
        <w:snapToGrid w:val="0"/>
      </w:pPr>
      <w:r>
        <w:t>医研导师以导师Agent为主Agent，主导教学与内容生成，由调度器组织新手模拟和来源核验两个Agent协作。</w:t>
      </w:r>
    </w:p>
    <w:p>
      <w:pPr>
        <w:keepLines/>
        <w:ind w:left="480" w:hanging="480"/>
        <w:jc w:val="both"/>
        <w:snapToGrid w:val="0"/>
      </w:pPr>
      <w:r>
        <w:rPr>
          <w:b/>
        </w:rPr>
        <w:t>1．导师Agent：</w:t>
      </w:r>
      <w:r>
        <w:t>组织讲解与成果生成，解释研究逻辑，根据反馈修订内容、开展针对性补教。</w:t>
      </w:r>
    </w:p>
    <w:p>
      <w:pPr>
        <w:keepLines/>
        <w:ind w:left="480" w:hanging="480"/>
        <w:jc w:val="both"/>
        <w:snapToGrid w:val="0"/>
      </w:pPr>
      <w:r>
        <w:rPr>
          <w:b/>
        </w:rPr>
        <w:t>2．新手模拟Agent：</w:t>
      </w:r>
      <w:r>
        <w:t>从初学者视角试读，完成复述、汇报和设计任务，暴露理解断点与应用困难。</w:t>
      </w:r>
    </w:p>
    <w:p>
      <w:pPr>
        <w:keepLines/>
        <w:ind w:left="480" w:hanging="480"/>
        <w:jc w:val="both"/>
        <w:snapToGrid w:val="0"/>
      </w:pPr>
      <w:r>
        <w:rPr>
          <w:b/>
        </w:rPr>
        <w:t>3．来源核验Agent：</w:t>
      </w:r>
      <w:r>
        <w:t>对照原文、图表及任务条件，检查事实、引用与结论依据，评价产物和新手作答。</w:t>
      </w:r>
    </w:p>
    <w:p>
      <w:pPr>
        <w:ind w:firstLine="480"/>
        <w:jc w:val="both"/>
        <w:snapToGrid w:val="0"/>
      </w:pPr>
      <w:r>
        <w:t>调度器根据任务组合角色与Skill，汇总问题并组织修订、复读和复核，同时管理执行顺序、预算与运行记录。日常使用按需调用，内部迭代围绕具体问题运行完整验证流程。</w:t>
      </w:r>
    </w:p>
    <w:p>
      <w:pPr>
        <w:ind w:firstLine="480"/>
        <w:jc w:val="both"/>
        <w:snapToGrid w:val="0"/>
      </w:pPr>
      <w:r>
        <w:t>新手模拟围绕设定的学习基础和已接触材料展开，重点观察概念是否理解、推理能否衔接、结论能否解释。核验角色则依据原始材料检查作答，定位到具体语句、图件或实验条件。两类反馈汇总后，导师可以针对理解问题补充解释，针对证据问题修正表述，使修订具有明确目标。</w:t>
      </w:r>
    </w:p>
    <w:p>
      <w:pPr>
        <w:pStyle w:val="Heading2"/>
        <w:keepNext/>
        <w:keepLines/>
        <w:snapToGrid w:val="0"/>
      </w:pPr>
      <w:r>
        <w:t>（二）用汇报任务同时检验材料与学习表现</w:t>
      </w:r>
    </w:p>
    <w:p>
      <w:pPr>
        <w:ind w:firstLine="480"/>
        <w:jc w:val="both"/>
        <w:snapToGrid w:val="0"/>
      </w:pPr>
      <w:r>
        <w:t>论文带读、PPT和研究方案分别承载理解、表达与设计任务。内部迭代将三类产物与原始来源关联起来，检查证据一致性，并观察模拟新手能否使用材料完成任务。</w:t>
      </w:r>
    </w:p>
    <w:p>
      <w:pPr>
        <w:ind w:firstLine="480"/>
        <w:jc w:val="both"/>
        <w:snapToGrid w:val="0"/>
      </w:pPr>
      <w:r>
        <w:t>例如，导师讲解某项实验后，系统生成对应汇报材料，再让模拟新手组织文字汇报提纲或讲述内容，解释实验目的、对照设置和结果依据。如果新手只能复述结论，却说不清比较组的作用，系统便回查带读是否遗漏了设计理由、PPT是否在压缩内容时删去了关键条件。导师据此补教或修订，再由新手重新作答、核验角色检查改善情况。</w:t>
      </w:r>
    </w:p>
    <w:p>
      <w:pPr>
        <w:ind w:firstLine="480"/>
        <w:jc w:val="both"/>
        <w:snapToGrid w:val="0"/>
      </w:pPr>
      <w:r>
        <w:t>这一过程同时检验汇报材料的表达效果与模拟新手的学习表现。汇报提纲等任务要求重新组织内容，以观察对研究主线和证据关系的掌握。PPT中暴露的问题可以反馈到带读，教学中的理解断点也能指导汇报材料改进。</w:t>
      </w:r>
    </w:p>
    <w:p>
      <w:pPr>
        <w:ind w:firstLine="480"/>
        <w:jc w:val="both"/>
        <w:snapToGrid w:val="0"/>
      </w:pPr>
      <w:r>
        <w:t>交叉检查还关注成果转换中的信息损失。例如，带读已经解释了研究对象的适用范围，汇报页面在提炼结论时也需要保留这一条件；研究方案借鉴相关方法时，则需重新判断其是否适合新的对象和资源。三个功能由此共享证据要求，同时分别承担理解、表达和应用的检验任务。</w:t>
      </w:r>
    </w:p>
    <w:p>
      <w:pPr>
        <w:pStyle w:val="Heading2"/>
        <w:keepNext/>
        <w:keepLines/>
        <w:snapToGrid w:val="0"/>
      </w:pPr>
      <w:r>
        <w:t>（三）用研究设计任务检查知识迁移</w:t>
      </w:r>
    </w:p>
    <w:p>
      <w:pPr>
        <w:ind w:firstLine="480"/>
        <w:jc w:val="both"/>
        <w:snapToGrid w:val="0"/>
      </w:pPr>
      <w:r>
        <w:t>内部流程进一步改变研究人群、可用资源、观察时间或结局条件，让模拟新手尝试形成新的研究设计。</w:t>
      </w:r>
    </w:p>
    <w:p>
      <w:pPr>
        <w:ind w:firstLine="480"/>
        <w:jc w:val="both"/>
        <w:snapToGrid w:val="0"/>
      </w:pPr>
      <w:r>
        <w:t>例如，原论文使用长期随访数据，新任务只有一次体检记录，新手就需要重新考虑可回答的问题、变量的时间关系与结论范围。核验角色结合新条件评价设计；发现机械照搬原研究的情况后，导师围绕相应方法和证据问题补教，再开展复验。</w:t>
      </w:r>
    </w:p>
    <w:p>
      <w:pPr>
        <w:ind w:firstLine="480"/>
        <w:jc w:val="both"/>
        <w:snapToGrid w:val="0"/>
      </w:pPr>
      <w:r>
        <w:t>方案中的困难也会反馈到带读与汇报：方法条件是否讲清、关键限制是否保留、概念能否用于新情境，都成为后续优化的依据。</w:t>
      </w:r>
    </w:p>
    <w:p>
      <w:pPr>
        <w:pStyle w:val="Heading2"/>
        <w:keepNext/>
        <w:keepLines/>
        <w:snapToGrid w:val="0"/>
      </w:pPr>
      <w:r>
        <w:t>（四）将交叉反馈落实到内部迭代</w:t>
      </w:r>
    </w:p>
    <w:p>
      <w:pPr>
        <w:ind w:firstLine="480"/>
        <w:jc w:val="both"/>
        <w:snapToGrid w:val="0"/>
      </w:pPr>
      <w:r>
        <w:t>内部闭环按照“生成产物—交叉核验—新手作答—补教修订—复验与迁移”展开。跨产物核验关联原始来源，检查事实、实验条件、图件和结论的表达，并区分已有研究结果与新方案假设。</w:t>
      </w:r>
    </w:p>
    <w:p>
      <w:pPr>
        <w:ind w:firstLine="480"/>
        <w:jc w:val="both"/>
        <w:snapToGrid w:val="0"/>
      </w:pPr>
      <w:r>
        <w:t>迭代结合小样本与完整论文：小样本快速定位术语、读图和对照理解等问题；完整论文检查讲解连贯性与汇报逻辑；跨功能任务检查表达和设计中的应用表现。内部迭代主要优化Skill、提示规则与协作流程，改进候选经比较验证后用于后续服务。完整交叉流程主要用于内部质量迭代，用户可按当前需求使用单项功能。</w:t>
      </w:r>
    </w:p>
    <w:p>
      <w:pPr>
        <w:ind w:firstLine="480"/>
        <w:jc w:val="both"/>
        <w:snapToGrid w:val="0"/>
      </w:pPr>
      <w:r>
        <w:t>每轮比较保留材料、规则版本、模型配置与运行记录，将当前规则作为基线，将修改后的规则作为候选。候选规则在独立快照中验证，评价内容与作答所需材料分开组织，减少答案提示对模拟表现的影响。通过比较与发布检查后，采用的规则才进入实际服务，使局部调整有据可查，也便于发现改善是否伴随其他能力退步。</w:t>
      </w:r>
    </w:p>
    <w:p>
      <w:pPr>
        <w:pStyle w:val="Heading1"/>
        <w:keepNext/>
        <w:keepLines/>
        <w:snapToGrid w:val="0"/>
      </w:pPr>
      <w:r>
        <w:t>四、Skill模块化设计</w:t>
      </w:r>
    </w:p>
    <w:p>
      <w:pPr>
        <w:pStyle w:val="Heading2"/>
        <w:keepNext/>
        <w:keepLines/>
        <w:snapToGrid w:val="0"/>
      </w:pPr>
      <w:r>
        <w:t>（一）按能力拆分，按任务组合</w:t>
      </w:r>
    </w:p>
    <w:p>
      <w:pPr>
        <w:ind w:firstLine="480"/>
        <w:jc w:val="both"/>
        <w:snapToGrid w:val="0"/>
      </w:pPr>
      <w:r>
        <w:t>系统将教学与生成能力拆分为11个Skill，明确职责、输入、输出与质量要求，并通过共享规则统一教学和证据标准。</w:t>
      </w:r>
    </w:p>
    <w:p>
      <w:pPr>
        <w:keepLines/>
        <w:ind w:left="480" w:hanging="480"/>
        <w:jc w:val="both"/>
        <w:snapToGrid w:val="0"/>
      </w:pPr>
      <w:r>
        <w:rPr>
          <w:b/>
        </w:rPr>
        <w:t>1．科研学习主助手：</w:t>
      </w:r>
      <w:r>
        <w:t>理解用户目标，组织任务与后续追问。</w:t>
      </w:r>
    </w:p>
    <w:p>
      <w:pPr>
        <w:keepLines/>
        <w:ind w:left="480" w:hanging="480"/>
        <w:jc w:val="both"/>
        <w:snapToGrid w:val="0"/>
      </w:pPr>
      <w:r>
        <w:rPr>
          <w:b/>
        </w:rPr>
        <w:t>2．论文带读：</w:t>
      </w:r>
      <w:r>
        <w:t>串联背景、问题、方法、结果和讨论。</w:t>
      </w:r>
    </w:p>
    <w:p>
      <w:pPr>
        <w:keepLines/>
        <w:ind w:left="480" w:hanging="480"/>
        <w:jc w:val="both"/>
        <w:snapToGrid w:val="0"/>
      </w:pPr>
      <w:r>
        <w:rPr>
          <w:b/>
        </w:rPr>
        <w:t>3．证据链：</w:t>
      </w:r>
      <w:r>
        <w:t>连接研究问题、实验、结果与结论。</w:t>
      </w:r>
    </w:p>
    <w:p>
      <w:pPr>
        <w:keepLines/>
        <w:ind w:left="480" w:hanging="480"/>
        <w:jc w:val="both"/>
        <w:snapToGrid w:val="0"/>
      </w:pPr>
      <w:r>
        <w:rPr>
          <w:b/>
        </w:rPr>
        <w:t>4．方法教学：</w:t>
      </w:r>
      <w:r>
        <w:t>解释方法原理、实验目的与对照设计。</w:t>
      </w:r>
    </w:p>
    <w:p>
      <w:pPr>
        <w:keepLines/>
        <w:ind w:left="480" w:hanging="480"/>
        <w:jc w:val="both"/>
        <w:snapToGrid w:val="0"/>
      </w:pPr>
      <w:r>
        <w:rPr>
          <w:b/>
        </w:rPr>
        <w:t>5．图表教学：</w:t>
      </w:r>
      <w:r>
        <w:t>解释坐标、分组、统计及数据含义。</w:t>
      </w:r>
    </w:p>
    <w:p>
      <w:pPr>
        <w:keepLines/>
        <w:ind w:left="480" w:hanging="480"/>
        <w:jc w:val="both"/>
        <w:snapToGrid w:val="0"/>
      </w:pPr>
      <w:r>
        <w:rPr>
          <w:b/>
        </w:rPr>
        <w:t>6．术语解释：</w:t>
      </w:r>
      <w:r>
        <w:t>提供中英文对应与语境化解释。</w:t>
      </w:r>
    </w:p>
    <w:p>
      <w:pPr>
        <w:keepLines/>
        <w:ind w:left="480" w:hanging="480"/>
        <w:jc w:val="both"/>
        <w:snapToGrid w:val="0"/>
      </w:pPr>
      <w:r>
        <w:rPr>
          <w:b/>
        </w:rPr>
        <w:t>7．论文汇报PPT：</w:t>
      </w:r>
      <w:r>
        <w:t>组织汇报主线、图文内容与讲述提示。</w:t>
      </w:r>
    </w:p>
    <w:p>
      <w:pPr>
        <w:keepLines/>
        <w:ind w:left="480" w:hanging="480"/>
        <w:jc w:val="both"/>
        <w:snapToGrid w:val="0"/>
      </w:pPr>
      <w:r>
        <w:rPr>
          <w:b/>
        </w:rPr>
        <w:t>8．医学研究方案：</w:t>
      </w:r>
      <w:r>
        <w:t>根据问题、参考材料与限制组织方案。</w:t>
      </w:r>
    </w:p>
    <w:p>
      <w:pPr>
        <w:keepLines/>
        <w:ind w:left="480" w:hanging="480"/>
        <w:jc w:val="both"/>
        <w:snapToGrid w:val="0"/>
      </w:pPr>
      <w:r>
        <w:rPr>
          <w:b/>
        </w:rPr>
        <w:t>9．来源核验：</w:t>
      </w:r>
      <w:r>
        <w:t>检查事实、引用与证据支持。</w:t>
      </w:r>
    </w:p>
    <w:p>
      <w:pPr>
        <w:keepLines/>
        <w:ind w:left="480" w:hanging="480"/>
        <w:jc w:val="both"/>
        <w:snapToGrid w:val="0"/>
      </w:pPr>
      <w:r>
        <w:rPr>
          <w:b/>
        </w:rPr>
        <w:t>10．新手试读模拟：</w:t>
      </w:r>
      <w:r>
        <w:t>识别术语障碍、推理跳步和理解断点。</w:t>
      </w:r>
    </w:p>
    <w:p>
      <w:pPr>
        <w:keepLines/>
        <w:ind w:left="480" w:hanging="480"/>
        <w:jc w:val="both"/>
        <w:snapToGrid w:val="0"/>
      </w:pPr>
      <w:r>
        <w:rPr>
          <w:b/>
        </w:rPr>
        <w:t>11．学习者任务模拟：</w:t>
      </w:r>
      <w:r>
        <w:t>支持模拟作答，为学习与迁移评价提供输入。</w:t>
      </w:r>
    </w:p>
    <w:p>
      <w:pPr>
        <w:ind w:firstLine="480"/>
        <w:jc w:val="both"/>
        <w:snapToGrid w:val="0"/>
      </w:pPr>
      <w:r>
        <w:t>Skill与Agent采用灵活的组合关系。例如，导师解释实验图时，可组合图表教学、方法教学和证据链；制作汇报时，再调用PPT模块。共同的核验规则使不同成果在事实与推理要求上保持一致。</w:t>
      </w:r>
    </w:p>
    <w:p>
      <w:pPr>
        <w:pStyle w:val="Heading2"/>
        <w:keepNext/>
        <w:keepLines/>
        <w:snapToGrid w:val="0"/>
      </w:pPr>
      <w:r>
        <w:t>（二）定向改进，降低开发维护成本</w:t>
      </w:r>
    </w:p>
    <w:p>
      <w:pPr>
        <w:ind w:firstLine="480"/>
        <w:jc w:val="both"/>
        <w:snapToGrid w:val="0"/>
      </w:pPr>
      <w:r>
        <w:t>模块化使反馈能够定位到具体能力：对照理解困难可以调整方法教学，PPT遗漏条件可以优化汇报与证据链，方案忽略资源限制可以改进条件分析规则。候选版本在相同材料与任务上进行比较，再通过完整论文和跨功能任务检查整体表现。</w:t>
      </w:r>
    </w:p>
    <w:p>
      <w:pPr>
        <w:ind w:firstLine="480"/>
        <w:jc w:val="both"/>
        <w:snapToGrid w:val="0"/>
      </w:pPr>
      <w:r>
        <w:t>共享模块减少重复编写规则的工作，局部修改缩短问题定位、调整与验证的路径。扩展医学方向或适配其他模型时，可以复用现有框架，集中调整相关模块与接入配置，使有限的开发时间和迭代资源用于改善具体能力。</w:t>
      </w:r>
    </w:p>
    <w:p>
      <w:pPr>
        <w:ind w:firstLine="480"/>
        <w:jc w:val="both"/>
        <w:snapToGrid w:val="0"/>
      </w:pPr>
      <w:r>
        <w:t>共享规则负责不同任务都需要遵循的教学和证据原则，各Skill补充具体任务的方法与输出要求。这种分层使共同要求能够统一维护，任务差异能够分别优化，也便于检查一次规则变更会影响哪些功能。</w:t>
      </w:r>
    </w:p>
    <w:p>
      <w:pPr>
        <w:pStyle w:val="Heading1"/>
        <w:keepNext/>
        <w:keepLines/>
        <w:snapToGrid w:val="0"/>
      </w:pPr>
      <w:r>
        <w:t>五、技术架构与运行流程</w:t>
      </w:r>
    </w:p>
    <w:p>
      <w:pPr>
        <w:ind w:firstLine="480"/>
        <w:jc w:val="both"/>
        <w:snapToGrid w:val="0"/>
      </w:pPr>
      <w:r>
        <w:t>系统采用前后端分离架构，通过本地网页提供使用入口。React与Vite前端承载阅读、追问、原文图表对照和成果预览；Express与TypeScript后端负责论文解析、模型调用、Agent调度、Skill加载、数据保存及文件导出。</w:t>
      </w:r>
    </w:p>
    <w:p>
      <w:pPr>
        <w:ind w:firstLine="480"/>
        <w:jc w:val="both"/>
        <w:snapToGrid w:val="0"/>
      </w:pPr>
      <w:r>
        <w:t>整体分为四层：用户交互层提供阅读与生成工作区；任务调度层组织角色、规则和执行流程；模型与能力层完成讲解、生成、模拟与核验；资料与成果层管理论文来源、对话记录和生成版本。</w:t>
      </w:r>
    </w:p>
    <w:p>
      <w:pPr>
        <w:ind w:firstLine="480"/>
        <w:jc w:val="both"/>
        <w:snapToGrid w:val="0"/>
      </w:pPr>
      <w:r>
        <w:t>基本运行流程为：导入论文与提出需求→组织相关材料→调度角色与Skill→生成并按需核验→展示结果→保存与导出。</w:t>
      </w:r>
    </w:p>
    <w:p>
      <w:pPr>
        <w:ind w:firstLine="480"/>
        <w:jc w:val="both"/>
        <w:snapToGrid w:val="0"/>
      </w:pPr>
      <w:r>
        <w:t>后端提取PDF文本、页面与图件信息，结合问题和阅读位置组织证据。讲解引用、PPT图件及方案依据与来源关联，支持用户对照和后续复核；内部评价记录产物与来源版本，便于追踪改进。</w:t>
      </w:r>
    </w:p>
    <w:p>
      <w:pPr>
        <w:ind w:firstLine="480"/>
        <w:jc w:val="both"/>
        <w:snapToGrid w:val="0"/>
      </w:pPr>
      <w:r>
        <w:t>系统支持本地部署，论文、对话和成果保存在本机，推理所需材料发送至用户配置的模型服务。当前提供Codex接入与独立兼容模型API接入。模型通信与教学规则分层组织，使更换模型时能够复用前后端与协作框架，再验证图像理解、结构化输出和教学表现。</w:t>
      </w:r>
    </w:p>
    <w:p>
      <w:pPr>
        <w:pStyle w:val="Heading1"/>
        <w:keepNext/>
        <w:keepLines/>
        <w:snapToGrid w:val="0"/>
      </w:pPr>
      <w:r>
        <w:t>六、应用场景与验证</w:t>
      </w:r>
    </w:p>
    <w:p>
      <w:pPr>
        <w:pStyle w:val="Heading2"/>
        <w:keepNext/>
        <w:keepLines/>
        <w:snapToGrid w:val="0"/>
      </w:pPr>
      <w:r>
        <w:t>（一）典型应用场景</w:t>
      </w:r>
    </w:p>
    <w:p>
      <w:pPr>
        <w:keepLines/>
        <w:ind w:left="480" w:hanging="480"/>
        <w:jc w:val="both"/>
        <w:snapToGrid w:val="0"/>
      </w:pPr>
      <w:r>
        <w:rPr>
          <w:b/>
        </w:rPr>
        <w:t>1．初入课题组：</w:t>
      </w:r>
      <w:r>
        <w:t>导入导师推荐的论文，通过连续带读、图表对照和追问，理解研究方法与证据关系。</w:t>
      </w:r>
    </w:p>
    <w:p>
      <w:pPr>
        <w:keepLines/>
        <w:ind w:left="480" w:hanging="480"/>
        <w:jc w:val="both"/>
        <w:snapToGrid w:val="0"/>
      </w:pPr>
      <w:r>
        <w:rPr>
          <w:b/>
        </w:rPr>
        <w:t>2．准备组会汇报：</w:t>
      </w:r>
      <w:r>
        <w:t>围绕论文生成PPT和讲述提示，梳理研究主线、关键实验、创新与不足，结合原文核对细节。</w:t>
      </w:r>
    </w:p>
    <w:p>
      <w:pPr>
        <w:keepLines/>
        <w:ind w:left="480" w:hanging="480"/>
        <w:jc w:val="both"/>
        <w:snapToGrid w:val="0"/>
      </w:pPr>
      <w:r>
        <w:rPr>
          <w:b/>
        </w:rPr>
        <w:t>3．讨论研究构思：</w:t>
      </w:r>
      <w:r>
        <w:t>提供问题、参考论文和资源限制，通过方案草案整理研究对象、对照与分析思路，与导师进一步讨论。</w:t>
      </w:r>
    </w:p>
    <w:p>
      <w:pPr>
        <w:pStyle w:val="Heading2"/>
        <w:keepNext/>
        <w:keepLines/>
        <w:snapToGrid w:val="0"/>
      </w:pPr>
      <w:r>
        <w:t>（二）验证与优化方式</w:t>
      </w:r>
    </w:p>
    <w:p>
      <w:pPr>
        <w:ind w:firstLine="480"/>
        <w:jc w:val="both"/>
        <w:snapToGrid w:val="0"/>
      </w:pPr>
      <w:r>
        <w:t>项目建立工程回归、使用流程和内部协作三类验证。工程回归检查数据、调度、导出等行为，并开展类型检查、构建与自动化测试；使用流程验证串联导入、带读、追问、图表对照及成果生成；内部协作验证结合模拟作答与交叉核验，比较规则表现。</w:t>
      </w:r>
    </w:p>
    <w:p>
      <w:pPr>
        <w:ind w:firstLine="480"/>
        <w:jc w:val="both"/>
        <w:snapToGrid w:val="0"/>
      </w:pPr>
      <w:r>
        <w:t>内部学习评价设置“未学习”“仅阅读材料”“材料加教学”等条件，为分析教学带来的帮助提供比较依据。项目已围绕阅读连续性、图件来源、PPT排版、方案条件保留、角色可见材料和补教复验等环节开展优化，将反馈落实到教学规则与执行流程。</w:t>
      </w:r>
    </w:p>
    <w:p>
      <w:pPr>
        <w:ind w:firstLine="480"/>
        <w:jc w:val="both"/>
        <w:snapToGrid w:val="0"/>
      </w:pPr>
      <w:r>
        <w:t>质量评价同时考虑科学准确性与学习体验。事实失实、关键条件遗漏和图件不对应等问题作为重点处理对象；讲解则关注层次、长度和可理解性，PPT关注图文布局与汇报节奏，方案关注条件完整性与设计理由。内部比较采用较细的检查维度，日常交付优先解决影响理解和使用的实质性问题，兼顾稳定性与效率。</w:t>
      </w:r>
    </w:p>
    <w:p>
      <w:pPr>
        <w:pStyle w:val="Heading1"/>
        <w:keepNext/>
        <w:keepLines/>
        <w:snapToGrid w:val="0"/>
      </w:pPr>
      <w:r>
        <w:t>七、创新亮点</w:t>
      </w:r>
    </w:p>
    <w:p>
      <w:pPr>
        <w:keepLines/>
        <w:ind w:left="480" w:hanging="480"/>
        <w:jc w:val="both"/>
        <w:snapToGrid w:val="0"/>
      </w:pPr>
      <w:r>
        <w:rPr>
          <w:b/>
        </w:rPr>
        <w:t>1．以科研能力培养组织功能。</w:t>
      </w:r>
      <w:r>
        <w:t>将论文理解、科研表达与研究构思连接起来，在具体任务中解释方法选择与证据推理，为初学者建立连续的学习路径。</w:t>
      </w:r>
    </w:p>
    <w:p>
      <w:pPr>
        <w:keepLines/>
        <w:ind w:left="480" w:hanging="480"/>
        <w:jc w:val="both"/>
        <w:snapToGrid w:val="0"/>
      </w:pPr>
      <w:r>
        <w:rPr>
          <w:b/>
        </w:rPr>
        <w:t>2．以新手表现反馈导师教学。</w:t>
      </w:r>
      <w:r>
        <w:t>导师生成、新手模拟与来源核验共同参与质量改进，用理解断点和任务表现指导补教与修订。</w:t>
      </w:r>
    </w:p>
    <w:p>
      <w:pPr>
        <w:keepLines/>
        <w:ind w:left="480" w:hanging="480"/>
        <w:jc w:val="both"/>
        <w:snapToGrid w:val="0"/>
      </w:pPr>
      <w:r>
        <w:rPr>
          <w:b/>
        </w:rPr>
        <w:t>3．以三功能交叉验证检查应用与迁移。</w:t>
      </w:r>
      <w:r>
        <w:t>将带读、PPT和方案作为相互检验的材料，结合原始证据和变化条件，检查内容准确性、表达完整性与设计合理性。</w:t>
      </w:r>
    </w:p>
    <w:p>
      <w:pPr>
        <w:keepLines/>
        <w:ind w:left="480" w:hanging="480"/>
        <w:jc w:val="both"/>
        <w:snapToGrid w:val="0"/>
      </w:pPr>
      <w:r>
        <w:rPr>
          <w:b/>
        </w:rPr>
        <w:t>4．以模块化Skill积累可复用能力。</w:t>
      </w:r>
      <w:r>
        <w:t>将反馈定位到独立模块，通过候选比较持续改进，兼顾教学质量、开发效率与后续扩展，形成可维护的科研学习智能体。</w:t>
      </w:r>
    </w:p>
    <w:sectPr w:rsidR="00FC693F" w:rsidRPr="0006063C" w:rsidSect="00034616">
      <w:footerReference w:type="default" r:id="rId9"/>
      <w:pgSz w:w="12240" w:h="15840"/>
      <w:pgMar w:top="1152" w:right="1296" w:bottom="1152" w:left="1296"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0" w:before="0"/>
    </w:pPr>
    <w:rPr>
      <w:rFonts w:ascii="宋体" w:hAnsi="宋体"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60" w:after="80" w:line="360" w:lineRule="auto"/>
      <w:outlineLvl w:val="0"/>
    </w:pPr>
    <w:rPr>
      <w:rFonts w:asciiTheme="majorHAnsi" w:eastAsiaTheme="majorEastAsia" w:hAnsiTheme="majorHAnsi" w:cstheme="majorBidi" w:ascii="黑体" w:hAnsi="黑体"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100" w:after="60" w:line="360" w:lineRule="auto"/>
      <w:outlineLvl w:val="1"/>
    </w:pPr>
    <w:rPr>
      <w:rFonts w:asciiTheme="majorHAnsi" w:eastAsiaTheme="majorEastAsia" w:hAnsiTheme="majorHAnsi" w:cstheme="majorBidi" w:ascii="宋体" w:hAnsi="宋体" w:eastAsia="宋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240" w:line="360" w:lineRule="auto" w:before="0"/>
      <w:contextualSpacing/>
    </w:pPr>
    <w:rPr>
      <w:rFonts w:asciiTheme="majorHAnsi" w:eastAsiaTheme="majorEastAsia" w:hAnsiTheme="majorHAnsi" w:cstheme="majorBidi" w:ascii="黑体" w:hAnsi="黑体" w:eastAsia="黑体"/>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