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snapToGrid w:val="0"/>
      </w:pPr>
      <w:r>
        <w:rPr>
          <w:rFonts w:ascii="Arial" w:hAnsi="Arial" w:eastAsia="黑体"/>
          <w:sz w:val="32"/>
        </w:rPr>
        <w:t>医研导师——</w:t>
        <w:br/>
      </w:r>
      <w:r>
        <w:rPr>
          <w:rFonts w:ascii="Arial" w:hAnsi="Arial" w:eastAsia="黑体"/>
          <w:sz w:val="32"/>
        </w:rPr>
        <w:t>面向医学科研初学者的智能体设计说明</w:t>
      </w:r>
    </w:p>
    <w:p>
      <w:pPr>
        <w:pStyle w:val="Heading1"/>
        <w:keepNext/>
        <w:keepLines/>
        <w:snapToGrid w:val="0"/>
      </w:pPr>
      <w:r>
        <w:rPr>
          <w:rFonts w:ascii="Arial" w:hAnsi="Arial" w:eastAsia="黑体"/>
          <w:sz w:val="28"/>
        </w:rPr>
        <w:t>一、设计背景与目标</w:t>
      </w:r>
    </w:p>
    <w:p>
      <w:pPr>
        <w:ind w:firstLine="480"/>
        <w:jc w:val="both"/>
        <w:snapToGrid w:val="0"/>
      </w:pPr>
      <w:r>
        <w:t>医学科研初学者读论文，难点不止是英文。更常见的断点是：看不懂研究问题与方法的关系，读不出图表中的证据，也说不清实验为什么这样设计、结论凭什么成立。于是“知道论文做了什么”，却难以解释“为什么这样做”，更难迁移到自己的课题。</w:t>
      </w:r>
    </w:p>
    <w:p>
      <w:pPr>
        <w:ind w:firstLine="480"/>
        <w:jc w:val="both"/>
        <w:snapToGrid w:val="0"/>
      </w:pPr>
      <w:r>
        <w:t>医研导师面向本科低年级至研究生阶段的医学科研初学者，以学习过程为中心，提供从原文阅读、证据理解到研究设计的连续支持。系统按论文顺序带读，在关键处展开术语、图表、实验对照和结论推导，并根据用户的追问调整节奏和深度。</w:t>
      </w:r>
    </w:p>
    <w:p>
      <w:pPr>
        <w:ind w:firstLine="480"/>
        <w:jc w:val="both"/>
        <w:snapToGrid w:val="0"/>
      </w:pPr>
      <w:r>
        <w:t>作品围绕三个相互衔接的任务展开：把论文读懂，把研究讲清楚，把方法迁移到新的问题。用户可以用同一篇论文完成精读、汇报和方案构思，逐步形成理解证据、组织表达、设计实验和判断局限的科研能力。</w:t>
      </w:r>
    </w:p>
    <w:p>
      <w:pPr>
        <w:ind w:firstLine="480"/>
        <w:jc w:val="both"/>
        <w:snapToGrid w:val="0"/>
      </w:pPr>
      <w:r>
        <w:t>为此，系统设置论文带读、医学科研汇报 PPT、研究方案构思三条主线，由导师 Agent 统筹多个专门 Agent 和模块化 Skill。三条主线共享原文、证据和反馈，互相检查理解是否准确、表达是否完整、设计是否可行，并把结果用于后续修订。</w:t>
      </w:r>
    </w:p>
    <w:p>
      <w:pPr>
        <w:pStyle w:val="Heading1"/>
        <w:keepNext/>
        <w:keepLines/>
        <w:snapToGrid w:val="0"/>
      </w:pPr>
      <w:r>
        <w:rPr>
          <w:rFonts w:ascii="Arial" w:hAnsi="Arial" w:eastAsia="黑体"/>
          <w:sz w:val="28"/>
        </w:rPr>
        <w:t>二、核心功能与学习体验</w:t>
      </w:r>
    </w:p>
    <w:p>
      <w:pPr>
        <w:pStyle w:val="Heading2"/>
        <w:keepNext/>
        <w:keepLines/>
        <w:snapToGrid w:val="0"/>
      </w:pPr>
      <w:r>
        <w:rPr>
          <w:rFonts w:ascii="Arial" w:hAnsi="Arial" w:eastAsia="黑体"/>
          <w:sz w:val="28"/>
        </w:rPr>
        <w:t>（一）论文精读带学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用户导入医学论文PDF后，系统先介绍研究背景、核心问题与价值，再顺着论文展开讲解。在关键实验处，围绕“为什么做、如何做、设置了什么对照、结果说明什么”组织内容，将方法原理与研究目的联系起来，帮助初学者建立证据推理过程。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讲解采用小标题与分段表达，提供专业术语的中英文对应，支持原文、PDF页面和图表对照。初次接触一类图表时，重点解释坐标、分组和比较关系；随着阅读推进，更多关注数据含义与结论依据。用户可以随时要求展开、简化或选中一句话追问，再接回阅读主线。界面呈现当前与下一步阅读范围，使学习保持方向感和连贯性。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系统将科研思维融入具体讲解：解释结果时联系比较组和证据强度，讨论方法时说明适用条件，分析局限时指出其对结论的实际影响。用户可以沿着问题继续探索，也可以按正常节奏推进，使深入理解与阅读效率相互协调。</w:t>
      </w:r>
    </w:p>
    <w:p>
      <w:pPr>
        <w:pStyle w:val="Heading2"/>
        <w:keepNext/>
        <w:keepLines/>
        <w:snapToGrid w:val="0"/>
      </w:pPr>
      <w:r>
        <w:rPr>
          <w:rFonts w:ascii="Arial" w:hAnsi="Arial" w:eastAsia="黑体"/>
          <w:sz w:val="28"/>
        </w:rPr>
        <w:t>（二）科研汇报PPT生成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用户选择论文、填写汇报重点和页数需求后，系统围绕研究背景、实验设计、主要证据、创新与不足组织幻灯片，结合论文原图安排图文内容，使汇报具有清晰的叙述顺序。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页面内容与讲述提示分别组织：幻灯片呈现关键观点和证据，讲述提示帮助用户解释实验思路与结果。生成成果支持预览和可编辑PPTX导出，方便用户准备组会、修改页面及与导师交流。</w:t>
      </w:r>
    </w:p>
    <w:p>
      <w:pPr>
        <w:pStyle w:val="Heading2"/>
        <w:keepNext/>
        <w:keepLines/>
        <w:snapToGrid w:val="0"/>
      </w:pPr>
      <w:r>
        <w:rPr>
          <w:rFonts w:ascii="Arial" w:hAnsi="Arial" w:eastAsia="黑体"/>
          <w:sz w:val="28"/>
        </w:rPr>
        <w:t>（三）研究方案构思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用户提供研究方向、初步问题、已有资源与现实限制，并按需导入参考论文。系统据此组织研究目标、研究对象、方法选择、对照设置、测量指标和分析思路，形成可与导师讨论的方案草案。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方案强调设计理由与实际条件的联系。例如，当用户只有既往病历、无法新增随访时，研究问题、结局指标和分析方式需要随可用数据调整。系统通过呈现这些选择依据，帮助初学者理解如何从想法逐步形成研究设计。成果支持Word与Markdown导出。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三项功能可独立使用，也可围绕同一研究主题展开。系统按需利用文献检索补充资料，并区分题录、摘要与全文证据，为阅读和构思提供支持。</w:t>
      </w:r>
    </w:p>
    <w:p>
      <w:pPr>
        <w:pStyle w:val="Heading1"/>
        <w:keepNext/>
        <w:keepLines/>
        <w:snapToGrid w:val="0"/>
      </w:pPr>
      <w:r>
        <w:rPr>
          <w:rFonts w:ascii="Arial" w:hAnsi="Arial" w:eastAsia="黑体"/>
          <w:sz w:val="28"/>
        </w:rPr>
        <w:t>三、多Agent协作与三功能交叉验证</w:t>
      </w:r>
    </w:p>
    <w:p>
      <w:pPr>
        <w:pStyle w:val="Heading2"/>
        <w:keepNext/>
        <w:keepLines/>
        <w:snapToGrid w:val="0"/>
      </w:pPr>
      <w:r>
        <w:rPr>
          <w:rFonts w:ascii="Arial" w:hAnsi="Arial" w:eastAsia="黑体"/>
          <w:sz w:val="28"/>
        </w:rPr>
        <w:t>（一）以导师为主导的角色分工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医研导师以导师Agent为主Agent，主导教学与内容生成，由调度器组织新手模拟和来源核验两个Agent协作。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1．导师Agent：</w:t>
      </w:r>
      <w:r>
        <w:rPr>
          <w:rFonts w:ascii="宋体" w:hAnsi="宋体" w:eastAsia="宋体"/>
          <w:sz w:val="24"/>
        </w:rPr>
        <w:t>组织讲解与成果生成，解释研究逻辑，根据反馈修订内容、开展针对性补教。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2．新手模拟Agent：</w:t>
      </w:r>
      <w:r>
        <w:rPr>
          <w:rFonts w:ascii="宋体" w:hAnsi="宋体" w:eastAsia="宋体"/>
          <w:sz w:val="24"/>
        </w:rPr>
        <w:t>从初学者视角试读，完成复述、汇报和设计任务，暴露理解断点与应用困难。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3．来源核验Agent：</w:t>
      </w:r>
      <w:r>
        <w:rPr>
          <w:rFonts w:ascii="宋体" w:hAnsi="宋体" w:eastAsia="宋体"/>
          <w:sz w:val="24"/>
        </w:rPr>
        <w:t>对照原文、图表及任务条件，检查事实、引用与结论依据，评价产物和新手作答。</w:t>
      </w:r>
    </w:p>
    <w:p>
      <w:pPr>
        <w:ind w:firstLine="480"/>
        <w:jc w:val="both"/>
        <w:snapToGrid w:val="0"/>
      </w:pPr>
      <w:r>
        <w:t>调度器负责把任务分给合适的 Agent 和 Skill，安排执行顺序，保存来源与版本，并在需要时触发追问、修订和复核。各角色共享同一套证据标准，避免不同功能各说一套。</w:t>
      </w:r>
    </w:p>
    <w:p>
      <w:pPr>
        <w:ind w:firstLine="480"/>
        <w:jc w:val="both"/>
        <w:snapToGrid w:val="0"/>
      </w:pPr>
      <w:r>
        <w:t>新手模拟 Agent 从初学者视角检查：术语是否听得懂、段落是否连得上、图表和结论是否讲清、下一步是否明确。来源核验 Agent 回到原文、图表和数据，核对数字、条件、对照、结论边界和引用。导师 Agent 汇总两类反馈，补充关键解释并决定是否进入下一步。</w:t>
      </w:r>
    </w:p>
    <w:p>
      <w:pPr>
        <w:pStyle w:val="Heading2"/>
        <w:keepNext/>
        <w:keepLines/>
        <w:snapToGrid w:val="0"/>
      </w:pPr>
      <w:r>
        <w:rPr>
          <w:rFonts w:ascii="Arial" w:hAnsi="Arial" w:eastAsia="黑体"/>
          <w:sz w:val="28"/>
        </w:rPr>
        <w:t>（二）用汇报任务同时检验材料与学习表现</w:t>
      </w:r>
    </w:p>
    <w:p>
      <w:pPr>
        <w:ind w:firstLine="480"/>
        <w:jc w:val="both"/>
        <w:snapToGrid w:val="0"/>
      </w:pPr>
      <w:r>
        <w:t>带读生成 PPT 或讲稿时，系统反向检查材料是否保留了研究问题、实验设计、关键证据、结果和局限，是否能从原文找到依据。来源核验 Agent 检查图表、数字和引用；新手模拟 Agent 检查听众能否跟上；导师 Agent 负责重排叙事和补齐缺口。</w:t>
      </w:r>
    </w:p>
    <w:p>
      <w:pPr>
        <w:ind w:firstLine="480"/>
        <w:jc w:val="both"/>
        <w:snapToGrid w:val="0"/>
      </w:pPr>
      <w:r>
        <w:t>例如，某个实验被压缩成一句“结果更好”时，核验 Agent 会追查比较对象、指标和统计结果，新手模拟 Agent 会指出听众不知道“为什么做这个实验”，导师 Agent 再补回实验目的、对照关系和结论边界。这样 PPT 同时成为论文理解的检验材料。</w:t>
      </w:r>
    </w:p>
    <w:p>
      <w:pPr>
        <w:ind w:firstLine="480"/>
        <w:jc w:val="both"/>
        <w:snapToGrid w:val="0"/>
      </w:pPr>
      <w:r>
        <w:t>汇报反馈既检查表达，也检查学习结果：能否按研究逻辑组织内容，能否把数据与结论对应起来，能否说明结果的适用范围。若讲述只停留在结论，系统会回到相应图表或实验段落进行补读。</w:t>
      </w:r>
    </w:p>
    <w:p>
      <w:pPr>
        <w:ind w:firstLine="480"/>
        <w:jc w:val="both"/>
        <w:snapToGrid w:val="0"/>
      </w:pPr>
      <w:r>
        <w:t>迁移检查关注知识能否离开原论文继续使用。系统会改变研究对象、数据来源或资源条件，要求用户重新判断研究问题、对照、指标和方法是否仍然成立；不成立时说明原因，并引导寻找替代设计。</w:t>
      </w:r>
    </w:p>
    <w:p>
      <w:pPr>
        <w:pStyle w:val="Heading2"/>
        <w:keepNext/>
        <w:keepLines/>
        <w:snapToGrid w:val="0"/>
      </w:pPr>
      <w:r>
        <w:rPr>
          <w:rFonts w:ascii="Arial" w:hAnsi="Arial" w:eastAsia="黑体"/>
          <w:sz w:val="28"/>
        </w:rPr>
        <w:t>（三）用研究设计任务检查知识迁移</w:t>
      </w:r>
    </w:p>
    <w:p>
      <w:pPr>
        <w:ind w:firstLine="480"/>
        <w:jc w:val="both"/>
        <w:snapToGrid w:val="0"/>
      </w:pPr>
      <w:r>
        <w:t>在研究方案任务中，系统把论文中的证据链拆成可迁移的设计要素，再放入新的问题和限制条件中重新组合。</w:t>
      </w:r>
    </w:p>
    <w:p>
      <w:pPr>
        <w:ind w:firstLine="480"/>
        <w:jc w:val="both"/>
        <w:snapToGrid w:val="0"/>
      </w:pPr>
      <w:r>
        <w:t>例如，原研究依赖连续随访数据，而新课题只有一次住院记录，系统会要求重新考虑可回答的问题、结局定义、时间顺序和混杂控制，避免把原论文的方法直接照搬。</w:t>
      </w:r>
    </w:p>
    <w:p>
      <w:pPr>
        <w:ind w:firstLine="480"/>
        <w:jc w:val="both"/>
        <w:snapToGrid w:val="0"/>
      </w:pPr>
      <w:r>
        <w:t>同样的迁移检查也会回到 PPT 和带读结果：如果用户能讲清原实验，却无法解释方法换到新场景后的变化，导师 Agent 会定位缺口并安排针对性复读。</w:t>
      </w:r>
    </w:p>
    <w:p>
      <w:pPr>
        <w:pStyle w:val="Heading2"/>
        <w:keepNext/>
        <w:keepLines/>
        <w:snapToGrid w:val="0"/>
      </w:pPr>
      <w:r>
        <w:rPr>
          <w:rFonts w:ascii="Arial" w:hAnsi="Arial" w:eastAsia="黑体"/>
          <w:sz w:val="28"/>
        </w:rPr>
        <w:t>（四）将交叉反馈落实到内部迭代</w:t>
      </w:r>
    </w:p>
    <w:p>
      <w:pPr>
        <w:ind w:firstLine="480"/>
        <w:jc w:val="both"/>
        <w:snapToGrid w:val="0"/>
      </w:pPr>
      <w:r>
        <w:t>内部迭代采用“生成—模拟—核验—修订—迁移复测”的循环。生成结果后，由新手模拟 Agent 检查可理解性，由来源核验 Agent 检查证据一致性，再由导师 Agent 统一修改；随后用另一条主线复测，观察修改是否真正改善了理解和设计。</w:t>
      </w:r>
    </w:p>
    <w:p>
      <w:pPr>
        <w:ind w:firstLine="480"/>
        <w:jc w:val="both"/>
        <w:snapToGrid w:val="0"/>
      </w:pPr>
      <w:r>
        <w:t>测试既使用完整论文，也使用小样本片段。小样本用于快速定位术语、图表、引用和流程问题，完整论文用于检查长链条的一致性。PPT、研究方案和带读互相作为测试材料：带读检验理解，PPT检验表达，方案检验迁移。</w:t>
      </w:r>
    </w:p>
    <w:p>
      <w:pPr>
        <w:ind w:firstLine="480"/>
        <w:jc w:val="both"/>
        <w:snapToGrid w:val="0"/>
      </w:pPr>
      <w:r>
        <w:t>每轮保留输入、输出、核验意见和修改结果，比较修订前后的缺口数量与严重程度。对事实错误、证据错配、关键步骤缺失等问题严格处理；对不影响理解的措辞和排版问题集中归并，控制迭代成本。</w:t>
      </w:r>
    </w:p>
    <w:p>
      <w:pPr>
        <w:pStyle w:val="Heading1"/>
        <w:keepNext/>
        <w:keepLines/>
        <w:snapToGrid w:val="0"/>
      </w:pPr>
      <w:r>
        <w:rPr>
          <w:rFonts w:ascii="Arial" w:hAnsi="Arial" w:eastAsia="黑体"/>
          <w:sz w:val="28"/>
        </w:rPr>
        <w:t>四、Skill模块化设计</w:t>
      </w:r>
    </w:p>
    <w:p>
      <w:pPr>
        <w:pStyle w:val="Heading2"/>
        <w:keepNext/>
        <w:keepLines/>
        <w:snapToGrid w:val="0"/>
      </w:pPr>
      <w:r>
        <w:rPr>
          <w:rFonts w:ascii="Arial" w:hAnsi="Arial" w:eastAsia="黑体"/>
          <w:sz w:val="28"/>
        </w:rPr>
        <w:t>（一）按能力拆分，按任务组合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系统将教学与生成能力拆分为11个Skill，明确职责、输入、输出与质量要求，并通过共享规则统一教学和证据标准。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1．科研学习主助手：</w:t>
      </w:r>
      <w:r>
        <w:rPr>
          <w:rFonts w:ascii="宋体" w:hAnsi="宋体" w:eastAsia="宋体"/>
          <w:sz w:val="24"/>
        </w:rPr>
        <w:t>理解用户目标，组织任务与后续追问。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2．论文带读：</w:t>
      </w:r>
      <w:r>
        <w:rPr>
          <w:rFonts w:ascii="宋体" w:hAnsi="宋体" w:eastAsia="宋体"/>
          <w:sz w:val="24"/>
        </w:rPr>
        <w:t>串联背景、问题、方法、结果和讨论。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3．证据链：</w:t>
      </w:r>
      <w:r>
        <w:rPr>
          <w:rFonts w:ascii="宋体" w:hAnsi="宋体" w:eastAsia="宋体"/>
          <w:sz w:val="24"/>
        </w:rPr>
        <w:t>连接研究问题、实验、结果与结论。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4．方法教学：</w:t>
      </w:r>
      <w:r>
        <w:rPr>
          <w:rFonts w:ascii="宋体" w:hAnsi="宋体" w:eastAsia="宋体"/>
          <w:sz w:val="24"/>
        </w:rPr>
        <w:t>解释方法原理、实验目的与对照设计。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5．图表教学：</w:t>
      </w:r>
      <w:r>
        <w:rPr>
          <w:rFonts w:ascii="宋体" w:hAnsi="宋体" w:eastAsia="宋体"/>
          <w:sz w:val="24"/>
        </w:rPr>
        <w:t>解释坐标、分组、统计及数据含义。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6．术语解释：</w:t>
      </w:r>
      <w:r>
        <w:rPr>
          <w:rFonts w:ascii="宋体" w:hAnsi="宋体" w:eastAsia="宋体"/>
          <w:sz w:val="24"/>
        </w:rPr>
        <w:t>提供中英文对应与语境化解释。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7．论文汇报PPT：</w:t>
      </w:r>
      <w:r>
        <w:rPr>
          <w:rFonts w:ascii="宋体" w:hAnsi="宋体" w:eastAsia="宋体"/>
          <w:sz w:val="24"/>
        </w:rPr>
        <w:t>组织汇报主线、图文内容与讲述提示。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8．医学研究方案：</w:t>
      </w:r>
      <w:r>
        <w:rPr>
          <w:rFonts w:ascii="宋体" w:hAnsi="宋体" w:eastAsia="宋体"/>
          <w:sz w:val="24"/>
        </w:rPr>
        <w:t>根据问题、参考材料与限制组织方案。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9．来源核验：</w:t>
      </w:r>
      <w:r>
        <w:rPr>
          <w:rFonts w:ascii="宋体" w:hAnsi="宋体" w:eastAsia="宋体"/>
          <w:sz w:val="24"/>
        </w:rPr>
        <w:t>检查事实、引用与证据支持。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10．新手试读模拟：</w:t>
      </w:r>
      <w:r>
        <w:rPr>
          <w:rFonts w:ascii="宋体" w:hAnsi="宋体" w:eastAsia="宋体"/>
          <w:sz w:val="24"/>
        </w:rPr>
        <w:t>识别术语障碍、推理跳步和理解断点。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11．学习者任务模拟：</w:t>
      </w:r>
      <w:r>
        <w:rPr>
          <w:rFonts w:ascii="宋体" w:hAnsi="宋体" w:eastAsia="宋体"/>
          <w:sz w:val="24"/>
        </w:rPr>
        <w:t>支持模拟作答，为学习与迁移评价提供输入。</w:t>
      </w:r>
    </w:p>
    <w:p>
      <w:pPr>
        <w:ind w:firstLine="480"/>
        <w:jc w:val="both"/>
        <w:snapToGrid w:val="0"/>
      </w:pPr>
      <w:r>
        <w:t>Skill 与 Agent 按职责组合而非彼此孤立。例如讲解实验图表时调用图表解析、证据核验和医学术语 Skill；生成汇报时再调用 PPT 组织与讲稿 Skill。相同的证据和教学规则贯穿三条主线，保证读到、讲到、设计到的内容一致。</w:t>
      </w:r>
    </w:p>
    <w:p>
      <w:pPr>
        <w:pStyle w:val="Heading2"/>
        <w:keepNext/>
        <w:keepLines/>
        <w:snapToGrid w:val="0"/>
      </w:pPr>
      <w:r>
        <w:rPr>
          <w:rFonts w:ascii="Arial" w:hAnsi="Arial" w:eastAsia="黑体"/>
          <w:sz w:val="28"/>
        </w:rPr>
        <w:t>（二）定向改进，降低开发维护成本</w:t>
      </w:r>
    </w:p>
    <w:p>
      <w:pPr>
        <w:ind w:firstLine="480"/>
        <w:jc w:val="both"/>
        <w:snapToGrid w:val="0"/>
      </w:pPr>
      <w:r>
        <w:t>模块化让问题可以被定位到具体环节：图表解释不足时改进图表 Skill，PPT 逻辑松散时改进汇报 Skill，方案缺少对照时改进研究设计或核验 Skill。单个模块可以单独测试和替换，减少重复开发，也便于迁移到不同模型或运行环境。</w:t>
      </w:r>
    </w:p>
    <w:p>
      <w:pPr>
        <w:ind w:firstLine="480"/>
        <w:jc w:val="both"/>
        <w:snapToGrid w:val="0"/>
      </w:pPr>
      <w:r>
        <w:t>共享的输入输出约定使模块能够复用同一份证据、引用和版本记录。开发者可以先用小样本验证局部改动，再用完整论文检查跨功能影响，把有限时间集中在真正影响质量的环节。</w:t>
      </w:r>
    </w:p>
    <w:p>
      <w:pPr>
        <w:ind w:firstLine="480"/>
        <w:jc w:val="both"/>
        <w:snapToGrid w:val="0"/>
      </w:pPr>
      <w:r>
        <w:t>模块化还降低维护成本：公共规则只需维护一次，专门能力可以独立演进，调度器负责组合而不是重复实现细节。这样既能快速试错，也能保留可追溯的稳定版本。</w:t>
      </w:r>
    </w:p>
    <w:p>
      <w:pPr>
        <w:pStyle w:val="Heading1"/>
        <w:keepNext/>
        <w:keepLines/>
        <w:snapToGrid w:val="0"/>
      </w:pPr>
      <w:r>
        <w:rPr>
          <w:rFonts w:ascii="Arial" w:hAnsi="Arial" w:eastAsia="黑体"/>
          <w:sz w:val="28"/>
        </w:rPr>
        <w:t>五、技术架构与运行流程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系统采用前后端分离架构，通过本地网页提供使用入口。React与Vite前端承载阅读、追问、原文图表对照和成果预览；Express与TypeScript后端负责论文解析、模型调用、Agent调度、Skill加载、数据保存及文件导出。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整体分为四层：用户交互层提供阅读与生成工作区；任务调度层组织角色、规则和执行流程；模型与能力层完成讲解、生成、模拟与核验；资料与成果层管理论文来源、对话记录和生成版本。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基本运行流程为：导入论文与提出需求→组织相关材料→调度角色与Skill→生成并按需核验→展示结果→保存与导出。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后端提取PDF文本、页面与图件信息，结合问题和阅读位置组织证据。讲解引用、PPT图件及方案依据与来源关联，支持用户对照和后续复核；内部评价记录产物与来源版本，便于追踪改进。</w:t>
      </w:r>
    </w:p>
    <w:p>
      <w:pPr>
        <w:ind w:firstLine="480"/>
        <w:jc w:val="both"/>
        <w:snapToGrid w:val="0"/>
      </w:pPr>
      <w:r>
        <w:rPr>
          <w:rFonts w:ascii="宋体" w:hAnsi="宋体" w:eastAsia="宋体"/>
          <w:sz w:val="24"/>
        </w:rPr>
        <w:t>系统支持本地部署，论文、对话和成果保存在本机，推理所需材料发送至用户配置的模型服务。当前提供Codex接入与独立兼容模型API接入。模型通信与教学规则分层组织，使更换模型时能够复用前后端与协作框架，再验证图像理解、结构化输出和教学表现。</w:t>
      </w:r>
    </w:p>
    <w:p>
      <w:pPr>
        <w:pStyle w:val="Heading1"/>
        <w:keepNext/>
        <w:keepLines/>
        <w:snapToGrid w:val="0"/>
      </w:pPr>
      <w:r>
        <w:rPr>
          <w:rFonts w:ascii="Arial" w:hAnsi="Arial" w:eastAsia="黑体"/>
          <w:sz w:val="28"/>
        </w:rPr>
        <w:t>六、应用场景与验证</w:t>
      </w:r>
    </w:p>
    <w:p>
      <w:pPr>
        <w:pStyle w:val="Heading2"/>
        <w:keepNext/>
        <w:keepLines/>
        <w:snapToGrid w:val="0"/>
      </w:pPr>
      <w:r>
        <w:rPr>
          <w:rFonts w:ascii="Arial" w:hAnsi="Arial" w:eastAsia="黑体"/>
          <w:sz w:val="28"/>
        </w:rPr>
        <w:t>（一）典型应用场景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1．初入课题组：</w:t>
      </w:r>
      <w:r>
        <w:rPr>
          <w:rFonts w:ascii="宋体" w:hAnsi="宋体" w:eastAsia="宋体"/>
          <w:sz w:val="24"/>
        </w:rPr>
        <w:t>导入导师推荐的论文，通过连续带读、图表对照和追问，理解研究方法与证据关系。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2．准备组会汇报：</w:t>
      </w:r>
      <w:r>
        <w:rPr>
          <w:rFonts w:ascii="宋体" w:hAnsi="宋体" w:eastAsia="宋体"/>
          <w:sz w:val="24"/>
        </w:rPr>
        <w:t>围绕论文生成PPT和讲述提示，梳理研究主线、关键实验、创新与不足，结合原文核对细节。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3．讨论研究构思：</w:t>
      </w:r>
      <w:r>
        <w:rPr>
          <w:rFonts w:ascii="宋体" w:hAnsi="宋体" w:eastAsia="宋体"/>
          <w:sz w:val="24"/>
        </w:rPr>
        <w:t>提供问题、参考论文和资源限制，通过方案草案整理研究对象、对照与分析思路，与导师进一步讨论。</w:t>
      </w:r>
    </w:p>
    <w:p>
      <w:pPr>
        <w:pStyle w:val="Heading2"/>
        <w:keepNext/>
        <w:keepLines/>
        <w:snapToGrid w:val="0"/>
      </w:pPr>
      <w:r>
        <w:rPr>
          <w:rFonts w:ascii="Arial" w:hAnsi="Arial" w:eastAsia="黑体"/>
          <w:sz w:val="28"/>
        </w:rPr>
        <w:t>（二）验证与优化方式</w:t>
      </w:r>
    </w:p>
    <w:p>
      <w:pPr>
        <w:ind w:firstLine="480"/>
        <w:jc w:val="both"/>
        <w:snapToGrid w:val="0"/>
      </w:pPr>
      <w:r>
        <w:t>验证分为三层：工程测试检查页面、接口、文件和导出流程；内部模拟检查三 Agent 的协作、三主线交叉验证和迁移能力；用户体验检查关注阅读节奏、追问方式、版式和可操作性。三层结果分别记录，避免把自动化通过误写成真实用户成效。</w:t>
      </w:r>
    </w:p>
    <w:p>
      <w:pPr>
        <w:ind w:firstLine="480"/>
        <w:jc w:val="both"/>
        <w:snapToGrid w:val="0"/>
      </w:pPr>
      <w:r>
        <w:t>内部样本覆盖论文片段、完整论文、图表、PPT、研究方案和独立讲述。测试重点包括：能否定位原文、能否保留关键证据、能否发现明显设计错误、能否根据反馈完成修订，以及修改后能否迁移到新条件。</w:t>
      </w:r>
    </w:p>
    <w:p>
      <w:pPr>
        <w:ind w:firstLine="480"/>
        <w:jc w:val="both"/>
        <w:snapToGrid w:val="0"/>
      </w:pPr>
      <w:r>
        <w:t>质量判断优先处理事实错误、关键证据遗漏、结论越界和实验设计缺口；对不影响主要理解的小问题进行合并修订。当前结果反映的是工程测试和内部模拟核验，不替代真实课堂或临床使用评价。</w:t>
      </w:r>
    </w:p>
    <w:p>
      <w:pPr>
        <w:pStyle w:val="Heading1"/>
        <w:keepNext/>
        <w:keepLines/>
        <w:snapToGrid w:val="0"/>
      </w:pPr>
      <w:r>
        <w:rPr>
          <w:rFonts w:ascii="Arial" w:hAnsi="Arial" w:eastAsia="黑体"/>
          <w:sz w:val="28"/>
        </w:rPr>
        <w:t>七、创新亮点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1．以科研能力培养组织功能。</w:t>
      </w:r>
      <w:r>
        <w:rPr>
          <w:rFonts w:ascii="宋体" w:hAnsi="宋体" w:eastAsia="宋体"/>
          <w:sz w:val="24"/>
        </w:rPr>
        <w:t>将论文理解、科研表达与研究构思连接起来，在具体任务中解释方法选择与证据推理，为初学者建立连续的学习路径。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2．以新手表现反馈导师教学。</w:t>
      </w:r>
      <w:r>
        <w:rPr>
          <w:rFonts w:ascii="宋体" w:hAnsi="宋体" w:eastAsia="宋体"/>
          <w:sz w:val="24"/>
        </w:rPr>
        <w:t>导师生成、新手模拟与来源核验共同参与质量改进，用理解断点和任务表现指导补教与修订。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3．以三功能交叉验证检查应用与迁移。</w:t>
      </w:r>
      <w:r>
        <w:rPr>
          <w:rFonts w:ascii="宋体" w:hAnsi="宋体" w:eastAsia="宋体"/>
          <w:sz w:val="24"/>
        </w:rPr>
        <w:t>将带读、PPT和方案作为相互检验的材料，结合原始证据和变化条件，检查内容准确性、表达完整性与设计合理性。</w:t>
      </w:r>
    </w:p>
    <w:p>
      <w:pPr>
        <w:keepLines/>
        <w:ind w:left="480" w:hanging="480"/>
        <w:jc w:val="both"/>
        <w:snapToGrid w:val="0"/>
      </w:pPr>
      <w:r>
        <w:rPr>
          <w:rFonts w:ascii="宋体" w:hAnsi="宋体" w:eastAsia="宋体"/>
          <w:b/>
          <w:sz w:val="24"/>
        </w:rPr>
        <w:t>4．以模块化Skill积累可复用能力。</w:t>
      </w:r>
      <w:r>
        <w:rPr>
          <w:rFonts w:ascii="宋体" w:hAnsi="宋体" w:eastAsia="宋体"/>
          <w:sz w:val="24"/>
        </w:rPr>
        <w:t>将反馈定位到独立模块，通过候选比较持续改进，兼顾教学质量、开发效率与后续扩展，形成可维护的科研学习智能体。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0" w:before="0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0" w:after="8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00" w:after="60" w:line="360" w:lineRule="auto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pBdr>
        <w:bottom w:val="single" w:sz="8" w:space="4" w:color="4F81BD" w:themeColor="accent1"/>
      </w:pBdr>
      <w:spacing w:after="240" w:line="360" w:lineRule="auto" w:before="0"/>
      <w:contextualSpacing/>
    </w:pPr>
    <w:rPr>
      <w:rFonts w:asciiTheme="majorHAnsi" w:eastAsiaTheme="majorEastAsia" w:hAnsiTheme="majorHAnsi" w:cstheme="majorBidi" w:ascii="黑体" w:hAnsi="黑体" w:eastAsia="黑体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