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15 wp14">
  <w:body>
    <w:p>
      <w:pPr>
        <w:pStyle w:val="dingding-heading1"/>
        <w:keepNext/>
        <w:keepLines/>
      </w:pPr>
      <w:r>
        <w:rPr>
          <w:rFonts w:ascii="微软雅黑" w:hAnsi="微软雅黑" w:eastAsia="微软雅黑" w:cs="微软雅黑"/>
        </w:rPr>
        <w:t>凯撒旅游集团化业财一体</w:t>
      </w:r>
    </w:p>
    <w:p>
      <w:pPr>
        <w:pStyle w:val="dingding-heading1"/>
        <w:keepNext/>
        <w:keepLines/>
      </w:pPr>
      <w:r>
        <w:rPr>
          <w:rFonts w:ascii="微软雅黑" w:hAnsi="微软雅黑" w:eastAsia="微软雅黑" w:cs="微软雅黑"/>
        </w:rPr>
        <w:t>系统设计、金额计算与财务核算确认稿</w:t>
      </w:r>
    </w:p>
    <w:p>
      <w:pPr>
        <w:pStyle w:val="dingding_quote"/>
        <w:spacing w:before="80" w:after="200" w:line="288" w:lineRule="auto"/>
      </w:pPr>
      <w:r>
        <w:rPr>
          <w:rFonts w:ascii="微软雅黑" w:hAnsi="微软雅黑" w:eastAsia="微软雅黑" w:cs="微软雅黑"/>
          <w:b/>
          <w:color w:val="A0A0A0"/>
          <w:sz w:val="21"/>
        </w:rPr>
        <w:t>文档定位：</w:t>
      </w:r>
      <w:r>
        <w:rPr>
          <w:rFonts w:ascii="微软雅黑" w:hAnsi="微软雅黑" w:eastAsia="微软雅黑" w:cs="微软雅黑"/>
          <w:b w:val="0"/>
          <w:color w:val="A0A0A0"/>
          <w:sz w:val="21"/>
        </w:rPr>
        <w:t>产品经理 × 集团财务逐项确认材料</w:t>
      </w:r>
      <w:r>
        <w:br/>
      </w:r>
      <w:r>
        <w:rPr>
          <w:rFonts w:ascii="微软雅黑" w:hAnsi="微软雅黑" w:eastAsia="微软雅黑" w:cs="微软雅黑"/>
          <w:b/>
          <w:color w:val="A0A0A0"/>
          <w:sz w:val="21"/>
        </w:rPr>
        <w:t>分析视角：</w:t>
      </w:r>
      <w:r>
        <w:rPr>
          <w:rFonts w:ascii="微软雅黑" w:hAnsi="微软雅黑" w:eastAsia="微软雅黑" w:cs="微软雅黑"/>
          <w:b w:val="0"/>
          <w:color w:val="A0A0A0"/>
          <w:sz w:val="21"/>
        </w:rPr>
        <w:t>从客户合同、收付款和履约事实，一直验算到各法人往来、经营结果和NC（集团现用财务核算系统）</w:t>
      </w:r>
      <w:r>
        <w:br/>
      </w:r>
      <w:r>
        <w:rPr>
          <w:rFonts w:ascii="微软雅黑" w:hAnsi="微软雅黑" w:eastAsia="微软雅黑" w:cs="微软雅黑"/>
          <w:b/>
          <w:color w:val="A0A0A0"/>
          <w:sz w:val="21"/>
        </w:rPr>
        <w:t>确认目标：</w:t>
      </w:r>
      <w:r>
        <w:rPr>
          <w:rFonts w:ascii="微软雅黑" w:hAnsi="微软雅黑" w:eastAsia="微软雅黑" w:cs="微软雅黑"/>
          <w:b w:val="0"/>
          <w:color w:val="A0A0A0"/>
          <w:sz w:val="21"/>
        </w:rPr>
        <w:t>证明每一笔钱归属清楚、每项债权债务成立时点清楚、每项收益只计算一次、反向调整可以追溯</w:t>
      </w:r>
      <w:r>
        <w:br/>
      </w:r>
      <w:r>
        <w:rPr>
          <w:rFonts w:ascii="微软雅黑" w:hAnsi="微软雅黑" w:eastAsia="微软雅黑" w:cs="微软雅黑"/>
          <w:b/>
          <w:color w:val="A0A0A0"/>
          <w:sz w:val="21"/>
        </w:rPr>
        <w:t>版本日期：</w:t>
      </w:r>
      <w:r>
        <w:rPr>
          <w:rFonts w:ascii="微软雅黑" w:hAnsi="微软雅黑" w:eastAsia="微软雅黑" w:cs="微软雅黑"/>
          <w:b w:val="0"/>
          <w:color w:val="A0A0A0"/>
          <w:sz w:val="21"/>
        </w:rPr>
        <w:t>v1.0｜2026年8月24日</w:t>
      </w:r>
    </w:p>
    <w:p>
      <w:pPr>
        <w:pStyle w:val="dingding-heading2"/>
        <w:keepNext/>
        <w:keepLines/>
      </w:pPr>
      <w:r>
        <w:rPr>
          <w:rFonts w:ascii="微软雅黑" w:hAnsi="微软雅黑" w:eastAsia="微软雅黑" w:cs="微软雅黑"/>
        </w:rPr>
        <w:t>一、这份确认文档要解决什么问题</w:t>
      </w:r>
    </w:p>
    <w:p>
      <w:pPr>
        <w:spacing w:after="100" w:line="307" w:lineRule="auto"/>
      </w:pPr>
      <w:r>
        <w:rPr>
          <w:rFonts w:ascii="微软雅黑" w:hAnsi="微软雅黑" w:eastAsia="微软雅黑" w:cs="微软雅黑"/>
          <w:sz w:val="22"/>
        </w:rPr>
        <w:t>这次与财务确认的对象不是某一张页面或某一笔会计分录，而是旅游业务从产品来源、客户下单、收款、履约、供应商成本、门店或渠道结算、内部公司结算到财务入账的完整计算链路。</w:t>
      </w:r>
    </w:p>
    <w:p>
      <w:pPr>
        <w:spacing w:after="100" w:line="307" w:lineRule="auto"/>
      </w:pPr>
      <w:r>
        <w:rPr>
          <w:rFonts w:ascii="微软雅黑" w:hAnsi="微软雅黑" w:eastAsia="微软雅黑" w:cs="微软雅黑"/>
          <w:sz w:val="22"/>
        </w:rPr>
        <w:t>应收是客户或往来单位按合同已经应付给公司的金额；应付是公司因已经取得资源或服务而需要支付给供应商或内部公司的金额。业务系统先把这些业务事实和余额算清，财务再确认哪些事实达到会计入账条件。</w:t>
      </w:r>
    </w:p>
    <w:p>
      <w:pPr>
        <w:spacing w:after="100" w:line="307" w:lineRule="auto"/>
      </w:pPr>
      <w:r>
        <w:rPr>
          <w:rFonts w:ascii="微软雅黑" w:hAnsi="微软雅黑" w:eastAsia="微软雅黑" w:cs="微软雅黑"/>
          <w:sz w:val="22"/>
        </w:rPr>
        <w:t>本文所称NC，是集团现用的财务核算系统；文中只确认应进入NC的经济事项、所属公司、金额和日期依据，不在缺少正式档案时编造会计科目编码。</w:t>
      </w:r>
    </w:p>
    <w:p>
      <w:pPr>
        <w:spacing w:after="60"/>
        <w:ind w:left="418" w:hanging="418"/>
        <w:numPr>
          <w:ilvl w:val="0"/>
          <w:numId w:val="1"/>
        </w:numPr>
      </w:pPr>
      <w:r>
        <w:rPr>
          <w:rFonts w:ascii="微软雅黑" w:hAnsi="微软雅黑" w:eastAsia="微软雅黑" w:cs="微软雅黑"/>
          <w:sz w:val="21"/>
        </w:rPr>
        <w:t>确认系统有没有把合同金额、客户实际付款、优惠承担、门店留存、供应商扣款混成一个金额。</w:t>
      </w:r>
    </w:p>
    <w:p>
      <w:pPr>
        <w:spacing w:after="60"/>
        <w:ind w:left="418" w:hanging="418"/>
        <w:numPr>
          <w:ilvl w:val="0"/>
          <w:numId w:val="1"/>
        </w:numPr>
      </w:pPr>
      <w:r>
        <w:rPr>
          <w:rFonts w:ascii="微软雅黑" w:hAnsi="微软雅黑" w:eastAsia="微软雅黑" w:cs="微软雅黑"/>
          <w:sz w:val="21"/>
        </w:rPr>
        <w:t>确认同一笔收入、返佣、采购返还或部门贡献有没有在不同层次重复计算。</w:t>
      </w:r>
    </w:p>
    <w:p>
      <w:pPr>
        <w:spacing w:after="60"/>
        <w:ind w:left="418" w:hanging="418"/>
        <w:numPr>
          <w:ilvl w:val="0"/>
          <w:numId w:val="1"/>
        </w:numPr>
      </w:pPr>
      <w:r>
        <w:rPr>
          <w:rFonts w:ascii="微软雅黑" w:hAnsi="微软雅黑" w:eastAsia="微软雅黑" w:cs="微软雅黑"/>
          <w:sz w:val="21"/>
        </w:rPr>
        <w:t>确认各法人分别应收谁、应付谁、收了多少钱、付了多少钱，集团合并时怎样抵销内部交易。</w:t>
      </w:r>
    </w:p>
    <w:p>
      <w:pPr>
        <w:spacing w:after="60"/>
        <w:ind w:left="418" w:hanging="418"/>
        <w:numPr>
          <w:ilvl w:val="0"/>
          <w:numId w:val="1"/>
        </w:numPr>
      </w:pPr>
      <w:r>
        <w:rPr>
          <w:rFonts w:ascii="微软雅黑" w:hAnsi="微软雅黑" w:eastAsia="微软雅黑" w:cs="微软雅黑"/>
          <w:sz w:val="21"/>
        </w:rPr>
        <w:t>确认收入以履约事实为依据，资金到账只改变现金和债权债务，不直接替代收入确认。</w:t>
      </w:r>
    </w:p>
    <w:p>
      <w:pPr>
        <w:spacing w:after="60"/>
        <w:ind w:left="418" w:hanging="418"/>
        <w:numPr>
          <w:ilvl w:val="0"/>
          <w:numId w:val="1"/>
        </w:numPr>
      </w:pPr>
      <w:r>
        <w:rPr>
          <w:rFonts w:ascii="微软雅黑" w:hAnsi="微软雅黑" w:eastAsia="微软雅黑" w:cs="微软雅黑"/>
          <w:sz w:val="21"/>
        </w:rPr>
        <w:t>确认已结算、已推送NC后发生退款、补价、银行退回或跨期调整时，不删除原记录，而是形成有依据的反向处理。</w:t>
      </w:r>
    </w:p>
    <w:p>
      <w:pPr>
        <w:spacing w:before="80" w:after="200" w:line="288" w:lineRule="auto"/>
        <w:ind w:left="115" w:right="115"/>
        <w:shd w:val="clear" w:fill="EEF6FF"/>
        <w:pBdr>
          <w:top w:val="single" w:sz="6" w:space="4" w:color="E6D8C8"/>
          <w:left w:val="single" w:sz="6" w:space="4" w:color="E6D8C8"/>
          <w:bottom w:val="single" w:sz="6" w:space="4" w:color="E6D8C8"/>
          <w:right w:val="single" w:sz="6" w:space="4" w:color="E6D8C8"/>
        </w:pBdr>
      </w:pPr>
      <w:r>
        <w:rPr>
          <w:rFonts w:ascii="微软雅黑" w:hAnsi="微软雅黑" w:eastAsia="微软雅黑" w:cs="微软雅黑"/>
          <w:b/>
          <w:sz w:val="20"/>
        </w:rPr>
        <w:t>这件事的意义：</w:t>
      </w:r>
      <w:r>
        <w:rPr>
          <w:rFonts w:ascii="微软雅黑" w:hAnsi="微软雅黑" w:eastAsia="微软雅黑" w:cs="微软雅黑"/>
          <w:sz w:val="20"/>
        </w:rPr>
        <w:t>财务确认后的案例将同时成为系统计算规则、财务验收口径和测试样本。将来任何页面或程序只要算出的余额、公司结果或资金反算与案例不一致，就能直接定位为漏算、重复计算、主体归属错误或时点错误。</w:t>
      </w:r>
    </w:p>
    <w:p>
      <w:pPr>
        <w:pStyle w:val="dingding-heading2"/>
        <w:keepNext/>
        <w:keepLines/>
      </w:pPr>
      <w:r>
        <w:rPr>
          <w:rFonts w:ascii="微软雅黑" w:hAnsi="微软雅黑" w:eastAsia="微软雅黑" w:cs="微软雅黑"/>
        </w:rPr>
        <w:t>二、业务复杂度地图</w:t>
      </w:r>
    </w:p>
    <w:p>
      <w:pPr>
        <w:pStyle w:val="dingding-heading3"/>
        <w:keepNext/>
        <w:keepLines/>
      </w:pPr>
      <w:r>
        <w:rPr>
          <w:rFonts w:ascii="微软雅黑" w:hAnsi="微软雅黑" w:eastAsia="微软雅黑" w:cs="微软雅黑"/>
        </w:rPr>
        <w:t>2.1 集团与核算责任</w:t>
      </w:r>
    </w:p>
    <w:p>
      <w:pPr>
        <w:pStyle w:val="dingding_code"/>
        <w:spacing w:before="80" w:after="200" w:lineRule="exact" w:line="266"/>
        <w:ind w:left="115" w:right="115"/>
        <w:shd w:val="clear" w:fill="F2F3F5"/>
      </w:pPr>
      <w:r>
        <w:rPr>
          <w:rFonts w:ascii="Menlo" w:hAnsi="Menlo" w:eastAsia="Menlo" w:cs="Menlo"/>
          <w:sz w:val="18"/>
        </w:rPr>
        <w:t>凯撒旅游集团（管理总部）</w:t>
        <w:br/>
        <w:t xml:space="preserve">        │</w:t>
        <w:br/>
        <w:t xml:space="preserve">        ├── 北京凯撒（法人公司A）── 产品、销售、直营门店、加盟合作</w:t>
        <w:br/>
        <w:t xml:space="preserve">        ├── 上海凯撒（法人公司B）── 销售、产品、外采、履约</w:t>
        <w:br/>
        <w:t xml:space="preserve">        ├── 福建凯撒（法人公司C）── 自营产品、加盟门店</w:t>
        <w:br/>
        <w:t xml:space="preserve">        └── 资金集中管理主体（如启用）── 只承接代收、代付和内部资金清算</w:t>
        <w:br/>
        <w:br/>
        <w:t>判断顺序：谁签客户合同 → 谁承担履约责任 → 谁向供应商采购 → 谁实际收付款 → 哪个法人记账</w:t>
      </w:r>
    </w:p>
    <w:p>
      <w:pPr>
        <w:spacing w:after="60"/>
        <w:ind w:left="418" w:hanging="418"/>
        <w:numPr>
          <w:ilvl w:val="0"/>
          <w:numId w:val="1"/>
        </w:numPr>
      </w:pPr>
      <w:r>
        <w:rPr>
          <w:rFonts w:ascii="微软雅黑" w:hAnsi="微软雅黑" w:eastAsia="微软雅黑" w:cs="微软雅黑"/>
          <w:sz w:val="21"/>
        </w:rPr>
        <w:t>每个法人独立核算、独立开票、独立审计；跨法人交易形成双方对应的内部应收和内部应付。</w:t>
      </w:r>
    </w:p>
    <w:p>
      <w:pPr>
        <w:spacing w:after="60"/>
        <w:ind w:left="418" w:hanging="418"/>
        <w:numPr>
          <w:ilvl w:val="0"/>
          <w:numId w:val="1"/>
        </w:numPr>
      </w:pPr>
      <w:r>
        <w:rPr>
          <w:rFonts w:ascii="微软雅黑" w:hAnsi="微软雅黑" w:eastAsia="微软雅黑" w:cs="微软雅黑"/>
          <w:sz w:val="21"/>
        </w:rPr>
        <w:t>同一法人内产品部、采购部、销售部、门店之间的利润分配属于管理核算，不形成虚假的法人间债权债务。</w:t>
      </w:r>
    </w:p>
    <w:p>
      <w:pPr>
        <w:spacing w:after="60"/>
        <w:ind w:left="418" w:hanging="418"/>
        <w:numPr>
          <w:ilvl w:val="0"/>
          <w:numId w:val="1"/>
        </w:numPr>
      </w:pPr>
      <w:r>
        <w:rPr>
          <w:rFonts w:ascii="微软雅黑" w:hAnsi="微软雅黑" w:eastAsia="微软雅黑" w:cs="微软雅黑"/>
          <w:sz w:val="21"/>
        </w:rPr>
        <w:t>资金由集团统一代收或代付时，只改变实际资金所在主体，不改变客户合同、供应商合同和业务债权债务所属主体。</w:t>
      </w:r>
    </w:p>
    <w:p>
      <w:pPr>
        <w:pStyle w:val="dingding-heading3"/>
        <w:keepNext/>
        <w:keepLines/>
      </w:pPr>
      <w:r>
        <w:rPr>
          <w:rFonts w:ascii="微软雅黑" w:hAnsi="微软雅黑" w:eastAsia="微软雅黑" w:cs="微软雅黑"/>
        </w:rPr>
        <w:t>2.2 产品来源、销售方式和结算方式</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2200"/>
        <w:gridCol w:w="3900"/>
        <w:gridCol w:w="5120"/>
      </w:tblGrid>
      <w:tr>
        <w:trPr>
          <w:tblHeader w:val="true"/>
        </w:trPr>
        <w:tc>
          <w:tcPr>
            <w:tcW w:type="dxa" w:w="2200"/>
            <w:shd w:val="clear" w:color="auto" w:fill="F5F6F7"/>
            <w:vAlign w:val="center"/>
          </w:tcPr>
          <w:p>
            <w:pPr>
              <w:spacing w:after="0"/>
              <w:jc w:val="center"/>
            </w:pPr>
            <w:r>
              <w:rPr>
                <w:rFonts w:ascii="微软雅黑" w:hAnsi="微软雅黑" w:eastAsia="微软雅黑" w:cs="微软雅黑"/>
                <w:b/>
                <w:sz w:val="17"/>
              </w:rPr>
              <w:t>判断维度</w:t>
            </w:r>
          </w:p>
        </w:tc>
        <w:tc>
          <w:tcPr>
            <w:tcW w:type="dxa" w:w="3900"/>
            <w:shd w:val="clear" w:color="auto" w:fill="F5F6F7"/>
            <w:vAlign w:val="center"/>
          </w:tcPr>
          <w:p>
            <w:pPr>
              <w:spacing w:after="0"/>
              <w:jc w:val="center"/>
            </w:pPr>
            <w:r>
              <w:rPr>
                <w:rFonts w:ascii="微软雅黑" w:hAnsi="微软雅黑" w:eastAsia="微软雅黑" w:cs="微软雅黑"/>
                <w:b/>
                <w:sz w:val="17"/>
              </w:rPr>
              <w:t>主要类型</w:t>
            </w:r>
          </w:p>
        </w:tc>
        <w:tc>
          <w:tcPr>
            <w:tcW w:type="dxa" w:w="5120"/>
            <w:shd w:val="clear" w:color="auto" w:fill="F5F6F7"/>
            <w:vAlign w:val="center"/>
          </w:tcPr>
          <w:p>
            <w:pPr>
              <w:spacing w:after="0"/>
              <w:jc w:val="center"/>
            </w:pPr>
            <w:r>
              <w:rPr>
                <w:rFonts w:ascii="微软雅黑" w:hAnsi="微软雅黑" w:eastAsia="微软雅黑" w:cs="微软雅黑"/>
                <w:b/>
                <w:sz w:val="17"/>
              </w:rPr>
              <w:t>财务必须识别的差异</w:t>
            </w:r>
          </w:p>
        </w:tc>
      </w:tr>
      <w:tr>
        <w:tc>
          <w:tcPr>
            <w:tcW w:type="dxa" w:w="2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产品来源</w:t>
            </w:r>
          </w:p>
        </w:tc>
        <w:tc>
          <w:tcPr>
            <w:tcW w:type="dxa" w:w="39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7"/>
              </w:rPr>
              <w:t>本公司自营 / 体系外采购 / 集团内采购</w:t>
            </w:r>
          </w:p>
        </w:tc>
        <w:tc>
          <w:tcPr>
            <w:tcW w:type="dxa" w:w="512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7"/>
              </w:rPr>
              <w:t>决定履约责任、成本承担、内部往来和供应商应付</w:t>
            </w:r>
          </w:p>
        </w:tc>
      </w:tr>
      <w:tr>
        <w:tc>
          <w:tcPr>
            <w:tcW w:type="dxa" w:w="2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销售方式</w:t>
            </w:r>
          </w:p>
        </w:tc>
        <w:tc>
          <w:tcPr>
            <w:tcW w:type="dxa" w:w="39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7"/>
              </w:rPr>
              <w:t>直营网点 / 加盟门店 / 在线旅游平台（OTA） / 外部分销 / 企业项目</w:t>
            </w:r>
          </w:p>
        </w:tc>
        <w:tc>
          <w:tcPr>
            <w:tcW w:type="dxa" w:w="512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7"/>
              </w:rPr>
              <w:t>决定客户、收款方、佣金、账期和发票关系</w:t>
            </w:r>
          </w:p>
        </w:tc>
      </w:tr>
      <w:tr>
        <w:tc>
          <w:tcPr>
            <w:tcW w:type="dxa" w:w="2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客户资金</w:t>
            </w:r>
          </w:p>
        </w:tc>
        <w:tc>
          <w:tcPr>
            <w:tcW w:type="dxa" w:w="39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7"/>
              </w:rPr>
              <w:t>公司直收 / 门店代收 / 平台代收 / 集中代收 / 预存扣款</w:t>
            </w:r>
          </w:p>
        </w:tc>
        <w:tc>
          <w:tcPr>
            <w:tcW w:type="dxa" w:w="512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7"/>
              </w:rPr>
              <w:t>决定银行到账、代收未缴、预收和核销路径</w:t>
            </w:r>
          </w:p>
        </w:tc>
      </w:tr>
      <w:tr>
        <w:tc>
          <w:tcPr>
            <w:tcW w:type="dxa" w:w="2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渠道结算</w:t>
            </w:r>
          </w:p>
        </w:tc>
        <w:tc>
          <w:tcPr>
            <w:tcW w:type="dxa" w:w="39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7"/>
              </w:rPr>
              <w:t>全额上缴后返佣 / 扣佣后净额上缴 / 预存 / 月结</w:t>
            </w:r>
          </w:p>
        </w:tc>
        <w:tc>
          <w:tcPr>
            <w:tcW w:type="dxa" w:w="512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7"/>
              </w:rPr>
              <w:t>合同金额不因现金路径改变；差额必须有佣金或抵销依据</w:t>
            </w:r>
          </w:p>
        </w:tc>
      </w:tr>
      <w:tr>
        <w:tc>
          <w:tcPr>
            <w:tcW w:type="dxa" w:w="2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供应商结算</w:t>
            </w:r>
          </w:p>
        </w:tc>
        <w:tc>
          <w:tcPr>
            <w:tcW w:type="dxa" w:w="39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7"/>
              </w:rPr>
              <w:t>按单 / 按团期 / 按账单 / 预付 / 外币</w:t>
            </w:r>
          </w:p>
        </w:tc>
        <w:tc>
          <w:tcPr>
            <w:tcW w:type="dxa" w:w="512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7"/>
              </w:rPr>
              <w:t>实际成本、应付、预付、付款和汇兑差额分别记录</w:t>
            </w:r>
          </w:p>
        </w:tc>
      </w:tr>
    </w:tbl>
    <w:p>
      <w:pPr>
        <w:spacing w:after="40"/>
      </w:pPr>
    </w:p>
    <w:p>
      <w:pPr>
        <w:pStyle w:val="dingding-heading3"/>
        <w:keepNext/>
        <w:keepLines/>
      </w:pPr>
      <w:r>
        <w:rPr>
          <w:rFonts w:ascii="微软雅黑" w:hAnsi="微软雅黑" w:eastAsia="微软雅黑" w:cs="微软雅黑"/>
        </w:rPr>
        <w:t>2.3 全文统一核算规则</w:t>
      </w:r>
    </w:p>
    <w:p>
      <w:pPr>
        <w:pStyle w:val="dingding_code"/>
        <w:spacing w:before="80" w:after="200" w:lineRule="exact" w:line="260"/>
        <w:ind w:left="115" w:right="115"/>
        <w:shd w:val="clear" w:fill="F2F3F5"/>
      </w:pPr>
      <w:r>
        <w:rPr>
          <w:rFonts w:ascii="Menlo" w:hAnsi="Menlo" w:eastAsia="Menlo" w:cs="Menlo"/>
          <w:sz w:val="18"/>
        </w:rPr>
        <w:t>一项业务金额只进入一个确定去向：</w:t>
        <w:br/>
        <w:t>合同成交金额</w:t>
        <w:br/>
        <w:t>= 客户现金实付 + 被批准用于核销的优惠/积分/佣金抵销 + 期末待收</w:t>
        <w:br/>
        <w:br/>
        <w:t>供应商有效应付</w:t>
        <w:br/>
        <w:t>= 已付款 + 已冲抵预付 + 已批准抵销 + 期末待付</w:t>
        <w:br/>
        <w:br/>
        <w:t>各法人经营结果合计 - 内部收入与内部成本抵销</w:t>
        <w:br/>
        <w:t>= 集团对外收入 - 集团对外成本费用</w:t>
        <w:br/>
        <w:br/>
        <w:t>资金净变化</w:t>
        <w:br/>
        <w:t>= 实际流入 - 实际流出</w:t>
        <w:br/>
        <w:t>资金净变化不必等于利润；差异应由应收、应付、预收、预付和跨期解释。</w:t>
      </w:r>
    </w:p>
    <w:p>
      <w:pPr>
        <w:spacing w:before="80" w:after="200" w:line="288" w:lineRule="auto"/>
        <w:ind w:left="115" w:right="115"/>
        <w:shd w:val="clear" w:fill="FFF4E5"/>
        <w:pBdr>
          <w:top w:val="single" w:sz="6" w:space="4" w:color="E6D8C8"/>
          <w:left w:val="single" w:sz="6" w:space="4" w:color="E6D8C8"/>
          <w:bottom w:val="single" w:sz="6" w:space="4" w:color="E6D8C8"/>
          <w:right w:val="single" w:sz="6" w:space="4" w:color="E6D8C8"/>
        </w:pBdr>
      </w:pPr>
      <w:r>
        <w:rPr>
          <w:rFonts w:ascii="微软雅黑" w:hAnsi="微软雅黑" w:eastAsia="微软雅黑" w:cs="微软雅黑"/>
          <w:b/>
          <w:sz w:val="20"/>
        </w:rPr>
        <w:t>确认边界：</w:t>
      </w:r>
      <w:r>
        <w:rPr>
          <w:rFonts w:ascii="微软雅黑" w:hAnsi="微软雅黑" w:eastAsia="微软雅黑" w:cs="微软雅黑"/>
          <w:sz w:val="20"/>
        </w:rPr>
        <w:t>本文不替财务直接决定税率、差额计税、收入确认日期、暂估政策、NC科目编码和发票时点。本文先把业务事实、金额、责任主体和余额算平，再由财务在备选方案中确认正式口径。</w:t>
      </w:r>
    </w:p>
    <w:p>
      <w:pPr/>
      <w:r>
        <w:br w:type="page"/>
      </w:r>
    </w:p>
    <w:p>
      <w:pPr>
        <w:pStyle w:val="dingding-heading2"/>
        <w:keepNext/>
        <w:keepLines/>
      </w:pPr>
      <w:r>
        <w:rPr>
          <w:rFonts w:ascii="微软雅黑" w:hAnsi="微软雅黑" w:eastAsia="微软雅黑" w:cs="微软雅黑"/>
        </w:rPr>
        <w:t>案例1：体系外外采产品＋公司全额收款后返门店佣金</w:t>
      </w:r>
    </w:p>
    <w:p>
      <w:pPr>
        <w:pStyle w:val="dingding_quote"/>
        <w:spacing w:before="80" w:after="200" w:line="288" w:lineRule="auto"/>
      </w:pPr>
      <w:r>
        <w:rPr>
          <w:rFonts w:ascii="微软雅黑" w:hAnsi="微软雅黑" w:eastAsia="微软雅黑" w:cs="微软雅黑"/>
          <w:b/>
          <w:color w:val="A0A0A0"/>
          <w:sz w:val="21"/>
        </w:rPr>
        <w:t>场景定位：</w:t>
      </w:r>
      <w:r>
        <w:rPr>
          <w:rFonts w:ascii="微软雅黑" w:hAnsi="微软雅黑" w:eastAsia="微软雅黑" w:cs="微软雅黑"/>
          <w:b w:val="0"/>
          <w:color w:val="A0A0A0"/>
          <w:sz w:val="21"/>
        </w:rPr>
        <w:t>外采产品 × 北京公司对客销售与收款 × 加盟门店获客 × 外部供应商履约 × 回团后结算</w:t>
      </w:r>
      <w:r>
        <w:br/>
      </w:r>
      <w:r>
        <w:rPr>
          <w:rFonts w:ascii="微软雅黑" w:hAnsi="微软雅黑" w:eastAsia="微软雅黑" w:cs="微软雅黑"/>
          <w:b/>
          <w:color w:val="A0A0A0"/>
          <w:sz w:val="21"/>
        </w:rPr>
        <w:t>验证重点：</w:t>
      </w:r>
      <w:r>
        <w:rPr>
          <w:rFonts w:ascii="微软雅黑" w:hAnsi="微软雅黑" w:eastAsia="微软雅黑" w:cs="微软雅黑"/>
          <w:b w:val="0"/>
          <w:color w:val="A0A0A0"/>
          <w:sz w:val="21"/>
        </w:rPr>
        <w:t>优惠1,000、门店佣金2,000和供应商扣款480是否各算一次；公司结果为什么只能是1,480</w:t>
      </w:r>
      <w:r>
        <w:br/>
      </w:r>
      <w:r>
        <w:rPr>
          <w:rFonts w:ascii="微软雅黑" w:hAnsi="微软雅黑" w:eastAsia="微软雅黑" w:cs="微软雅黑"/>
          <w:b/>
          <w:color w:val="A0A0A0"/>
          <w:sz w:val="21"/>
        </w:rPr>
        <w:t>金额说明：</w:t>
      </w:r>
      <w:r>
        <w:rPr>
          <w:rFonts w:ascii="微软雅黑" w:hAnsi="微软雅黑" w:eastAsia="微软雅黑" w:cs="微软雅黑"/>
          <w:b w:val="0"/>
          <w:color w:val="A0A0A0"/>
          <w:sz w:val="21"/>
        </w:rPr>
        <w:t>以下均为含税业务金额；收入时点、税额、发票和正式会计科目以财务确认结论为准。</w:t>
      </w:r>
    </w:p>
    <w:p>
      <w:pPr>
        <w:pStyle w:val="dingding-heading3"/>
        <w:keepNext/>
        <w:keepLines/>
      </w:pPr>
      <w:r>
        <w:rPr>
          <w:rFonts w:ascii="微软雅黑" w:hAnsi="微软雅黑" w:eastAsia="微软雅黑" w:cs="微软雅黑"/>
        </w:rPr>
        <w:t>1. 业务场景设定</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2500"/>
        <w:gridCol w:w="8720"/>
      </w:tblGrid>
      <w:tr>
        <w:trPr>
          <w:tblHeader w:val="true"/>
        </w:trPr>
        <w:tc>
          <w:tcPr>
            <w:tcW w:type="dxa" w:w="2500"/>
            <w:shd w:val="clear" w:color="auto" w:fill="F5F6F7"/>
            <w:vAlign w:val="center"/>
          </w:tcPr>
          <w:p>
            <w:pPr>
              <w:spacing w:after="0"/>
              <w:jc w:val="center"/>
            </w:pPr>
            <w:r>
              <w:rPr>
                <w:rFonts w:ascii="微软雅黑" w:hAnsi="微软雅黑" w:eastAsia="微软雅黑" w:cs="微软雅黑"/>
                <w:b/>
                <w:sz w:val="19"/>
              </w:rPr>
              <w:t>项目</w:t>
            </w:r>
          </w:p>
        </w:tc>
        <w:tc>
          <w:tcPr>
            <w:tcW w:type="dxa" w:w="8720"/>
            <w:shd w:val="clear" w:color="auto" w:fill="F5F6F7"/>
            <w:vAlign w:val="center"/>
          </w:tcPr>
          <w:p>
            <w:pPr>
              <w:spacing w:after="0"/>
              <w:jc w:val="center"/>
            </w:pPr>
            <w:r>
              <w:rPr>
                <w:rFonts w:ascii="微软雅黑" w:hAnsi="微软雅黑" w:eastAsia="微软雅黑" w:cs="微软雅黑"/>
                <w:b/>
                <w:sz w:val="19"/>
              </w:rPr>
              <w:t>内容</w:t>
            </w:r>
          </w:p>
        </w:tc>
      </w:tr>
      <w:tr>
        <w:tc>
          <w:tcPr>
            <w:tcW w:type="dxa" w:w="25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9"/>
              </w:rPr>
              <w:t>销售及履约公司</w:t>
            </w:r>
          </w:p>
        </w:tc>
        <w:tc>
          <w:tcPr>
            <w:tcW w:type="dxa" w:w="87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9"/>
              </w:rPr>
              <w:t>北京凯撒旅行社有限公司</w:t>
            </w:r>
          </w:p>
        </w:tc>
      </w:tr>
      <w:tr>
        <w:tc>
          <w:tcPr>
            <w:tcW w:type="dxa" w:w="25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9"/>
              </w:rPr>
              <w:t>产品</w:t>
            </w:r>
          </w:p>
        </w:tc>
        <w:tc>
          <w:tcPr>
            <w:tcW w:type="dxa" w:w="87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9"/>
              </w:rPr>
              <w:t>欧洲五国十日游，2人，外采同行产品</w:t>
            </w:r>
          </w:p>
        </w:tc>
      </w:tr>
      <w:tr>
        <w:tc>
          <w:tcPr>
            <w:tcW w:type="dxa" w:w="25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9"/>
              </w:rPr>
              <w:t>客户与团期</w:t>
            </w:r>
          </w:p>
        </w:tc>
        <w:tc>
          <w:tcPr>
            <w:tcW w:type="dxa" w:w="872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9"/>
              </w:rPr>
              <w:t>李先生；2026年9月1日出发，9月10日回团</w:t>
            </w:r>
          </w:p>
        </w:tc>
      </w:tr>
      <w:tr>
        <w:tc>
          <w:tcPr>
            <w:tcW w:type="dxa" w:w="25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9"/>
              </w:rPr>
              <w:t>销售渠道</w:t>
            </w:r>
          </w:p>
        </w:tc>
        <w:tc>
          <w:tcPr>
            <w:tcW w:type="dxa" w:w="872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9"/>
              </w:rPr>
              <w:t>加盟门店A获客，北京公司与客户签约并直接收款</w:t>
            </w:r>
          </w:p>
        </w:tc>
      </w:tr>
      <w:tr>
        <w:tc>
          <w:tcPr>
            <w:tcW w:type="dxa" w:w="25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9"/>
              </w:rPr>
              <w:t>合同及结算</w:t>
            </w:r>
          </w:p>
        </w:tc>
        <w:tc>
          <w:tcPr>
            <w:tcW w:type="dxa" w:w="872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9"/>
              </w:rPr>
              <w:t>合同价20,000；客户付19,000；门店佣金2,000；供应商结算基础16,000，扣款480</w:t>
            </w:r>
          </w:p>
        </w:tc>
      </w:tr>
      <w:tr>
        <w:tc>
          <w:tcPr>
            <w:tcW w:type="dxa" w:w="25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9"/>
              </w:rPr>
              <w:t>案例假设</w:t>
            </w:r>
          </w:p>
        </w:tc>
        <w:tc>
          <w:tcPr>
            <w:tcW w:type="dxa" w:w="872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9"/>
              </w:rPr>
              <w:t>北京公司为主要履约责任方，暂按全额列示客户交易；税务和收入时点待确认</w:t>
            </w:r>
          </w:p>
        </w:tc>
      </w:tr>
    </w:tbl>
    <w:p>
      <w:pPr>
        <w:spacing w:after="40"/>
      </w:pPr>
    </w:p>
    <w:p>
      <w:pPr>
        <w:pStyle w:val="dingding-heading3"/>
        <w:keepNext/>
        <w:keepLines/>
      </w:pPr>
      <w:r>
        <w:rPr>
          <w:rFonts w:ascii="微软雅黑" w:hAnsi="微软雅黑" w:eastAsia="微软雅黑" w:cs="微软雅黑"/>
        </w:rPr>
        <w:t>2. 参与方和财务责任</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2600"/>
        <w:gridCol w:w="3300"/>
        <w:gridCol w:w="5320"/>
      </w:tblGrid>
      <w:tr>
        <w:trPr>
          <w:tblHeader w:val="true"/>
        </w:trPr>
        <w:tc>
          <w:tcPr>
            <w:tcW w:type="dxa" w:w="2600"/>
            <w:shd w:val="clear" w:color="auto" w:fill="F5F6F7"/>
            <w:vAlign w:val="center"/>
          </w:tcPr>
          <w:p>
            <w:pPr>
              <w:spacing w:after="0"/>
              <w:jc w:val="center"/>
            </w:pPr>
            <w:r>
              <w:rPr>
                <w:rFonts w:ascii="微软雅黑" w:hAnsi="微软雅黑" w:eastAsia="微软雅黑" w:cs="微软雅黑"/>
                <w:b/>
                <w:sz w:val="17"/>
              </w:rPr>
              <w:t>责任</w:t>
            </w:r>
          </w:p>
        </w:tc>
        <w:tc>
          <w:tcPr>
            <w:tcW w:type="dxa" w:w="3300"/>
            <w:shd w:val="clear" w:color="auto" w:fill="F5F6F7"/>
            <w:vAlign w:val="center"/>
          </w:tcPr>
          <w:p>
            <w:pPr>
              <w:spacing w:after="0"/>
              <w:jc w:val="center"/>
            </w:pPr>
            <w:r>
              <w:rPr>
                <w:rFonts w:ascii="微软雅黑" w:hAnsi="微软雅黑" w:eastAsia="微软雅黑" w:cs="微软雅黑"/>
                <w:b/>
                <w:sz w:val="17"/>
              </w:rPr>
              <w:t>承担方</w:t>
            </w:r>
          </w:p>
        </w:tc>
        <w:tc>
          <w:tcPr>
            <w:tcW w:type="dxa" w:w="5320"/>
            <w:shd w:val="clear" w:color="auto" w:fill="F5F6F7"/>
            <w:vAlign w:val="center"/>
          </w:tcPr>
          <w:p>
            <w:pPr>
              <w:spacing w:after="0"/>
              <w:jc w:val="center"/>
            </w:pPr>
            <w:r>
              <w:rPr>
                <w:rFonts w:ascii="微软雅黑" w:hAnsi="微软雅黑" w:eastAsia="微软雅黑" w:cs="微软雅黑"/>
                <w:b/>
                <w:sz w:val="17"/>
              </w:rPr>
              <w:t>判断依据</w:t>
            </w:r>
          </w:p>
        </w:tc>
      </w:tr>
      <w:tr>
        <w:tc>
          <w:tcPr>
            <w:tcW w:type="dxa" w:w="26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对客合同、收退款</w:t>
            </w:r>
          </w:p>
        </w:tc>
        <w:tc>
          <w:tcPr>
            <w:tcW w:type="dxa" w:w="33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北京公司</w:t>
            </w:r>
          </w:p>
        </w:tc>
        <w:tc>
          <w:tcPr>
            <w:tcW w:type="dxa" w:w="53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旅游合同及北京公司收款账户</w:t>
            </w:r>
          </w:p>
        </w:tc>
      </w:tr>
      <w:tr>
        <w:tc>
          <w:tcPr>
            <w:tcW w:type="dxa" w:w="26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门店获客和佣金</w:t>
            </w:r>
          </w:p>
        </w:tc>
        <w:tc>
          <w:tcPr>
            <w:tcW w:type="dxa" w:w="33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加盟门店A</w:t>
            </w:r>
          </w:p>
        </w:tc>
        <w:tc>
          <w:tcPr>
            <w:tcW w:type="dxa" w:w="53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加盟合作协议及佣金结算单</w:t>
            </w:r>
          </w:p>
        </w:tc>
      </w:tr>
      <w:tr>
        <w:tc>
          <w:tcPr>
            <w:tcW w:type="dxa" w:w="26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产品资源和履约</w:t>
            </w:r>
          </w:p>
        </w:tc>
        <w:tc>
          <w:tcPr>
            <w:tcW w:type="dxa" w:w="33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外部同行供应商</w:t>
            </w:r>
          </w:p>
        </w:tc>
        <w:tc>
          <w:tcPr>
            <w:tcW w:type="dxa" w:w="53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采购合同、名单、出团与回团记录</w:t>
            </w:r>
          </w:p>
        </w:tc>
      </w:tr>
      <w:tr>
        <w:tc>
          <w:tcPr>
            <w:tcW w:type="dxa" w:w="26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收入、成本和NC</w:t>
            </w:r>
          </w:p>
        </w:tc>
        <w:tc>
          <w:tcPr>
            <w:tcW w:type="dxa" w:w="33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北京公司</w:t>
            </w:r>
          </w:p>
        </w:tc>
        <w:tc>
          <w:tcPr>
            <w:tcW w:type="dxa" w:w="532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7"/>
              </w:rPr>
              <w:t>主要责任方判断、履约事实及北京NC账簿</w:t>
            </w:r>
          </w:p>
        </w:tc>
      </w:tr>
      <w:tr>
        <w:tc>
          <w:tcPr>
            <w:tcW w:type="dxa" w:w="26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优惠承担</w:t>
            </w:r>
          </w:p>
        </w:tc>
        <w:tc>
          <w:tcPr>
            <w:tcW w:type="dxa" w:w="33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北京公司总部营销部门（示例）</w:t>
            </w:r>
          </w:p>
        </w:tc>
        <w:tc>
          <w:tcPr>
            <w:tcW w:type="dxa" w:w="532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7"/>
              </w:rPr>
              <w:t>活动规则；同法人内只做部门承担，不形成另一法人应收</w:t>
            </w:r>
          </w:p>
        </w:tc>
      </w:tr>
    </w:tbl>
    <w:p>
      <w:pPr>
        <w:spacing w:after="40"/>
      </w:pPr>
    </w:p>
    <w:p>
      <w:pPr>
        <w:pStyle w:val="dingding-heading3"/>
        <w:keepNext/>
        <w:keepLines/>
      </w:pPr>
      <w:r>
        <w:rPr>
          <w:rFonts w:ascii="微软雅黑" w:hAnsi="微软雅黑" w:eastAsia="微软雅黑" w:cs="微软雅黑"/>
        </w:rPr>
        <w:t>3. 完整价格和金额拆解</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3000"/>
        <w:gridCol w:w="3100"/>
        <w:gridCol w:w="1700"/>
        <w:gridCol w:w="3420"/>
      </w:tblGrid>
      <w:tr>
        <w:trPr>
          <w:tblHeader w:val="true"/>
        </w:trPr>
        <w:tc>
          <w:tcPr>
            <w:tcW w:type="dxa" w:w="3000"/>
            <w:shd w:val="clear" w:color="auto" w:fill="F5F6F7"/>
            <w:vAlign w:val="center"/>
          </w:tcPr>
          <w:p>
            <w:pPr>
              <w:spacing w:after="0"/>
              <w:jc w:val="center"/>
            </w:pPr>
            <w:r>
              <w:rPr>
                <w:rFonts w:ascii="微软雅黑" w:hAnsi="微软雅黑" w:eastAsia="微软雅黑" w:cs="微软雅黑"/>
                <w:b/>
                <w:sz w:val="17"/>
              </w:rPr>
              <w:t>金额项目</w:t>
            </w:r>
          </w:p>
        </w:tc>
        <w:tc>
          <w:tcPr>
            <w:tcW w:type="dxa" w:w="3100"/>
            <w:shd w:val="clear" w:color="auto" w:fill="F5F6F7"/>
            <w:vAlign w:val="center"/>
          </w:tcPr>
          <w:p>
            <w:pPr>
              <w:spacing w:after="0"/>
              <w:jc w:val="center"/>
            </w:pPr>
            <w:r>
              <w:rPr>
                <w:rFonts w:ascii="微软雅黑" w:hAnsi="微软雅黑" w:eastAsia="微软雅黑" w:cs="微软雅黑"/>
                <w:b/>
                <w:sz w:val="17"/>
              </w:rPr>
              <w:t>计算</w:t>
            </w:r>
          </w:p>
        </w:tc>
        <w:tc>
          <w:tcPr>
            <w:tcW w:type="dxa" w:w="1700"/>
            <w:shd w:val="clear" w:color="auto" w:fill="F5F6F7"/>
            <w:vAlign w:val="center"/>
          </w:tcPr>
          <w:p>
            <w:pPr>
              <w:spacing w:after="0"/>
              <w:jc w:val="center"/>
            </w:pPr>
            <w:r>
              <w:rPr>
                <w:rFonts w:ascii="微软雅黑" w:hAnsi="微软雅黑" w:eastAsia="微软雅黑" w:cs="微软雅黑"/>
                <w:b/>
                <w:sz w:val="17"/>
              </w:rPr>
              <w:t>金额</w:t>
            </w:r>
          </w:p>
        </w:tc>
        <w:tc>
          <w:tcPr>
            <w:tcW w:type="dxa" w:w="3420"/>
            <w:shd w:val="clear" w:color="auto" w:fill="F5F6F7"/>
            <w:vAlign w:val="center"/>
          </w:tcPr>
          <w:p>
            <w:pPr>
              <w:spacing w:after="0"/>
              <w:jc w:val="center"/>
            </w:pPr>
            <w:r>
              <w:rPr>
                <w:rFonts w:ascii="微软雅黑" w:hAnsi="微软雅黑" w:eastAsia="微软雅黑" w:cs="微软雅黑"/>
                <w:b/>
                <w:sz w:val="17"/>
              </w:rPr>
              <w:t>最终去向</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客户合同价</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10,000×2</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20,000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客户交易金额</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客户现金实付</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20,000－1,000</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19,000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北京公司银行到账</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优惠券</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公司承担</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1,000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价格折减或营销费用，二选一</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供应商结算基础</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8,000×2</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16,000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采购成本基础</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供应商扣款</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16,000×3%</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480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冲减采购价或独立返还，二选一</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供应商实际收款</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16,000－480</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15,520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北京公司实际付款</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门店佣金</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已批准合作规则</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2,000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北京公司应付加盟门店</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公司结果</w:t>
            </w:r>
          </w:p>
        </w:tc>
        <w:tc>
          <w:tcPr>
            <w:tcW w:type="dxa" w:w="31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7"/>
              </w:rPr>
              <w:t>20,000－16,000－2,000－1,000＋480</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1,480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优惠费用、返还收入展示方案</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公司结果（净额展示）</w:t>
            </w:r>
          </w:p>
        </w:tc>
        <w:tc>
          <w:tcPr>
            <w:tcW w:type="dxa" w:w="31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7"/>
              </w:rPr>
              <w:t>19,000－15,520－2,000</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1,480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收入折减、采购净价展示方案</w:t>
            </w:r>
          </w:p>
        </w:tc>
      </w:tr>
    </w:tbl>
    <w:p>
      <w:pPr>
        <w:spacing w:after="40"/>
      </w:pPr>
    </w:p>
    <w:p>
      <w:pPr>
        <w:pStyle w:val="dingding-heading3"/>
        <w:keepNext/>
        <w:keepLines/>
      </w:pPr>
      <w:r>
        <w:rPr>
          <w:rFonts w:ascii="微软雅黑" w:hAnsi="微软雅黑" w:eastAsia="微软雅黑" w:cs="微软雅黑"/>
        </w:rPr>
        <w:t>4. 交易、债权债务和实际资金</w:t>
      </w:r>
    </w:p>
    <w:p>
      <w:pPr>
        <w:pStyle w:val="dingding_code"/>
        <w:spacing w:before="80" w:after="200" w:lineRule="exact" w:line="252"/>
        <w:ind w:left="115" w:right="115"/>
        <w:shd w:val="clear" w:fill="F2F3F5"/>
      </w:pPr>
      <w:r>
        <w:rPr>
          <w:rFonts w:ascii="Menlo" w:hAnsi="Menlo" w:eastAsia="Menlo" w:cs="Menlo"/>
          <w:sz w:val="17"/>
        </w:rPr>
        <w:t>债权债务：客户应付20,000 → 北京公司</w:t>
        <w:br/>
        <w:t xml:space="preserve">            北京公司应付2,000 → 加盟门店A</w:t>
        <w:br/>
        <w:t xml:space="preserve">            北京公司应付16,000、另有扣款480 → 外部供应商</w:t>
        <w:br/>
        <w:br/>
        <w:t>实际资金：客户 ─19,000→ 北京公司 ─2,000→ 加盟门店A</w:t>
        <w:br/>
        <w:t xml:space="preserve">                               └15,520→ 外部供应商</w:t>
        <w:br/>
        <w:br/>
        <w:t>注意：优惠1,000和扣款480必须保留原金额及承担依据；不能只保存净额。</w:t>
      </w:r>
    </w:p>
    <w:p>
      <w:pPr>
        <w:pStyle w:val="dingding-heading3"/>
        <w:keepNext/>
        <w:keepLines/>
      </w:pPr>
      <w:r>
        <w:rPr>
          <w:rFonts w:ascii="微软雅黑" w:hAnsi="微软雅黑" w:eastAsia="微软雅黑" w:cs="微软雅黑"/>
        </w:rPr>
        <w:t>5. 分阶段业务与财务变化</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1550"/>
        <w:gridCol w:w="2600"/>
        <w:gridCol w:w="3200"/>
        <w:gridCol w:w="1600"/>
        <w:gridCol w:w="2270"/>
      </w:tblGrid>
      <w:tr>
        <w:trPr>
          <w:tblHeader w:val="true"/>
        </w:trPr>
        <w:tc>
          <w:tcPr>
            <w:tcW w:type="dxa" w:w="1550"/>
            <w:shd w:val="clear" w:color="auto" w:fill="F5F6F7"/>
            <w:vAlign w:val="center"/>
          </w:tcPr>
          <w:p>
            <w:pPr>
              <w:spacing w:after="0"/>
              <w:jc w:val="center"/>
            </w:pPr>
            <w:r>
              <w:rPr>
                <w:rFonts w:ascii="微软雅黑" w:hAnsi="微软雅黑" w:eastAsia="微软雅黑" w:cs="微软雅黑"/>
                <w:b/>
                <w:sz w:val="16"/>
              </w:rPr>
              <w:t>阶段</w:t>
            </w:r>
          </w:p>
        </w:tc>
        <w:tc>
          <w:tcPr>
            <w:tcW w:type="dxa" w:w="2600"/>
            <w:shd w:val="clear" w:color="auto" w:fill="F5F6F7"/>
            <w:vAlign w:val="center"/>
          </w:tcPr>
          <w:p>
            <w:pPr>
              <w:spacing w:after="0"/>
              <w:jc w:val="center"/>
            </w:pPr>
            <w:r>
              <w:rPr>
                <w:rFonts w:ascii="微软雅黑" w:hAnsi="微软雅黑" w:eastAsia="微软雅黑" w:cs="微软雅黑"/>
                <w:b/>
                <w:sz w:val="16"/>
              </w:rPr>
              <w:t>业务事实</w:t>
            </w:r>
          </w:p>
        </w:tc>
        <w:tc>
          <w:tcPr>
            <w:tcW w:type="dxa" w:w="3200"/>
            <w:shd w:val="clear" w:color="auto" w:fill="F5F6F7"/>
            <w:vAlign w:val="center"/>
          </w:tcPr>
          <w:p>
            <w:pPr>
              <w:spacing w:after="0"/>
              <w:jc w:val="center"/>
            </w:pPr>
            <w:r>
              <w:rPr>
                <w:rFonts w:ascii="微软雅黑" w:hAnsi="微软雅黑" w:eastAsia="微软雅黑" w:cs="微软雅黑"/>
                <w:b/>
                <w:sz w:val="16"/>
              </w:rPr>
              <w:t>记录和余额变化</w:t>
            </w:r>
          </w:p>
        </w:tc>
        <w:tc>
          <w:tcPr>
            <w:tcW w:type="dxa" w:w="1600"/>
            <w:shd w:val="clear" w:color="auto" w:fill="F5F6F7"/>
            <w:vAlign w:val="center"/>
          </w:tcPr>
          <w:p>
            <w:pPr>
              <w:spacing w:after="0"/>
              <w:jc w:val="center"/>
            </w:pPr>
            <w:r>
              <w:rPr>
                <w:rFonts w:ascii="微软雅黑" w:hAnsi="微软雅黑" w:eastAsia="微软雅黑" w:cs="微软雅黑"/>
                <w:b/>
                <w:sz w:val="16"/>
              </w:rPr>
              <w:t>实际资金</w:t>
            </w:r>
          </w:p>
        </w:tc>
        <w:tc>
          <w:tcPr>
            <w:tcW w:type="dxa" w:w="2270"/>
            <w:shd w:val="clear" w:color="auto" w:fill="F5F6F7"/>
            <w:vAlign w:val="center"/>
          </w:tcPr>
          <w:p>
            <w:pPr>
              <w:spacing w:after="0"/>
              <w:jc w:val="center"/>
            </w:pPr>
            <w:r>
              <w:rPr>
                <w:rFonts w:ascii="微软雅黑" w:hAnsi="微软雅黑" w:eastAsia="微软雅黑" w:cs="微软雅黑"/>
                <w:b/>
                <w:sz w:val="16"/>
              </w:rPr>
              <w:t>会计及NC状态</w:t>
            </w:r>
          </w:p>
        </w:tc>
      </w:tr>
      <w:tr>
        <w:tc>
          <w:tcPr>
            <w:tcW w:type="dxa" w:w="155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签约</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形成20,000合同</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业务应收20,000；保存优惠承担</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0</w:t>
            </w:r>
          </w:p>
        </w:tc>
        <w:tc>
          <w:tcPr>
            <w:tcW w:type="dxa" w:w="227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是否形成会计应收待政策判断</w:t>
            </w:r>
          </w:p>
        </w:tc>
      </w:tr>
      <w:tr>
        <w:tc>
          <w:tcPr>
            <w:tcW w:type="dxa" w:w="155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客户付款</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客户支付19,000</w:t>
            </w:r>
          </w:p>
        </w:tc>
        <w:tc>
          <w:tcPr>
            <w:tcW w:type="dxa" w:w="32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核销19,000；剩余1,000由优惠口径承接</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+19,000</w:t>
            </w:r>
          </w:p>
        </w:tc>
        <w:tc>
          <w:tcPr>
            <w:tcW w:type="dxa" w:w="227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真实到账后形成收款事项</w:t>
            </w:r>
          </w:p>
        </w:tc>
      </w:tr>
      <w:tr>
        <w:tc>
          <w:tcPr>
            <w:tcW w:type="dxa" w:w="155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出团履约</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供应商提供服务</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记录履约和实际资源</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0</w:t>
            </w:r>
          </w:p>
        </w:tc>
        <w:tc>
          <w:tcPr>
            <w:tcW w:type="dxa" w:w="227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不因出团状态机械确认收入</w:t>
            </w:r>
          </w:p>
        </w:tc>
      </w:tr>
      <w:tr>
        <w:tc>
          <w:tcPr>
            <w:tcW w:type="dxa" w:w="155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回团结算</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确认有效订单、实际成本</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收入/成本及门店、供应商往来生效</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0</w:t>
            </w:r>
          </w:p>
        </w:tc>
        <w:tc>
          <w:tcPr>
            <w:tcW w:type="dxa" w:w="227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达到财务批准条件后推送NC</w:t>
            </w:r>
          </w:p>
        </w:tc>
      </w:tr>
      <w:tr>
        <w:tc>
          <w:tcPr>
            <w:tcW w:type="dxa" w:w="155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供应商付款</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应付16,000，净付15,520</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应付清零；480按已确认方案处理</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－15,520</w:t>
            </w:r>
          </w:p>
        </w:tc>
        <w:tc>
          <w:tcPr>
            <w:tcW w:type="dxa" w:w="227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实际扣款日形成付款事项</w:t>
            </w:r>
          </w:p>
        </w:tc>
      </w:tr>
      <w:tr>
        <w:tc>
          <w:tcPr>
            <w:tcW w:type="dxa" w:w="155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门店结算</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支付佣金2,000</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门店应付清零</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－2,000</w:t>
            </w:r>
          </w:p>
        </w:tc>
        <w:tc>
          <w:tcPr>
            <w:tcW w:type="dxa" w:w="227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发票条件和费用时点待确认</w:t>
            </w:r>
          </w:p>
        </w:tc>
      </w:tr>
    </w:tbl>
    <w:p>
      <w:pPr>
        <w:spacing w:after="40"/>
      </w:pPr>
    </w:p>
    <w:p>
      <w:pPr>
        <w:pStyle w:val="dingding-heading3"/>
        <w:keepNext/>
        <w:keepLines/>
      </w:pPr>
      <w:r>
        <w:rPr>
          <w:rFonts w:ascii="微软雅黑" w:hAnsi="微软雅黑" w:eastAsia="微软雅黑" w:cs="微软雅黑"/>
        </w:rPr>
        <w:t>6. 余额、结果和反算</w:t>
      </w:r>
    </w:p>
    <w:p>
      <w:pPr>
        <w:pStyle w:val="dingding_code"/>
        <w:spacing w:before="80" w:after="200" w:lineRule="exact" w:line="254"/>
        <w:ind w:left="115" w:right="115"/>
        <w:shd w:val="clear" w:fill="F2F3F5"/>
      </w:pPr>
      <w:r>
        <w:rPr>
          <w:rFonts w:ascii="Menlo" w:hAnsi="Menlo" w:eastAsia="Menlo" w:cs="Menlo"/>
          <w:sz w:val="17"/>
        </w:rPr>
        <w:t>客户侧：20,000 = 现金19,000 + 优惠承担1,000；期末客户待收0</w:t>
        <w:br/>
        <w:t>供应商侧：16,000 = 实付15,520 + 扣款480；期末待付0</w:t>
        <w:br/>
        <w:t>经营结果：20,000 - 16,000 - 2,000 - 1,000 + 480 = 1,480</w:t>
        <w:br/>
        <w:t>等价净额：19,000 - 15,520 - 2,000 = 1,480</w:t>
        <w:br/>
        <w:t>资金反算：19,000 - 15,520 - 2,000 = 1,480</w:t>
        <w:br/>
        <w:br/>
        <w:t>禁止：把480既冲减成本又计入其他收入；把销售员300既包含在门店2,000内又由公司另记一次。</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2800"/>
        <w:gridCol w:w="2500"/>
        <w:gridCol w:w="3000"/>
        <w:gridCol w:w="2920"/>
      </w:tblGrid>
      <w:tr>
        <w:trPr>
          <w:tblHeader w:val="true"/>
        </w:trPr>
        <w:tc>
          <w:tcPr>
            <w:tcW w:type="dxa" w:w="2800"/>
            <w:shd w:val="clear" w:color="auto" w:fill="F5F6F7"/>
            <w:vAlign w:val="center"/>
          </w:tcPr>
          <w:p>
            <w:pPr>
              <w:spacing w:after="0"/>
              <w:jc w:val="center"/>
            </w:pPr>
            <w:r>
              <w:rPr>
                <w:rFonts w:ascii="微软雅黑" w:hAnsi="微软雅黑" w:eastAsia="微软雅黑" w:cs="微软雅黑"/>
                <w:b/>
                <w:sz w:val="17"/>
              </w:rPr>
              <w:t>观察层次</w:t>
            </w:r>
          </w:p>
        </w:tc>
        <w:tc>
          <w:tcPr>
            <w:tcW w:type="dxa" w:w="2500"/>
            <w:shd w:val="clear" w:color="auto" w:fill="F5F6F7"/>
            <w:vAlign w:val="center"/>
          </w:tcPr>
          <w:p>
            <w:pPr>
              <w:spacing w:after="0"/>
              <w:jc w:val="center"/>
            </w:pPr>
            <w:r>
              <w:rPr>
                <w:rFonts w:ascii="微软雅黑" w:hAnsi="微软雅黑" w:eastAsia="微软雅黑" w:cs="微软雅黑"/>
                <w:b/>
                <w:sz w:val="17"/>
              </w:rPr>
              <w:t>收入/流入</w:t>
            </w:r>
          </w:p>
        </w:tc>
        <w:tc>
          <w:tcPr>
            <w:tcW w:type="dxa" w:w="3000"/>
            <w:shd w:val="clear" w:color="auto" w:fill="F5F6F7"/>
            <w:vAlign w:val="center"/>
          </w:tcPr>
          <w:p>
            <w:pPr>
              <w:spacing w:after="0"/>
              <w:jc w:val="center"/>
            </w:pPr>
            <w:r>
              <w:rPr>
                <w:rFonts w:ascii="微软雅黑" w:hAnsi="微软雅黑" w:eastAsia="微软雅黑" w:cs="微软雅黑"/>
                <w:b/>
                <w:sz w:val="17"/>
              </w:rPr>
              <w:t>成本费用/流出</w:t>
            </w:r>
          </w:p>
        </w:tc>
        <w:tc>
          <w:tcPr>
            <w:tcW w:type="dxa" w:w="2920"/>
            <w:shd w:val="clear" w:color="auto" w:fill="F5F6F7"/>
            <w:vAlign w:val="center"/>
          </w:tcPr>
          <w:p>
            <w:pPr>
              <w:spacing w:after="0"/>
              <w:jc w:val="center"/>
            </w:pPr>
            <w:r>
              <w:rPr>
                <w:rFonts w:ascii="微软雅黑" w:hAnsi="微软雅黑" w:eastAsia="微软雅黑" w:cs="微软雅黑"/>
                <w:b/>
                <w:sz w:val="17"/>
              </w:rPr>
              <w:t>结果或余额</w:t>
            </w:r>
          </w:p>
        </w:tc>
      </w:tr>
      <w:tr>
        <w:tc>
          <w:tcPr>
            <w:tcW w:type="dxa" w:w="28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北京公司法定账</w:t>
            </w:r>
          </w:p>
        </w:tc>
        <w:tc>
          <w:tcPr>
            <w:tcW w:type="dxa" w:w="2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收入20,000或19,000</w:t>
            </w:r>
          </w:p>
        </w:tc>
        <w:tc>
          <w:tcPr>
            <w:tcW w:type="dxa" w:w="30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7"/>
              </w:rPr>
              <w:t>成本16,000或15,520；佣金2,000；优惠1,000或0</w:t>
            </w:r>
          </w:p>
        </w:tc>
        <w:tc>
          <w:tcPr>
            <w:tcW w:type="dxa" w:w="29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两种展示均应得到1,480</w:t>
            </w:r>
          </w:p>
        </w:tc>
      </w:tr>
      <w:tr>
        <w:tc>
          <w:tcPr>
            <w:tcW w:type="dxa" w:w="28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门店</w:t>
            </w:r>
          </w:p>
        </w:tc>
        <w:tc>
          <w:tcPr>
            <w:tcW w:type="dxa" w:w="2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佣金2,000</w:t>
            </w:r>
          </w:p>
        </w:tc>
        <w:tc>
          <w:tcPr>
            <w:tcW w:type="dxa" w:w="30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门店自行承担员工奖励（若约定）</w:t>
            </w:r>
          </w:p>
        </w:tc>
        <w:tc>
          <w:tcPr>
            <w:tcW w:type="dxa" w:w="29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不重复减少北京公司利润</w:t>
            </w:r>
          </w:p>
        </w:tc>
      </w:tr>
      <w:tr>
        <w:tc>
          <w:tcPr>
            <w:tcW w:type="dxa" w:w="28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采购部门管理贡献</w:t>
            </w:r>
          </w:p>
        </w:tc>
        <w:tc>
          <w:tcPr>
            <w:tcW w:type="dxa" w:w="2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480</w:t>
            </w:r>
          </w:p>
        </w:tc>
        <w:tc>
          <w:tcPr>
            <w:tcW w:type="dxa" w:w="30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仅在管理报表分配</w:t>
            </w:r>
          </w:p>
        </w:tc>
        <w:tc>
          <w:tcPr>
            <w:tcW w:type="dxa" w:w="29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必须与公司层扣款结果抵销</w:t>
            </w:r>
          </w:p>
        </w:tc>
      </w:tr>
      <w:tr>
        <w:tc>
          <w:tcPr>
            <w:tcW w:type="dxa" w:w="28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资金</w:t>
            </w:r>
          </w:p>
        </w:tc>
        <w:tc>
          <w:tcPr>
            <w:tcW w:type="dxa" w:w="2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客户流入19,000</w:t>
            </w:r>
          </w:p>
        </w:tc>
        <w:tc>
          <w:tcPr>
            <w:tcW w:type="dxa" w:w="30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供应商15,520＋门店2,000</w:t>
            </w:r>
          </w:p>
        </w:tc>
        <w:tc>
          <w:tcPr>
            <w:tcW w:type="dxa" w:w="29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净增加1,480</w:t>
            </w:r>
          </w:p>
        </w:tc>
      </w:tr>
    </w:tbl>
    <w:p>
      <w:pPr>
        <w:spacing w:after="40"/>
      </w:pPr>
    </w:p>
    <w:p>
      <w:pPr>
        <w:pStyle w:val="dingding-heading3"/>
        <w:keepNext/>
        <w:keepLines/>
      </w:pPr>
      <w:r>
        <w:rPr>
          <w:rFonts w:ascii="微软雅黑" w:hAnsi="微软雅黑" w:eastAsia="微软雅黑" w:cs="微软雅黑"/>
        </w:rPr>
        <w:t>7. 合同、业务、资金、发票和会计核对</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2300"/>
        <w:gridCol w:w="3200"/>
        <w:gridCol w:w="2700"/>
        <w:gridCol w:w="3020"/>
      </w:tblGrid>
      <w:tr>
        <w:trPr>
          <w:tblHeader w:val="true"/>
        </w:trPr>
        <w:tc>
          <w:tcPr>
            <w:tcW w:type="dxa" w:w="2300"/>
            <w:shd w:val="clear" w:color="auto" w:fill="F5F6F7"/>
            <w:vAlign w:val="center"/>
          </w:tcPr>
          <w:p>
            <w:pPr>
              <w:spacing w:after="0"/>
              <w:jc w:val="center"/>
            </w:pPr>
            <w:r>
              <w:rPr>
                <w:rFonts w:ascii="微软雅黑" w:hAnsi="微软雅黑" w:eastAsia="微软雅黑" w:cs="微软雅黑"/>
                <w:b/>
                <w:sz w:val="16"/>
              </w:rPr>
              <w:t>交易段</w:t>
            </w:r>
          </w:p>
        </w:tc>
        <w:tc>
          <w:tcPr>
            <w:tcW w:type="dxa" w:w="3200"/>
            <w:shd w:val="clear" w:color="auto" w:fill="F5F6F7"/>
            <w:vAlign w:val="center"/>
          </w:tcPr>
          <w:p>
            <w:pPr>
              <w:spacing w:after="0"/>
              <w:jc w:val="center"/>
            </w:pPr>
            <w:r>
              <w:rPr>
                <w:rFonts w:ascii="微软雅黑" w:hAnsi="微软雅黑" w:eastAsia="微软雅黑" w:cs="微软雅黑"/>
                <w:b/>
                <w:sz w:val="16"/>
              </w:rPr>
              <w:t>合同与业务</w:t>
            </w:r>
          </w:p>
        </w:tc>
        <w:tc>
          <w:tcPr>
            <w:tcW w:type="dxa" w:w="2700"/>
            <w:shd w:val="clear" w:color="auto" w:fill="F5F6F7"/>
            <w:vAlign w:val="center"/>
          </w:tcPr>
          <w:p>
            <w:pPr>
              <w:spacing w:after="0"/>
              <w:jc w:val="center"/>
            </w:pPr>
            <w:r>
              <w:rPr>
                <w:rFonts w:ascii="微软雅黑" w:hAnsi="微软雅黑" w:eastAsia="微软雅黑" w:cs="微软雅黑"/>
                <w:b/>
                <w:sz w:val="16"/>
              </w:rPr>
              <w:t>资金与发票</w:t>
            </w:r>
          </w:p>
        </w:tc>
        <w:tc>
          <w:tcPr>
            <w:tcW w:type="dxa" w:w="3020"/>
            <w:shd w:val="clear" w:color="auto" w:fill="F5F6F7"/>
            <w:vAlign w:val="center"/>
          </w:tcPr>
          <w:p>
            <w:pPr>
              <w:spacing w:after="0"/>
              <w:jc w:val="center"/>
            </w:pPr>
            <w:r>
              <w:rPr>
                <w:rFonts w:ascii="微软雅黑" w:hAnsi="微软雅黑" w:eastAsia="微软雅黑" w:cs="微软雅黑"/>
                <w:b/>
                <w:sz w:val="16"/>
              </w:rPr>
              <w:t>会计结果/差异解释</w:t>
            </w:r>
          </w:p>
        </w:tc>
      </w:tr>
      <w:tr>
        <w:tc>
          <w:tcPr>
            <w:tcW w:type="dxa" w:w="23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客户—北京公司</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合同20,000，履约由北京负责</w:t>
            </w:r>
          </w:p>
        </w:tc>
        <w:tc>
          <w:tcPr>
            <w:tcW w:type="dxa" w:w="27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客户实付19,000；发票金额待税务确认</w:t>
            </w:r>
          </w:p>
        </w:tc>
        <w:tc>
          <w:tcPr>
            <w:tcW w:type="dxa" w:w="302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1,000需由价格折减或公司优惠费用承接</w:t>
            </w:r>
          </w:p>
        </w:tc>
      </w:tr>
      <w:tr>
        <w:tc>
          <w:tcPr>
            <w:tcW w:type="dxa" w:w="23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北京公司—门店</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加盟协议约定佣金2,000</w:t>
            </w:r>
          </w:p>
        </w:tc>
        <w:tc>
          <w:tcPr>
            <w:tcW w:type="dxa" w:w="27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北京付2,000；门店开票规则待确认</w:t>
            </w:r>
          </w:p>
        </w:tc>
        <w:tc>
          <w:tcPr>
            <w:tcW w:type="dxa" w:w="3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形成真实应付和销售费用</w:t>
            </w:r>
          </w:p>
        </w:tc>
      </w:tr>
      <w:tr>
        <w:tc>
          <w:tcPr>
            <w:tcW w:type="dxa" w:w="23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北京公司—供应商</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采购基础16,000、扣款480</w:t>
            </w:r>
          </w:p>
        </w:tc>
        <w:tc>
          <w:tcPr>
            <w:tcW w:type="dxa" w:w="27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净付15,520；供应商票据口径待确认</w:t>
            </w:r>
          </w:p>
        </w:tc>
        <w:tc>
          <w:tcPr>
            <w:tcW w:type="dxa" w:w="3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净价或毛额返还二选一</w:t>
            </w:r>
          </w:p>
        </w:tc>
      </w:tr>
      <w:tr>
        <w:tc>
          <w:tcPr>
            <w:tcW w:type="dxa" w:w="23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部门管理</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同法人部门贡献分配</w:t>
            </w:r>
          </w:p>
        </w:tc>
        <w:tc>
          <w:tcPr>
            <w:tcW w:type="dxa" w:w="2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不形成外部资金和发票</w:t>
            </w:r>
          </w:p>
        </w:tc>
        <w:tc>
          <w:tcPr>
            <w:tcW w:type="dxa" w:w="3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只影响管理报表，不增加法人利润</w:t>
            </w:r>
          </w:p>
        </w:tc>
      </w:tr>
    </w:tbl>
    <w:p>
      <w:pPr>
        <w:spacing w:after="40"/>
      </w:pPr>
    </w:p>
    <w:p>
      <w:pPr>
        <w:pStyle w:val="dingding-heading3"/>
        <w:keepNext/>
        <w:keepLines/>
      </w:pPr>
      <w:r>
        <w:rPr>
          <w:rFonts w:ascii="微软雅黑" w:hAnsi="微软雅黑" w:eastAsia="微软雅黑" w:cs="微软雅黑"/>
        </w:rPr>
        <w:t>8. 会计事项和NC承接</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2200"/>
        <w:gridCol w:w="1600"/>
        <w:gridCol w:w="3900"/>
        <w:gridCol w:w="1500"/>
        <w:gridCol w:w="2020"/>
      </w:tblGrid>
      <w:tr>
        <w:trPr>
          <w:tblHeader w:val="true"/>
        </w:trPr>
        <w:tc>
          <w:tcPr>
            <w:tcW w:type="dxa" w:w="2200"/>
            <w:shd w:val="clear" w:color="auto" w:fill="F5F6F7"/>
            <w:vAlign w:val="center"/>
          </w:tcPr>
          <w:p>
            <w:pPr>
              <w:spacing w:after="0"/>
              <w:jc w:val="center"/>
            </w:pPr>
            <w:r>
              <w:rPr>
                <w:rFonts w:ascii="微软雅黑" w:hAnsi="微软雅黑" w:eastAsia="微软雅黑" w:cs="微软雅黑"/>
                <w:b/>
                <w:sz w:val="16"/>
              </w:rPr>
              <w:t>生效时点</w:t>
            </w:r>
          </w:p>
        </w:tc>
        <w:tc>
          <w:tcPr>
            <w:tcW w:type="dxa" w:w="1600"/>
            <w:shd w:val="clear" w:color="auto" w:fill="F5F6F7"/>
            <w:vAlign w:val="center"/>
          </w:tcPr>
          <w:p>
            <w:pPr>
              <w:spacing w:after="0"/>
              <w:jc w:val="center"/>
            </w:pPr>
            <w:r>
              <w:rPr>
                <w:rFonts w:ascii="微软雅黑" w:hAnsi="微软雅黑" w:eastAsia="微软雅黑" w:cs="微软雅黑"/>
                <w:b/>
                <w:sz w:val="16"/>
              </w:rPr>
              <w:t>所属公司</w:t>
            </w:r>
          </w:p>
        </w:tc>
        <w:tc>
          <w:tcPr>
            <w:tcW w:type="dxa" w:w="3900"/>
            <w:shd w:val="clear" w:color="auto" w:fill="F5F6F7"/>
            <w:vAlign w:val="center"/>
          </w:tcPr>
          <w:p>
            <w:pPr>
              <w:spacing w:after="0"/>
              <w:jc w:val="center"/>
            </w:pPr>
            <w:r>
              <w:rPr>
                <w:rFonts w:ascii="微软雅黑" w:hAnsi="微软雅黑" w:eastAsia="微软雅黑" w:cs="微软雅黑"/>
                <w:b/>
                <w:sz w:val="16"/>
              </w:rPr>
              <w:t>经济事项</w:t>
            </w:r>
          </w:p>
        </w:tc>
        <w:tc>
          <w:tcPr>
            <w:tcW w:type="dxa" w:w="1500"/>
            <w:shd w:val="clear" w:color="auto" w:fill="F5F6F7"/>
            <w:vAlign w:val="center"/>
          </w:tcPr>
          <w:p>
            <w:pPr>
              <w:spacing w:after="0"/>
              <w:jc w:val="center"/>
            </w:pPr>
            <w:r>
              <w:rPr>
                <w:rFonts w:ascii="微软雅黑" w:hAnsi="微软雅黑" w:eastAsia="微软雅黑" w:cs="微软雅黑"/>
                <w:b/>
                <w:sz w:val="16"/>
              </w:rPr>
              <w:t>金额</w:t>
            </w:r>
          </w:p>
        </w:tc>
        <w:tc>
          <w:tcPr>
            <w:tcW w:type="dxa" w:w="2020"/>
            <w:shd w:val="clear" w:color="auto" w:fill="F5F6F7"/>
            <w:vAlign w:val="center"/>
          </w:tcPr>
          <w:p>
            <w:pPr>
              <w:spacing w:after="0"/>
              <w:jc w:val="center"/>
            </w:pPr>
            <w:r>
              <w:rPr>
                <w:rFonts w:ascii="微软雅黑" w:hAnsi="微软雅黑" w:eastAsia="微软雅黑" w:cs="微软雅黑"/>
                <w:b/>
                <w:sz w:val="16"/>
              </w:rPr>
              <w:t>反向处理</w:t>
            </w:r>
          </w:p>
        </w:tc>
      </w:tr>
      <w:tr>
        <w:tc>
          <w:tcPr>
            <w:tcW w:type="dxa" w:w="2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客户到账日</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北京公司</w:t>
            </w:r>
          </w:p>
        </w:tc>
        <w:tc>
          <w:tcPr>
            <w:tcW w:type="dxa" w:w="39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银行资金增加；核销应收或形成未履约客户款</w:t>
            </w:r>
          </w:p>
        </w:tc>
        <w:tc>
          <w:tcPr>
            <w:tcW w:type="dxa" w:w="1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19,000</w:t>
            </w:r>
          </w:p>
        </w:tc>
        <w:tc>
          <w:tcPr>
            <w:tcW w:type="dxa" w:w="2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收款冲销或退款</w:t>
            </w:r>
          </w:p>
        </w:tc>
      </w:tr>
      <w:tr>
        <w:tc>
          <w:tcPr>
            <w:tcW w:type="dxa" w:w="2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履约确认日</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北京公司</w:t>
            </w:r>
          </w:p>
        </w:tc>
        <w:tc>
          <w:tcPr>
            <w:tcW w:type="dxa" w:w="39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客户收入及外采成本</w:t>
            </w:r>
          </w:p>
        </w:tc>
        <w:tc>
          <w:tcPr>
            <w:tcW w:type="dxa" w:w="15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20,000/16,000或净额方案</w:t>
            </w:r>
          </w:p>
        </w:tc>
        <w:tc>
          <w:tcPr>
            <w:tcW w:type="dxa" w:w="2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收入成本调整</w:t>
            </w:r>
          </w:p>
        </w:tc>
      </w:tr>
      <w:tr>
        <w:tc>
          <w:tcPr>
            <w:tcW w:type="dxa" w:w="2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门店结算生效</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北京公司</w:t>
            </w:r>
          </w:p>
        </w:tc>
        <w:tc>
          <w:tcPr>
            <w:tcW w:type="dxa" w:w="39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加盟门店佣金应付</w:t>
            </w:r>
          </w:p>
        </w:tc>
        <w:tc>
          <w:tcPr>
            <w:tcW w:type="dxa" w:w="1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2,000</w:t>
            </w:r>
          </w:p>
        </w:tc>
        <w:tc>
          <w:tcPr>
            <w:tcW w:type="dxa" w:w="2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佣金结算冲销</w:t>
            </w:r>
          </w:p>
        </w:tc>
      </w:tr>
      <w:tr>
        <w:tc>
          <w:tcPr>
            <w:tcW w:type="dxa" w:w="2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供应商付款日</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北京公司</w:t>
            </w:r>
          </w:p>
        </w:tc>
        <w:tc>
          <w:tcPr>
            <w:tcW w:type="dxa" w:w="39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应付减少、银行资金减少</w:t>
            </w:r>
          </w:p>
        </w:tc>
        <w:tc>
          <w:tcPr>
            <w:tcW w:type="dxa" w:w="1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15,520</w:t>
            </w:r>
          </w:p>
        </w:tc>
        <w:tc>
          <w:tcPr>
            <w:tcW w:type="dxa" w:w="2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付款退回恢复应付</w:t>
            </w:r>
          </w:p>
        </w:tc>
      </w:tr>
      <w:tr>
        <w:tc>
          <w:tcPr>
            <w:tcW w:type="dxa" w:w="2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扣款条件满足</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北京公司</w:t>
            </w:r>
          </w:p>
        </w:tc>
        <w:tc>
          <w:tcPr>
            <w:tcW w:type="dxa" w:w="39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采购价减少或独立返还</w:t>
            </w:r>
          </w:p>
        </w:tc>
        <w:tc>
          <w:tcPr>
            <w:tcW w:type="dxa" w:w="1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480</w:t>
            </w:r>
          </w:p>
        </w:tc>
        <w:tc>
          <w:tcPr>
            <w:tcW w:type="dxa" w:w="2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返还调整</w:t>
            </w:r>
          </w:p>
        </w:tc>
      </w:tr>
    </w:tbl>
    <w:p>
      <w:pPr>
        <w:spacing w:after="40"/>
      </w:pPr>
    </w:p>
    <w:p>
      <w:pPr>
        <w:spacing w:before="80" w:after="200" w:line="288" w:lineRule="auto"/>
        <w:ind w:left="115" w:right="115"/>
        <w:shd w:val="clear" w:fill="FFF4E5"/>
        <w:pBdr>
          <w:top w:val="single" w:sz="6" w:space="4" w:color="E6D8C8"/>
          <w:left w:val="single" w:sz="6" w:space="4" w:color="E6D8C8"/>
          <w:bottom w:val="single" w:sz="6" w:space="4" w:color="E6D8C8"/>
          <w:right w:val="single" w:sz="6" w:space="4" w:color="E6D8C8"/>
        </w:pBdr>
      </w:pPr>
      <w:r>
        <w:rPr>
          <w:rFonts w:ascii="微软雅黑" w:hAnsi="微软雅黑" w:eastAsia="微软雅黑" w:cs="微软雅黑"/>
          <w:b/>
          <w:sz w:val="20"/>
        </w:rPr>
        <w:t>本案例的核心判断：</w:t>
      </w:r>
      <w:r>
        <w:rPr>
          <w:rFonts w:ascii="微软雅黑" w:hAnsi="微软雅黑" w:eastAsia="微软雅黑" w:cs="微软雅黑"/>
          <w:sz w:val="20"/>
        </w:rPr>
        <w:t>附件示例出现520、1,480和1,660三个结果。按给定金额，无论采用毛额还是净额展示，公司结果都只能是1,480；其他结果来自漏算、重复计算或把部门虚拟分配叠加到公司利润。</w:t>
      </w:r>
    </w:p>
    <w:p>
      <w:pPr>
        <w:pStyle w:val="dingding-heading3"/>
        <w:keepNext/>
        <w:keepLines/>
      </w:pPr>
      <w:r>
        <w:rPr>
          <w:rFonts w:ascii="微软雅黑" w:hAnsi="微软雅黑" w:eastAsia="微软雅黑" w:cs="微软雅黑"/>
        </w:rPr>
        <w:t>财务需要逐项确认</w:t>
      </w:r>
    </w:p>
    <w:p>
      <w:pPr>
        <w:spacing w:after="60"/>
        <w:ind w:left="418" w:hanging="418"/>
        <w:numPr>
          <w:ilvl w:val="0"/>
          <w:numId w:val="1"/>
        </w:numPr>
      </w:pPr>
      <w:r>
        <w:rPr>
          <w:rFonts w:ascii="微软雅黑" w:hAnsi="微软雅黑" w:eastAsia="微软雅黑" w:cs="微软雅黑"/>
          <w:sz w:val="21"/>
        </w:rPr>
        <w:t>优惠1,000是减少交易价格，还是公司营销费用；合同和发票分别按19,000还是20,000？</w:t>
      </w:r>
    </w:p>
    <w:p>
      <w:pPr>
        <w:spacing w:after="60"/>
        <w:ind w:left="418" w:hanging="418"/>
        <w:numPr>
          <w:ilvl w:val="0"/>
          <w:numId w:val="1"/>
        </w:numPr>
      </w:pPr>
      <w:r>
        <w:rPr>
          <w:rFonts w:ascii="微软雅黑" w:hAnsi="微软雅黑" w:eastAsia="微软雅黑" w:cs="微软雅黑"/>
          <w:sz w:val="21"/>
        </w:rPr>
        <w:t>供应商扣款480是采购折让、返佣收入还是服务收入；发票和税额如何处理？</w:t>
      </w:r>
    </w:p>
    <w:p>
      <w:pPr>
        <w:spacing w:after="60"/>
        <w:ind w:left="418" w:hanging="418"/>
        <w:numPr>
          <w:ilvl w:val="0"/>
          <w:numId w:val="1"/>
        </w:numPr>
      </w:pPr>
      <w:r>
        <w:rPr>
          <w:rFonts w:ascii="微软雅黑" w:hAnsi="微软雅黑" w:eastAsia="微软雅黑" w:cs="微软雅黑"/>
          <w:sz w:val="21"/>
        </w:rPr>
        <w:t>门店2,000是否为独立加盟商佣金；销售员300由门店承担还是北京公司另行承担？</w:t>
      </w:r>
    </w:p>
    <w:p>
      <w:pPr>
        <w:spacing w:after="60"/>
        <w:ind w:left="418" w:hanging="418"/>
        <w:numPr>
          <w:ilvl w:val="0"/>
          <w:numId w:val="1"/>
        </w:numPr>
      </w:pPr>
      <w:r>
        <w:rPr>
          <w:rFonts w:ascii="微软雅黑" w:hAnsi="微软雅黑" w:eastAsia="微软雅黑" w:cs="微软雅黑"/>
          <w:sz w:val="21"/>
        </w:rPr>
        <w:t>回团后第几天达到收入、成本和结算确认条件；哪些异常必须冻结自动处理？</w:t>
      </w:r>
    </w:p>
    <w:p>
      <w:pPr/>
      <w:r>
        <w:br w:type="page"/>
      </w:r>
    </w:p>
    <w:p>
      <w:pPr>
        <w:pStyle w:val="dingding-heading2"/>
        <w:keepNext/>
        <w:keepLines/>
      </w:pPr>
      <w:r>
        <w:rPr>
          <w:rFonts w:ascii="微软雅黑" w:hAnsi="微软雅黑" w:eastAsia="微软雅黑" w:cs="微软雅黑"/>
        </w:rPr>
        <w:t>案例2：自营产品＋加盟门店先扣佣金后净额上缴</w:t>
      </w:r>
    </w:p>
    <w:p>
      <w:pPr>
        <w:pStyle w:val="dingding_quote"/>
        <w:spacing w:before="80" w:after="200" w:line="288" w:lineRule="auto"/>
      </w:pPr>
      <w:r>
        <w:rPr>
          <w:rFonts w:ascii="微软雅黑" w:hAnsi="微软雅黑" w:eastAsia="微软雅黑" w:cs="微软雅黑"/>
          <w:b/>
          <w:color w:val="A0A0A0"/>
          <w:sz w:val="21"/>
        </w:rPr>
        <w:t>场景定位：</w:t>
      </w:r>
      <w:r>
        <w:rPr>
          <w:rFonts w:ascii="微软雅黑" w:hAnsi="微软雅黑" w:eastAsia="微软雅黑" w:cs="微软雅黑"/>
          <w:b w:val="0"/>
          <w:color w:val="A0A0A0"/>
          <w:sz w:val="21"/>
        </w:rPr>
        <w:t>福建公司自营产品 × 加盟门店对客代收 × 门店扣佣后汇款 × 福建公司承担履约和采购</w:t>
      </w:r>
      <w:r>
        <w:br/>
      </w:r>
      <w:r>
        <w:rPr>
          <w:rFonts w:ascii="微软雅黑" w:hAnsi="微软雅黑" w:eastAsia="微软雅黑" w:cs="微软雅黑"/>
          <w:b/>
          <w:color w:val="A0A0A0"/>
          <w:sz w:val="21"/>
        </w:rPr>
        <w:t>验证重点：</w:t>
      </w:r>
      <w:r>
        <w:rPr>
          <w:rFonts w:ascii="微软雅黑" w:hAnsi="微软雅黑" w:eastAsia="微软雅黑" w:cs="微软雅黑"/>
          <w:b w:val="0"/>
          <w:color w:val="A0A0A0"/>
          <w:sz w:val="21"/>
        </w:rPr>
        <w:t>客户合同5,000与公司银行到账4,000的差额如何核销；同法人采购部75元不能重复减少公司利润</w:t>
      </w:r>
      <w:r>
        <w:br/>
      </w:r>
      <w:r>
        <w:rPr>
          <w:rFonts w:ascii="微软雅黑" w:hAnsi="微软雅黑" w:eastAsia="微软雅黑" w:cs="微软雅黑"/>
          <w:b/>
          <w:color w:val="A0A0A0"/>
          <w:sz w:val="21"/>
        </w:rPr>
        <w:t>金额说明：</w:t>
      </w:r>
      <w:r>
        <w:rPr>
          <w:rFonts w:ascii="微软雅黑" w:hAnsi="微软雅黑" w:eastAsia="微软雅黑" w:cs="微软雅黑"/>
          <w:b w:val="0"/>
          <w:color w:val="A0A0A0"/>
          <w:sz w:val="21"/>
        </w:rPr>
        <w:t>以下均为含税业务金额；收入时点、税额、发票和正式会计科目以财务确认结论为准。</w:t>
      </w:r>
    </w:p>
    <w:p>
      <w:pPr>
        <w:pStyle w:val="dingding-heading3"/>
        <w:keepNext/>
        <w:keepLines/>
      </w:pPr>
      <w:r>
        <w:rPr>
          <w:rFonts w:ascii="微软雅黑" w:hAnsi="微软雅黑" w:eastAsia="微软雅黑" w:cs="微软雅黑"/>
        </w:rPr>
        <w:t>1. 业务场景设定</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2500"/>
        <w:gridCol w:w="8720"/>
      </w:tblGrid>
      <w:tr>
        <w:trPr>
          <w:tblHeader w:val="true"/>
        </w:trPr>
        <w:tc>
          <w:tcPr>
            <w:tcW w:type="dxa" w:w="2500"/>
            <w:shd w:val="clear" w:color="auto" w:fill="F5F6F7"/>
            <w:vAlign w:val="center"/>
          </w:tcPr>
          <w:p>
            <w:pPr>
              <w:spacing w:after="0"/>
              <w:jc w:val="center"/>
            </w:pPr>
            <w:r>
              <w:rPr>
                <w:rFonts w:ascii="微软雅黑" w:hAnsi="微软雅黑" w:eastAsia="微软雅黑" w:cs="微软雅黑"/>
                <w:b/>
                <w:sz w:val="19"/>
              </w:rPr>
              <w:t>项目</w:t>
            </w:r>
          </w:p>
        </w:tc>
        <w:tc>
          <w:tcPr>
            <w:tcW w:type="dxa" w:w="8720"/>
            <w:shd w:val="clear" w:color="auto" w:fill="F5F6F7"/>
            <w:vAlign w:val="center"/>
          </w:tcPr>
          <w:p>
            <w:pPr>
              <w:spacing w:after="0"/>
              <w:jc w:val="center"/>
            </w:pPr>
            <w:r>
              <w:rPr>
                <w:rFonts w:ascii="微软雅黑" w:hAnsi="微软雅黑" w:eastAsia="微软雅黑" w:cs="微软雅黑"/>
                <w:b/>
                <w:sz w:val="19"/>
              </w:rPr>
              <w:t>内容</w:t>
            </w:r>
          </w:p>
        </w:tc>
      </w:tr>
      <w:tr>
        <w:tc>
          <w:tcPr>
            <w:tcW w:type="dxa" w:w="25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9"/>
              </w:rPr>
              <w:t>销售及履约公司</w:t>
            </w:r>
          </w:p>
        </w:tc>
        <w:tc>
          <w:tcPr>
            <w:tcW w:type="dxa" w:w="87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9"/>
              </w:rPr>
              <w:t>福建凯撒旅行社有限公司</w:t>
            </w:r>
          </w:p>
        </w:tc>
      </w:tr>
      <w:tr>
        <w:tc>
          <w:tcPr>
            <w:tcW w:type="dxa" w:w="25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9"/>
              </w:rPr>
              <w:t>产品</w:t>
            </w:r>
          </w:p>
        </w:tc>
        <w:tc>
          <w:tcPr>
            <w:tcW w:type="dxa" w:w="87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9"/>
              </w:rPr>
              <w:t>厦门金门三日游，1人，自营打包</w:t>
            </w:r>
          </w:p>
        </w:tc>
      </w:tr>
      <w:tr>
        <w:tc>
          <w:tcPr>
            <w:tcW w:type="dxa" w:w="25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9"/>
              </w:rPr>
              <w:t>渠道</w:t>
            </w:r>
          </w:p>
        </w:tc>
        <w:tc>
          <w:tcPr>
            <w:tcW w:type="dxa" w:w="87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9"/>
              </w:rPr>
              <w:t>独立加盟门店B代收客户全款</w:t>
            </w:r>
          </w:p>
        </w:tc>
      </w:tr>
      <w:tr>
        <w:tc>
          <w:tcPr>
            <w:tcW w:type="dxa" w:w="25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9"/>
              </w:rPr>
              <w:t>合同与资金</w:t>
            </w:r>
          </w:p>
        </w:tc>
        <w:tc>
          <w:tcPr>
            <w:tcW w:type="dxa" w:w="872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9"/>
              </w:rPr>
              <w:t>客户合同5,000；门店收5,000，留佣1,000，向福建公司汇4,000</w:t>
            </w:r>
          </w:p>
        </w:tc>
      </w:tr>
      <w:tr>
        <w:tc>
          <w:tcPr>
            <w:tcW w:type="dxa" w:w="25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9"/>
              </w:rPr>
              <w:t>实际成本</w:t>
            </w:r>
          </w:p>
        </w:tc>
        <w:tc>
          <w:tcPr>
            <w:tcW w:type="dxa" w:w="872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9"/>
              </w:rPr>
              <w:t>交通800、酒店600、餐饮300、门票400、导游200、保险50、证件服务150，合计2,500</w:t>
            </w:r>
          </w:p>
        </w:tc>
      </w:tr>
      <w:tr>
        <w:tc>
          <w:tcPr>
            <w:tcW w:type="dxa" w:w="25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9"/>
              </w:rPr>
              <w:t>案例假设</w:t>
            </w:r>
          </w:p>
        </w:tc>
        <w:tc>
          <w:tcPr>
            <w:tcW w:type="dxa" w:w="87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9"/>
              </w:rPr>
              <w:t>福建公司为主要责任方并向客户开票</w:t>
            </w:r>
          </w:p>
        </w:tc>
      </w:tr>
    </w:tbl>
    <w:p>
      <w:pPr>
        <w:spacing w:after="40"/>
      </w:pPr>
    </w:p>
    <w:p>
      <w:pPr>
        <w:pStyle w:val="dingding-heading3"/>
        <w:keepNext/>
        <w:keepLines/>
      </w:pPr>
      <w:r>
        <w:rPr>
          <w:rFonts w:ascii="微软雅黑" w:hAnsi="微软雅黑" w:eastAsia="微软雅黑" w:cs="微软雅黑"/>
        </w:rPr>
        <w:t>2. 参与方和财务责任</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2600"/>
        <w:gridCol w:w="3300"/>
        <w:gridCol w:w="5320"/>
      </w:tblGrid>
      <w:tr>
        <w:trPr>
          <w:tblHeader w:val="true"/>
        </w:trPr>
        <w:tc>
          <w:tcPr>
            <w:tcW w:type="dxa" w:w="2600"/>
            <w:shd w:val="clear" w:color="auto" w:fill="F5F6F7"/>
            <w:vAlign w:val="center"/>
          </w:tcPr>
          <w:p>
            <w:pPr>
              <w:spacing w:after="0"/>
              <w:jc w:val="center"/>
            </w:pPr>
            <w:r>
              <w:rPr>
                <w:rFonts w:ascii="微软雅黑" w:hAnsi="微软雅黑" w:eastAsia="微软雅黑" w:cs="微软雅黑"/>
                <w:b/>
                <w:sz w:val="17"/>
              </w:rPr>
              <w:t>责任</w:t>
            </w:r>
          </w:p>
        </w:tc>
        <w:tc>
          <w:tcPr>
            <w:tcW w:type="dxa" w:w="3300"/>
            <w:shd w:val="clear" w:color="auto" w:fill="F5F6F7"/>
            <w:vAlign w:val="center"/>
          </w:tcPr>
          <w:p>
            <w:pPr>
              <w:spacing w:after="0"/>
              <w:jc w:val="center"/>
            </w:pPr>
            <w:r>
              <w:rPr>
                <w:rFonts w:ascii="微软雅黑" w:hAnsi="微软雅黑" w:eastAsia="微软雅黑" w:cs="微软雅黑"/>
                <w:b/>
                <w:sz w:val="17"/>
              </w:rPr>
              <w:t>承担方</w:t>
            </w:r>
          </w:p>
        </w:tc>
        <w:tc>
          <w:tcPr>
            <w:tcW w:type="dxa" w:w="5320"/>
            <w:shd w:val="clear" w:color="auto" w:fill="F5F6F7"/>
            <w:vAlign w:val="center"/>
          </w:tcPr>
          <w:p>
            <w:pPr>
              <w:spacing w:after="0"/>
              <w:jc w:val="center"/>
            </w:pPr>
            <w:r>
              <w:rPr>
                <w:rFonts w:ascii="微软雅黑" w:hAnsi="微软雅黑" w:eastAsia="微软雅黑" w:cs="微软雅黑"/>
                <w:b/>
                <w:sz w:val="17"/>
              </w:rPr>
              <w:t>判断依据</w:t>
            </w:r>
          </w:p>
        </w:tc>
      </w:tr>
      <w:tr>
        <w:tc>
          <w:tcPr>
            <w:tcW w:type="dxa" w:w="26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对客合同与履约</w:t>
            </w:r>
          </w:p>
        </w:tc>
        <w:tc>
          <w:tcPr>
            <w:tcW w:type="dxa" w:w="33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福建公司</w:t>
            </w:r>
          </w:p>
        </w:tc>
        <w:tc>
          <w:tcPr>
            <w:tcW w:type="dxa" w:w="53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旅游合同及自营产品安排</w:t>
            </w:r>
          </w:p>
        </w:tc>
      </w:tr>
      <w:tr>
        <w:tc>
          <w:tcPr>
            <w:tcW w:type="dxa" w:w="26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客户代收</w:t>
            </w:r>
          </w:p>
        </w:tc>
        <w:tc>
          <w:tcPr>
            <w:tcW w:type="dxa" w:w="33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加盟门店B</w:t>
            </w:r>
          </w:p>
        </w:tc>
        <w:tc>
          <w:tcPr>
            <w:tcW w:type="dxa" w:w="53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代收和净额上缴协议</w:t>
            </w:r>
          </w:p>
        </w:tc>
      </w:tr>
      <w:tr>
        <w:tc>
          <w:tcPr>
            <w:tcW w:type="dxa" w:w="26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门店佣金</w:t>
            </w:r>
          </w:p>
        </w:tc>
        <w:tc>
          <w:tcPr>
            <w:tcW w:type="dxa" w:w="33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加盟门店B</w:t>
            </w:r>
          </w:p>
        </w:tc>
        <w:tc>
          <w:tcPr>
            <w:tcW w:type="dxa" w:w="53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佣金1,000及抵销授权</w:t>
            </w:r>
          </w:p>
        </w:tc>
      </w:tr>
      <w:tr>
        <w:tc>
          <w:tcPr>
            <w:tcW w:type="dxa" w:w="26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资源采购和应付</w:t>
            </w:r>
          </w:p>
        </w:tc>
        <w:tc>
          <w:tcPr>
            <w:tcW w:type="dxa" w:w="33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福建公司</w:t>
            </w:r>
          </w:p>
        </w:tc>
        <w:tc>
          <w:tcPr>
            <w:tcW w:type="dxa" w:w="53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各供应商采购合同与账单</w:t>
            </w:r>
          </w:p>
        </w:tc>
      </w:tr>
      <w:tr>
        <w:tc>
          <w:tcPr>
            <w:tcW w:type="dxa" w:w="26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收入成本和NC</w:t>
            </w:r>
          </w:p>
        </w:tc>
        <w:tc>
          <w:tcPr>
            <w:tcW w:type="dxa" w:w="33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福建公司</w:t>
            </w:r>
          </w:p>
        </w:tc>
        <w:tc>
          <w:tcPr>
            <w:tcW w:type="dxa" w:w="53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履约事实和福建NC账簿</w:t>
            </w:r>
          </w:p>
        </w:tc>
      </w:tr>
    </w:tbl>
    <w:p>
      <w:pPr>
        <w:spacing w:after="40"/>
      </w:pPr>
    </w:p>
    <w:p>
      <w:pPr>
        <w:pStyle w:val="dingding-heading3"/>
        <w:keepNext/>
        <w:keepLines/>
      </w:pPr>
      <w:r>
        <w:rPr>
          <w:rFonts w:ascii="微软雅黑" w:hAnsi="微软雅黑" w:eastAsia="微软雅黑" w:cs="微软雅黑"/>
        </w:rPr>
        <w:t>3. 完整价格和金额拆解</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3000"/>
        <w:gridCol w:w="3100"/>
        <w:gridCol w:w="1700"/>
        <w:gridCol w:w="3420"/>
      </w:tblGrid>
      <w:tr>
        <w:trPr>
          <w:tblHeader w:val="true"/>
        </w:trPr>
        <w:tc>
          <w:tcPr>
            <w:tcW w:type="dxa" w:w="3000"/>
            <w:shd w:val="clear" w:color="auto" w:fill="F5F6F7"/>
            <w:vAlign w:val="center"/>
          </w:tcPr>
          <w:p>
            <w:pPr>
              <w:spacing w:after="0"/>
              <w:jc w:val="center"/>
            </w:pPr>
            <w:r>
              <w:rPr>
                <w:rFonts w:ascii="微软雅黑" w:hAnsi="微软雅黑" w:eastAsia="微软雅黑" w:cs="微软雅黑"/>
                <w:b/>
                <w:sz w:val="17"/>
              </w:rPr>
              <w:t>金额项目</w:t>
            </w:r>
          </w:p>
        </w:tc>
        <w:tc>
          <w:tcPr>
            <w:tcW w:type="dxa" w:w="3100"/>
            <w:shd w:val="clear" w:color="auto" w:fill="F5F6F7"/>
            <w:vAlign w:val="center"/>
          </w:tcPr>
          <w:p>
            <w:pPr>
              <w:spacing w:after="0"/>
              <w:jc w:val="center"/>
            </w:pPr>
            <w:r>
              <w:rPr>
                <w:rFonts w:ascii="微软雅黑" w:hAnsi="微软雅黑" w:eastAsia="微软雅黑" w:cs="微软雅黑"/>
                <w:b/>
                <w:sz w:val="17"/>
              </w:rPr>
              <w:t>计算</w:t>
            </w:r>
          </w:p>
        </w:tc>
        <w:tc>
          <w:tcPr>
            <w:tcW w:type="dxa" w:w="1700"/>
            <w:shd w:val="clear" w:color="auto" w:fill="F5F6F7"/>
            <w:vAlign w:val="center"/>
          </w:tcPr>
          <w:p>
            <w:pPr>
              <w:spacing w:after="0"/>
              <w:jc w:val="center"/>
            </w:pPr>
            <w:r>
              <w:rPr>
                <w:rFonts w:ascii="微软雅黑" w:hAnsi="微软雅黑" w:eastAsia="微软雅黑" w:cs="微软雅黑"/>
                <w:b/>
                <w:sz w:val="17"/>
              </w:rPr>
              <w:t>金额</w:t>
            </w:r>
          </w:p>
        </w:tc>
        <w:tc>
          <w:tcPr>
            <w:tcW w:type="dxa" w:w="3420"/>
            <w:shd w:val="clear" w:color="auto" w:fill="F5F6F7"/>
            <w:vAlign w:val="center"/>
          </w:tcPr>
          <w:p>
            <w:pPr>
              <w:spacing w:after="0"/>
              <w:jc w:val="center"/>
            </w:pPr>
            <w:r>
              <w:rPr>
                <w:rFonts w:ascii="微软雅黑" w:hAnsi="微软雅黑" w:eastAsia="微软雅黑" w:cs="微软雅黑"/>
                <w:b/>
                <w:sz w:val="17"/>
              </w:rPr>
              <w:t>最终去向</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客户合同价</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固定成交价</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5,000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福建公司客户交易</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门店代收</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客户实付</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5,000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先进入门店资金</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门店佣金</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协议金额</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1,000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福建公司对门店应付</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门店净额上缴</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5,000－1,000</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4,000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福建公司银行到账</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自营实际成本</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各资源合计</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2,500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福建公司成本和供应商应付</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法人经营结果</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5,000－2,500－1,000</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1,500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福建公司结果</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采购部管理费</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2,500×3%</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75</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同法人管理分配，不降低法定利润</w:t>
            </w:r>
          </w:p>
        </w:tc>
      </w:tr>
    </w:tbl>
    <w:p>
      <w:pPr>
        <w:spacing w:after="40"/>
      </w:pPr>
    </w:p>
    <w:p>
      <w:pPr>
        <w:pStyle w:val="dingding-heading3"/>
        <w:keepNext/>
        <w:keepLines/>
      </w:pPr>
      <w:r>
        <w:rPr>
          <w:rFonts w:ascii="微软雅黑" w:hAnsi="微软雅黑" w:eastAsia="微软雅黑" w:cs="微软雅黑"/>
        </w:rPr>
        <w:t>4. 交易、债权债务和实际资金</w:t>
      </w:r>
    </w:p>
    <w:p>
      <w:pPr>
        <w:pStyle w:val="dingding_code"/>
        <w:spacing w:before="80" w:after="200" w:lineRule="exact" w:line="252"/>
        <w:ind w:left="115" w:right="115"/>
        <w:shd w:val="clear" w:fill="F2F3F5"/>
      </w:pPr>
      <w:r>
        <w:rPr>
          <w:rFonts w:ascii="Menlo" w:hAnsi="Menlo" w:eastAsia="Menlo" w:cs="Menlo"/>
          <w:sz w:val="17"/>
        </w:rPr>
        <w:t>客户 ─5,000→ 加盟门店B ─4,000→ 福建公司</w:t>
        <w:br/>
        <w:t xml:space="preserve">                         └留存1,000（经批准佣金抵销）</w:t>
        <w:br/>
        <w:br/>
        <w:t>福建公司客户应收5,000</w:t>
        <w:br/>
        <w:t>= 银行到账4,000 + 对门店佣金应付抵销1,000</w:t>
        <w:br/>
        <w:br/>
        <w:t>福建公司 ─2,500→ 多个外部资源供应商</w:t>
      </w:r>
    </w:p>
    <w:p>
      <w:pPr>
        <w:pStyle w:val="dingding-heading3"/>
        <w:keepNext/>
        <w:keepLines/>
      </w:pPr>
      <w:r>
        <w:rPr>
          <w:rFonts w:ascii="微软雅黑" w:hAnsi="微软雅黑" w:eastAsia="微软雅黑" w:cs="微软雅黑"/>
        </w:rPr>
        <w:t>5. 分阶段业务与财务变化</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1550"/>
        <w:gridCol w:w="2600"/>
        <w:gridCol w:w="3200"/>
        <w:gridCol w:w="1600"/>
        <w:gridCol w:w="2270"/>
      </w:tblGrid>
      <w:tr>
        <w:trPr>
          <w:tblHeader w:val="true"/>
        </w:trPr>
        <w:tc>
          <w:tcPr>
            <w:tcW w:type="dxa" w:w="1550"/>
            <w:shd w:val="clear" w:color="auto" w:fill="F5F6F7"/>
            <w:vAlign w:val="center"/>
          </w:tcPr>
          <w:p>
            <w:pPr>
              <w:spacing w:after="0"/>
              <w:jc w:val="center"/>
            </w:pPr>
            <w:r>
              <w:rPr>
                <w:rFonts w:ascii="微软雅黑" w:hAnsi="微软雅黑" w:eastAsia="微软雅黑" w:cs="微软雅黑"/>
                <w:b/>
                <w:sz w:val="16"/>
              </w:rPr>
              <w:t>阶段</w:t>
            </w:r>
          </w:p>
        </w:tc>
        <w:tc>
          <w:tcPr>
            <w:tcW w:type="dxa" w:w="2600"/>
            <w:shd w:val="clear" w:color="auto" w:fill="F5F6F7"/>
            <w:vAlign w:val="center"/>
          </w:tcPr>
          <w:p>
            <w:pPr>
              <w:spacing w:after="0"/>
              <w:jc w:val="center"/>
            </w:pPr>
            <w:r>
              <w:rPr>
                <w:rFonts w:ascii="微软雅黑" w:hAnsi="微软雅黑" w:eastAsia="微软雅黑" w:cs="微软雅黑"/>
                <w:b/>
                <w:sz w:val="16"/>
              </w:rPr>
              <w:t>业务事实</w:t>
            </w:r>
          </w:p>
        </w:tc>
        <w:tc>
          <w:tcPr>
            <w:tcW w:type="dxa" w:w="3200"/>
            <w:shd w:val="clear" w:color="auto" w:fill="F5F6F7"/>
            <w:vAlign w:val="center"/>
          </w:tcPr>
          <w:p>
            <w:pPr>
              <w:spacing w:after="0"/>
              <w:jc w:val="center"/>
            </w:pPr>
            <w:r>
              <w:rPr>
                <w:rFonts w:ascii="微软雅黑" w:hAnsi="微软雅黑" w:eastAsia="微软雅黑" w:cs="微软雅黑"/>
                <w:b/>
                <w:sz w:val="16"/>
              </w:rPr>
              <w:t>记录和余额变化</w:t>
            </w:r>
          </w:p>
        </w:tc>
        <w:tc>
          <w:tcPr>
            <w:tcW w:type="dxa" w:w="1600"/>
            <w:shd w:val="clear" w:color="auto" w:fill="F5F6F7"/>
            <w:vAlign w:val="center"/>
          </w:tcPr>
          <w:p>
            <w:pPr>
              <w:spacing w:after="0"/>
              <w:jc w:val="center"/>
            </w:pPr>
            <w:r>
              <w:rPr>
                <w:rFonts w:ascii="微软雅黑" w:hAnsi="微软雅黑" w:eastAsia="微软雅黑" w:cs="微软雅黑"/>
                <w:b/>
                <w:sz w:val="16"/>
              </w:rPr>
              <w:t>实际资金</w:t>
            </w:r>
          </w:p>
        </w:tc>
        <w:tc>
          <w:tcPr>
            <w:tcW w:type="dxa" w:w="2270"/>
            <w:shd w:val="clear" w:color="auto" w:fill="F5F6F7"/>
            <w:vAlign w:val="center"/>
          </w:tcPr>
          <w:p>
            <w:pPr>
              <w:spacing w:after="0"/>
              <w:jc w:val="center"/>
            </w:pPr>
            <w:r>
              <w:rPr>
                <w:rFonts w:ascii="微软雅黑" w:hAnsi="微软雅黑" w:eastAsia="微软雅黑" w:cs="微软雅黑"/>
                <w:b/>
                <w:sz w:val="16"/>
              </w:rPr>
              <w:t>会计及NC状态</w:t>
            </w:r>
          </w:p>
        </w:tc>
      </w:tr>
      <w:tr>
        <w:tc>
          <w:tcPr>
            <w:tcW w:type="dxa" w:w="155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签约</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福建公司形成客户交易</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客户业务应收5,000</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客户向门店5,000</w:t>
            </w:r>
          </w:p>
        </w:tc>
        <w:tc>
          <w:tcPr>
            <w:tcW w:type="dxa" w:w="227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是否形成会计应收待确认</w:t>
            </w:r>
          </w:p>
        </w:tc>
      </w:tr>
      <w:tr>
        <w:tc>
          <w:tcPr>
            <w:tcW w:type="dxa" w:w="155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门店上缴</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净额汇款4,000</w:t>
            </w:r>
          </w:p>
        </w:tc>
        <w:tc>
          <w:tcPr>
            <w:tcW w:type="dxa" w:w="32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客户应收减少4,000；门店代收应缴减少</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+4,000</w:t>
            </w:r>
          </w:p>
        </w:tc>
        <w:tc>
          <w:tcPr>
            <w:tcW w:type="dxa" w:w="227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收款事实按银行到账确认</w:t>
            </w:r>
          </w:p>
        </w:tc>
      </w:tr>
      <w:tr>
        <w:tc>
          <w:tcPr>
            <w:tcW w:type="dxa" w:w="155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佣金抵销</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批准门店留佣1,000</w:t>
            </w:r>
          </w:p>
        </w:tc>
        <w:tc>
          <w:tcPr>
            <w:tcW w:type="dxa" w:w="32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客户应收再减少1,000；门店佣金应付清零</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0</w:t>
            </w:r>
          </w:p>
        </w:tc>
        <w:tc>
          <w:tcPr>
            <w:tcW w:type="dxa" w:w="227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佣金费用事项与收款分别可追溯</w:t>
            </w:r>
          </w:p>
        </w:tc>
      </w:tr>
      <w:tr>
        <w:tc>
          <w:tcPr>
            <w:tcW w:type="dxa" w:w="155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履约</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完成三日游</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收入和实际成本达到确认条件</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0</w:t>
            </w:r>
          </w:p>
        </w:tc>
        <w:tc>
          <w:tcPr>
            <w:tcW w:type="dxa" w:w="227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按财务政策推送NC</w:t>
            </w:r>
          </w:p>
        </w:tc>
      </w:tr>
      <w:tr>
        <w:tc>
          <w:tcPr>
            <w:tcW w:type="dxa" w:w="155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供应商付款</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分批付2,500</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各供应商应付逐笔核销</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－2,500</w:t>
            </w:r>
          </w:p>
        </w:tc>
        <w:tc>
          <w:tcPr>
            <w:tcW w:type="dxa" w:w="227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以实际银行扣款为准</w:t>
            </w:r>
          </w:p>
        </w:tc>
      </w:tr>
    </w:tbl>
    <w:p>
      <w:pPr>
        <w:spacing w:after="40"/>
      </w:pPr>
    </w:p>
    <w:p>
      <w:pPr>
        <w:pStyle w:val="dingding-heading3"/>
        <w:keepNext/>
        <w:keepLines/>
      </w:pPr>
      <w:r>
        <w:rPr>
          <w:rFonts w:ascii="微软雅黑" w:hAnsi="微软雅黑" w:eastAsia="微软雅黑" w:cs="微软雅黑"/>
        </w:rPr>
        <w:t>6. 余额、结果和反算</w:t>
      </w:r>
    </w:p>
    <w:p>
      <w:pPr>
        <w:pStyle w:val="dingding_code"/>
        <w:spacing w:before="80" w:after="200" w:lineRule="exact" w:line="254"/>
        <w:ind w:left="115" w:right="115"/>
        <w:shd w:val="clear" w:fill="F2F3F5"/>
      </w:pPr>
      <w:r>
        <w:rPr>
          <w:rFonts w:ascii="Menlo" w:hAnsi="Menlo" w:eastAsia="Menlo" w:cs="Menlo"/>
          <w:sz w:val="17"/>
        </w:rPr>
        <w:t>客户应收核销：5,000 = 银行4,000 + 佣金抵销1,000</w:t>
        <w:br/>
        <w:t>供应商成本：800+600+300+400+200+50+150 = 2,500</w:t>
        <w:br/>
        <w:t>法人结果：5,000 - 2,500 - 1,000 = 1,500</w:t>
        <w:br/>
        <w:t>资金观察：福建公司净收4,000 - 对外付款2,500 = 1,500</w:t>
        <w:br/>
        <w:br/>
        <w:t>采购部75若只是同法人管理分配：部门贡献可调整，但福建公司法定结果仍为1,500。</w:t>
        <w:br/>
        <w:t>只有存在外部服务方和真实付款义务时，75才可能使法人结果变为1,425。</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2800"/>
        <w:gridCol w:w="2500"/>
        <w:gridCol w:w="3000"/>
        <w:gridCol w:w="2920"/>
      </w:tblGrid>
      <w:tr>
        <w:trPr>
          <w:tblHeader w:val="true"/>
        </w:trPr>
        <w:tc>
          <w:tcPr>
            <w:tcW w:type="dxa" w:w="2800"/>
            <w:shd w:val="clear" w:color="auto" w:fill="F5F6F7"/>
            <w:vAlign w:val="center"/>
          </w:tcPr>
          <w:p>
            <w:pPr>
              <w:spacing w:after="0"/>
              <w:jc w:val="center"/>
            </w:pPr>
            <w:r>
              <w:rPr>
                <w:rFonts w:ascii="微软雅黑" w:hAnsi="微软雅黑" w:eastAsia="微软雅黑" w:cs="微软雅黑"/>
                <w:b/>
                <w:sz w:val="17"/>
              </w:rPr>
              <w:t>观察层次</w:t>
            </w:r>
          </w:p>
        </w:tc>
        <w:tc>
          <w:tcPr>
            <w:tcW w:type="dxa" w:w="2500"/>
            <w:shd w:val="clear" w:color="auto" w:fill="F5F6F7"/>
            <w:vAlign w:val="center"/>
          </w:tcPr>
          <w:p>
            <w:pPr>
              <w:spacing w:after="0"/>
              <w:jc w:val="center"/>
            </w:pPr>
            <w:r>
              <w:rPr>
                <w:rFonts w:ascii="微软雅黑" w:hAnsi="微软雅黑" w:eastAsia="微软雅黑" w:cs="微软雅黑"/>
                <w:b/>
                <w:sz w:val="17"/>
              </w:rPr>
              <w:t>收入/流入</w:t>
            </w:r>
          </w:p>
        </w:tc>
        <w:tc>
          <w:tcPr>
            <w:tcW w:type="dxa" w:w="3000"/>
            <w:shd w:val="clear" w:color="auto" w:fill="F5F6F7"/>
            <w:vAlign w:val="center"/>
          </w:tcPr>
          <w:p>
            <w:pPr>
              <w:spacing w:after="0"/>
              <w:jc w:val="center"/>
            </w:pPr>
            <w:r>
              <w:rPr>
                <w:rFonts w:ascii="微软雅黑" w:hAnsi="微软雅黑" w:eastAsia="微软雅黑" w:cs="微软雅黑"/>
                <w:b/>
                <w:sz w:val="17"/>
              </w:rPr>
              <w:t>成本费用/流出</w:t>
            </w:r>
          </w:p>
        </w:tc>
        <w:tc>
          <w:tcPr>
            <w:tcW w:type="dxa" w:w="2920"/>
            <w:shd w:val="clear" w:color="auto" w:fill="F5F6F7"/>
            <w:vAlign w:val="center"/>
          </w:tcPr>
          <w:p>
            <w:pPr>
              <w:spacing w:after="0"/>
              <w:jc w:val="center"/>
            </w:pPr>
            <w:r>
              <w:rPr>
                <w:rFonts w:ascii="微软雅黑" w:hAnsi="微软雅黑" w:eastAsia="微软雅黑" w:cs="微软雅黑"/>
                <w:b/>
                <w:sz w:val="17"/>
              </w:rPr>
              <w:t>结果或余额</w:t>
            </w:r>
          </w:p>
        </w:tc>
      </w:tr>
      <w:tr>
        <w:tc>
          <w:tcPr>
            <w:tcW w:type="dxa" w:w="28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福建公司</w:t>
            </w:r>
          </w:p>
        </w:tc>
        <w:tc>
          <w:tcPr>
            <w:tcW w:type="dxa" w:w="2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客户收入5,000</w:t>
            </w:r>
          </w:p>
        </w:tc>
        <w:tc>
          <w:tcPr>
            <w:tcW w:type="dxa" w:w="30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7"/>
              </w:rPr>
              <w:t>资源成本2,500＋门店佣金1,000</w:t>
            </w:r>
          </w:p>
        </w:tc>
        <w:tc>
          <w:tcPr>
            <w:tcW w:type="dxa" w:w="29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1,500</w:t>
            </w:r>
          </w:p>
        </w:tc>
      </w:tr>
      <w:tr>
        <w:tc>
          <w:tcPr>
            <w:tcW w:type="dxa" w:w="28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加盟门店</w:t>
            </w:r>
          </w:p>
        </w:tc>
        <w:tc>
          <w:tcPr>
            <w:tcW w:type="dxa" w:w="2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佣金1,000</w:t>
            </w:r>
          </w:p>
        </w:tc>
        <w:tc>
          <w:tcPr>
            <w:tcW w:type="dxa" w:w="30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门店自身成本</w:t>
            </w:r>
          </w:p>
        </w:tc>
        <w:tc>
          <w:tcPr>
            <w:tcW w:type="dxa" w:w="29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独立核算</w:t>
            </w:r>
          </w:p>
        </w:tc>
      </w:tr>
      <w:tr>
        <w:tc>
          <w:tcPr>
            <w:tcW w:type="dxa" w:w="28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福建采购部门</w:t>
            </w:r>
          </w:p>
        </w:tc>
        <w:tc>
          <w:tcPr>
            <w:tcW w:type="dxa" w:w="2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管理贡献75（示例）</w:t>
            </w:r>
          </w:p>
        </w:tc>
        <w:tc>
          <w:tcPr>
            <w:tcW w:type="dxa" w:w="30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内部管理分配</w:t>
            </w:r>
          </w:p>
        </w:tc>
        <w:tc>
          <w:tcPr>
            <w:tcW w:type="dxa" w:w="29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不得再增加或减少公司总利润</w:t>
            </w:r>
          </w:p>
        </w:tc>
      </w:tr>
      <w:tr>
        <w:tc>
          <w:tcPr>
            <w:tcW w:type="dxa" w:w="28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客户资金</w:t>
            </w:r>
          </w:p>
        </w:tc>
        <w:tc>
          <w:tcPr>
            <w:tcW w:type="dxa" w:w="2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门店收5,000</w:t>
            </w:r>
          </w:p>
        </w:tc>
        <w:tc>
          <w:tcPr>
            <w:tcW w:type="dxa" w:w="30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上缴4,000＋留佣1,000</w:t>
            </w:r>
          </w:p>
        </w:tc>
        <w:tc>
          <w:tcPr>
            <w:tcW w:type="dxa" w:w="29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代收应缴为0</w:t>
            </w:r>
          </w:p>
        </w:tc>
      </w:tr>
    </w:tbl>
    <w:p>
      <w:pPr>
        <w:spacing w:after="40"/>
      </w:pPr>
    </w:p>
    <w:p>
      <w:pPr>
        <w:pStyle w:val="dingding-heading3"/>
        <w:keepNext/>
        <w:keepLines/>
      </w:pPr>
      <w:r>
        <w:rPr>
          <w:rFonts w:ascii="微软雅黑" w:hAnsi="微软雅黑" w:eastAsia="微软雅黑" w:cs="微软雅黑"/>
        </w:rPr>
        <w:t>7. 合同、业务、资金、发票和会计核对</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2300"/>
        <w:gridCol w:w="3200"/>
        <w:gridCol w:w="2700"/>
        <w:gridCol w:w="3020"/>
      </w:tblGrid>
      <w:tr>
        <w:trPr>
          <w:tblHeader w:val="true"/>
        </w:trPr>
        <w:tc>
          <w:tcPr>
            <w:tcW w:type="dxa" w:w="2300"/>
            <w:shd w:val="clear" w:color="auto" w:fill="F5F6F7"/>
            <w:vAlign w:val="center"/>
          </w:tcPr>
          <w:p>
            <w:pPr>
              <w:spacing w:after="0"/>
              <w:jc w:val="center"/>
            </w:pPr>
            <w:r>
              <w:rPr>
                <w:rFonts w:ascii="微软雅黑" w:hAnsi="微软雅黑" w:eastAsia="微软雅黑" w:cs="微软雅黑"/>
                <w:b/>
                <w:sz w:val="16"/>
              </w:rPr>
              <w:t>交易段</w:t>
            </w:r>
          </w:p>
        </w:tc>
        <w:tc>
          <w:tcPr>
            <w:tcW w:type="dxa" w:w="3200"/>
            <w:shd w:val="clear" w:color="auto" w:fill="F5F6F7"/>
            <w:vAlign w:val="center"/>
          </w:tcPr>
          <w:p>
            <w:pPr>
              <w:spacing w:after="0"/>
              <w:jc w:val="center"/>
            </w:pPr>
            <w:r>
              <w:rPr>
                <w:rFonts w:ascii="微软雅黑" w:hAnsi="微软雅黑" w:eastAsia="微软雅黑" w:cs="微软雅黑"/>
                <w:b/>
                <w:sz w:val="16"/>
              </w:rPr>
              <w:t>合同与业务</w:t>
            </w:r>
          </w:p>
        </w:tc>
        <w:tc>
          <w:tcPr>
            <w:tcW w:type="dxa" w:w="2700"/>
            <w:shd w:val="clear" w:color="auto" w:fill="F5F6F7"/>
            <w:vAlign w:val="center"/>
          </w:tcPr>
          <w:p>
            <w:pPr>
              <w:spacing w:after="0"/>
              <w:jc w:val="center"/>
            </w:pPr>
            <w:r>
              <w:rPr>
                <w:rFonts w:ascii="微软雅黑" w:hAnsi="微软雅黑" w:eastAsia="微软雅黑" w:cs="微软雅黑"/>
                <w:b/>
                <w:sz w:val="16"/>
              </w:rPr>
              <w:t>资金与发票</w:t>
            </w:r>
          </w:p>
        </w:tc>
        <w:tc>
          <w:tcPr>
            <w:tcW w:type="dxa" w:w="3020"/>
            <w:shd w:val="clear" w:color="auto" w:fill="F5F6F7"/>
            <w:vAlign w:val="center"/>
          </w:tcPr>
          <w:p>
            <w:pPr>
              <w:spacing w:after="0"/>
              <w:jc w:val="center"/>
            </w:pPr>
            <w:r>
              <w:rPr>
                <w:rFonts w:ascii="微软雅黑" w:hAnsi="微软雅黑" w:eastAsia="微软雅黑" w:cs="微软雅黑"/>
                <w:b/>
                <w:sz w:val="16"/>
              </w:rPr>
              <w:t>会计结果/差异解释</w:t>
            </w:r>
          </w:p>
        </w:tc>
      </w:tr>
      <w:tr>
        <w:tc>
          <w:tcPr>
            <w:tcW w:type="dxa" w:w="23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客户—福建公司</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合同和履约均由福建公司承担</w:t>
            </w:r>
          </w:p>
        </w:tc>
        <w:tc>
          <w:tcPr>
            <w:tcW w:type="dxa" w:w="27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客户向门店付款；福建公司开票口径待确认</w:t>
            </w:r>
          </w:p>
        </w:tc>
        <w:tc>
          <w:tcPr>
            <w:tcW w:type="dxa" w:w="3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客户债权不因门店代收而转移</w:t>
            </w:r>
          </w:p>
        </w:tc>
      </w:tr>
      <w:tr>
        <w:tc>
          <w:tcPr>
            <w:tcW w:type="dxa" w:w="23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门店—福建公司</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代收协议＋佣金协议</w:t>
            </w:r>
          </w:p>
        </w:tc>
        <w:tc>
          <w:tcPr>
            <w:tcW w:type="dxa" w:w="2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净额汇4,000，抵销1,000</w:t>
            </w:r>
          </w:p>
        </w:tc>
        <w:tc>
          <w:tcPr>
            <w:tcW w:type="dxa" w:w="3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必须分别保留代收应缴和佣金应付</w:t>
            </w:r>
          </w:p>
        </w:tc>
      </w:tr>
      <w:tr>
        <w:tc>
          <w:tcPr>
            <w:tcW w:type="dxa" w:w="23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福建公司—供应商</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多份采购合同和实际服务</w:t>
            </w:r>
          </w:p>
        </w:tc>
        <w:tc>
          <w:tcPr>
            <w:tcW w:type="dxa" w:w="2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分批付2,500并取得凭据</w:t>
            </w:r>
          </w:p>
        </w:tc>
        <w:tc>
          <w:tcPr>
            <w:tcW w:type="dxa" w:w="3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每家供应商单独应付核销</w:t>
            </w:r>
          </w:p>
        </w:tc>
      </w:tr>
      <w:tr>
        <w:tc>
          <w:tcPr>
            <w:tcW w:type="dxa" w:w="23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福建公司内部部门</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采购部与销售部协作</w:t>
            </w:r>
          </w:p>
        </w:tc>
        <w:tc>
          <w:tcPr>
            <w:tcW w:type="dxa" w:w="2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无外部资金和发票</w:t>
            </w:r>
          </w:p>
        </w:tc>
        <w:tc>
          <w:tcPr>
            <w:tcW w:type="dxa" w:w="3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管理分配合计需与公司结果对平</w:t>
            </w:r>
          </w:p>
        </w:tc>
      </w:tr>
    </w:tbl>
    <w:p>
      <w:pPr>
        <w:spacing w:after="40"/>
      </w:pPr>
    </w:p>
    <w:p>
      <w:pPr>
        <w:pStyle w:val="dingding-heading3"/>
        <w:keepNext/>
        <w:keepLines/>
      </w:pPr>
      <w:r>
        <w:rPr>
          <w:rFonts w:ascii="微软雅黑" w:hAnsi="微软雅黑" w:eastAsia="微软雅黑" w:cs="微软雅黑"/>
        </w:rPr>
        <w:t>8. 会计事项和NC承接</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2200"/>
        <w:gridCol w:w="1600"/>
        <w:gridCol w:w="3900"/>
        <w:gridCol w:w="1500"/>
        <w:gridCol w:w="2020"/>
      </w:tblGrid>
      <w:tr>
        <w:trPr>
          <w:tblHeader w:val="true"/>
        </w:trPr>
        <w:tc>
          <w:tcPr>
            <w:tcW w:type="dxa" w:w="2200"/>
            <w:shd w:val="clear" w:color="auto" w:fill="F5F6F7"/>
            <w:vAlign w:val="center"/>
          </w:tcPr>
          <w:p>
            <w:pPr>
              <w:spacing w:after="0"/>
              <w:jc w:val="center"/>
            </w:pPr>
            <w:r>
              <w:rPr>
                <w:rFonts w:ascii="微软雅黑" w:hAnsi="微软雅黑" w:eastAsia="微软雅黑" w:cs="微软雅黑"/>
                <w:b/>
                <w:sz w:val="16"/>
              </w:rPr>
              <w:t>生效时点</w:t>
            </w:r>
          </w:p>
        </w:tc>
        <w:tc>
          <w:tcPr>
            <w:tcW w:type="dxa" w:w="1600"/>
            <w:shd w:val="clear" w:color="auto" w:fill="F5F6F7"/>
            <w:vAlign w:val="center"/>
          </w:tcPr>
          <w:p>
            <w:pPr>
              <w:spacing w:after="0"/>
              <w:jc w:val="center"/>
            </w:pPr>
            <w:r>
              <w:rPr>
                <w:rFonts w:ascii="微软雅黑" w:hAnsi="微软雅黑" w:eastAsia="微软雅黑" w:cs="微软雅黑"/>
                <w:b/>
                <w:sz w:val="16"/>
              </w:rPr>
              <w:t>所属公司</w:t>
            </w:r>
          </w:p>
        </w:tc>
        <w:tc>
          <w:tcPr>
            <w:tcW w:type="dxa" w:w="3900"/>
            <w:shd w:val="clear" w:color="auto" w:fill="F5F6F7"/>
            <w:vAlign w:val="center"/>
          </w:tcPr>
          <w:p>
            <w:pPr>
              <w:spacing w:after="0"/>
              <w:jc w:val="center"/>
            </w:pPr>
            <w:r>
              <w:rPr>
                <w:rFonts w:ascii="微软雅黑" w:hAnsi="微软雅黑" w:eastAsia="微软雅黑" w:cs="微软雅黑"/>
                <w:b/>
                <w:sz w:val="16"/>
              </w:rPr>
              <w:t>经济事项</w:t>
            </w:r>
          </w:p>
        </w:tc>
        <w:tc>
          <w:tcPr>
            <w:tcW w:type="dxa" w:w="1500"/>
            <w:shd w:val="clear" w:color="auto" w:fill="F5F6F7"/>
            <w:vAlign w:val="center"/>
          </w:tcPr>
          <w:p>
            <w:pPr>
              <w:spacing w:after="0"/>
              <w:jc w:val="center"/>
            </w:pPr>
            <w:r>
              <w:rPr>
                <w:rFonts w:ascii="微软雅黑" w:hAnsi="微软雅黑" w:eastAsia="微软雅黑" w:cs="微软雅黑"/>
                <w:b/>
                <w:sz w:val="16"/>
              </w:rPr>
              <w:t>金额</w:t>
            </w:r>
          </w:p>
        </w:tc>
        <w:tc>
          <w:tcPr>
            <w:tcW w:type="dxa" w:w="2020"/>
            <w:shd w:val="clear" w:color="auto" w:fill="F5F6F7"/>
            <w:vAlign w:val="center"/>
          </w:tcPr>
          <w:p>
            <w:pPr>
              <w:spacing w:after="0"/>
              <w:jc w:val="center"/>
            </w:pPr>
            <w:r>
              <w:rPr>
                <w:rFonts w:ascii="微软雅黑" w:hAnsi="微软雅黑" w:eastAsia="微软雅黑" w:cs="微软雅黑"/>
                <w:b/>
                <w:sz w:val="16"/>
              </w:rPr>
              <w:t>反向处理</w:t>
            </w:r>
          </w:p>
        </w:tc>
      </w:tr>
      <w:tr>
        <w:tc>
          <w:tcPr>
            <w:tcW w:type="dxa" w:w="2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门店代收确认</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福建公司</w:t>
            </w:r>
          </w:p>
        </w:tc>
        <w:tc>
          <w:tcPr>
            <w:tcW w:type="dxa" w:w="39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客户收款归属或对门店应收</w:t>
            </w:r>
          </w:p>
        </w:tc>
        <w:tc>
          <w:tcPr>
            <w:tcW w:type="dxa" w:w="1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5,000</w:t>
            </w:r>
          </w:p>
        </w:tc>
        <w:tc>
          <w:tcPr>
            <w:tcW w:type="dxa" w:w="2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代收冲销</w:t>
            </w:r>
          </w:p>
        </w:tc>
      </w:tr>
      <w:tr>
        <w:tc>
          <w:tcPr>
            <w:tcW w:type="dxa" w:w="2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公司到账日</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福建公司</w:t>
            </w:r>
          </w:p>
        </w:tc>
        <w:tc>
          <w:tcPr>
            <w:tcW w:type="dxa" w:w="39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银行增加并减少门店代收余额</w:t>
            </w:r>
          </w:p>
        </w:tc>
        <w:tc>
          <w:tcPr>
            <w:tcW w:type="dxa" w:w="1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4,000</w:t>
            </w:r>
          </w:p>
        </w:tc>
        <w:tc>
          <w:tcPr>
            <w:tcW w:type="dxa" w:w="2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银行退回</w:t>
            </w:r>
          </w:p>
        </w:tc>
      </w:tr>
      <w:tr>
        <w:tc>
          <w:tcPr>
            <w:tcW w:type="dxa" w:w="2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佣金抵销批准</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福建公司</w:t>
            </w:r>
          </w:p>
        </w:tc>
        <w:tc>
          <w:tcPr>
            <w:tcW w:type="dxa" w:w="39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佣金费用与客户/门店往来抵销</w:t>
            </w:r>
          </w:p>
        </w:tc>
        <w:tc>
          <w:tcPr>
            <w:tcW w:type="dxa" w:w="1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1,000</w:t>
            </w:r>
          </w:p>
        </w:tc>
        <w:tc>
          <w:tcPr>
            <w:tcW w:type="dxa" w:w="2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撤销抵销</w:t>
            </w:r>
          </w:p>
        </w:tc>
      </w:tr>
      <w:tr>
        <w:tc>
          <w:tcPr>
            <w:tcW w:type="dxa" w:w="2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履约确认日</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福建公司</w:t>
            </w:r>
          </w:p>
        </w:tc>
        <w:tc>
          <w:tcPr>
            <w:tcW w:type="dxa" w:w="39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收入和资源成本</w:t>
            </w:r>
          </w:p>
        </w:tc>
        <w:tc>
          <w:tcPr>
            <w:tcW w:type="dxa" w:w="1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5,000/2,500</w:t>
            </w:r>
          </w:p>
        </w:tc>
        <w:tc>
          <w:tcPr>
            <w:tcW w:type="dxa" w:w="2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售后或成本调整</w:t>
            </w:r>
          </w:p>
        </w:tc>
      </w:tr>
      <w:tr>
        <w:tc>
          <w:tcPr>
            <w:tcW w:type="dxa" w:w="2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供应商付款日</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福建公司</w:t>
            </w:r>
          </w:p>
        </w:tc>
        <w:tc>
          <w:tcPr>
            <w:tcW w:type="dxa" w:w="39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应付减少、银行减少</w:t>
            </w:r>
          </w:p>
        </w:tc>
        <w:tc>
          <w:tcPr>
            <w:tcW w:type="dxa" w:w="1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2,500</w:t>
            </w:r>
          </w:p>
        </w:tc>
        <w:tc>
          <w:tcPr>
            <w:tcW w:type="dxa" w:w="2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付款退回</w:t>
            </w:r>
          </w:p>
        </w:tc>
      </w:tr>
    </w:tbl>
    <w:p>
      <w:pPr>
        <w:spacing w:after="40"/>
      </w:pPr>
    </w:p>
    <w:p>
      <w:pPr>
        <w:spacing w:before="80" w:after="200" w:line="288" w:lineRule="auto"/>
        <w:ind w:left="115" w:right="115"/>
        <w:shd w:val="clear" w:fill="FFF4E5"/>
        <w:pBdr>
          <w:top w:val="single" w:sz="6" w:space="4" w:color="E6D8C8"/>
          <w:left w:val="single" w:sz="6" w:space="4" w:color="E6D8C8"/>
          <w:bottom w:val="single" w:sz="6" w:space="4" w:color="E6D8C8"/>
          <w:right w:val="single" w:sz="6" w:space="4" w:color="E6D8C8"/>
        </w:pBdr>
      </w:pPr>
      <w:r>
        <w:rPr>
          <w:rFonts w:ascii="微软雅黑" w:hAnsi="微软雅黑" w:eastAsia="微软雅黑" w:cs="微软雅黑"/>
          <w:b/>
          <w:sz w:val="20"/>
        </w:rPr>
        <w:t>本案例的核心判断：</w:t>
      </w:r>
      <w:r>
        <w:rPr>
          <w:rFonts w:ascii="微软雅黑" w:hAnsi="微软雅黑" w:eastAsia="微软雅黑" w:cs="微软雅黑"/>
          <w:sz w:val="20"/>
        </w:rPr>
        <w:t>系统不能虚构福建公司收到5,000银行款，也不能只保存4,000而漏掉客户合同5,000和门店留佣1,000。三项金额都必须独立可追溯。</w:t>
      </w:r>
    </w:p>
    <w:p>
      <w:pPr>
        <w:pStyle w:val="dingding-heading3"/>
        <w:keepNext/>
        <w:keepLines/>
      </w:pPr>
      <w:r>
        <w:rPr>
          <w:rFonts w:ascii="微软雅黑" w:hAnsi="微软雅黑" w:eastAsia="微软雅黑" w:cs="微软雅黑"/>
        </w:rPr>
        <w:t>财务需要逐项确认</w:t>
      </w:r>
    </w:p>
    <w:p>
      <w:pPr>
        <w:spacing w:after="60"/>
        <w:ind w:left="418" w:hanging="418"/>
        <w:numPr>
          <w:ilvl w:val="0"/>
          <w:numId w:val="1"/>
        </w:numPr>
      </w:pPr>
      <w:r>
        <w:rPr>
          <w:rFonts w:ascii="微软雅黑" w:hAnsi="微软雅黑" w:eastAsia="微软雅黑" w:cs="微软雅黑"/>
          <w:sz w:val="21"/>
        </w:rPr>
        <w:t>加盟门店代收是否允许净额上缴；是否必须取得逐单抵销授权？</w:t>
      </w:r>
    </w:p>
    <w:p>
      <w:pPr>
        <w:spacing w:after="60"/>
        <w:ind w:left="418" w:hanging="418"/>
        <w:numPr>
          <w:ilvl w:val="0"/>
          <w:numId w:val="1"/>
        </w:numPr>
      </w:pPr>
      <w:r>
        <w:rPr>
          <w:rFonts w:ascii="微软雅黑" w:hAnsi="微软雅黑" w:eastAsia="微软雅黑" w:cs="微软雅黑"/>
          <w:sz w:val="21"/>
        </w:rPr>
        <w:t>福建公司对客开票按5,000还是存在代收代付拆分，税务依据是什么？</w:t>
      </w:r>
    </w:p>
    <w:p>
      <w:pPr>
        <w:spacing w:after="60"/>
        <w:ind w:left="418" w:hanging="418"/>
        <w:numPr>
          <w:ilvl w:val="0"/>
          <w:numId w:val="1"/>
        </w:numPr>
      </w:pPr>
      <w:r>
        <w:rPr>
          <w:rFonts w:ascii="微软雅黑" w:hAnsi="微软雅黑" w:eastAsia="微软雅黑" w:cs="微软雅黑"/>
          <w:sz w:val="21"/>
        </w:rPr>
        <w:t>门店佣金在何时形成应付和费用，发票未到是否允许先暂估？</w:t>
      </w:r>
    </w:p>
    <w:p>
      <w:pPr>
        <w:spacing w:after="60"/>
        <w:ind w:left="418" w:hanging="418"/>
        <w:numPr>
          <w:ilvl w:val="0"/>
          <w:numId w:val="1"/>
        </w:numPr>
      </w:pPr>
      <w:r>
        <w:rPr>
          <w:rFonts w:ascii="微软雅黑" w:hAnsi="微软雅黑" w:eastAsia="微软雅黑" w:cs="微软雅黑"/>
          <w:sz w:val="21"/>
        </w:rPr>
        <w:t>采购部75是纯管理分配还是外部服务费；若为内部管理分配，确认不得影响法人利润。</w:t>
      </w:r>
    </w:p>
    <w:p>
      <w:pPr/>
      <w:r>
        <w:br w:type="page"/>
      </w:r>
    </w:p>
    <w:p>
      <w:pPr>
        <w:pStyle w:val="dingding-heading2"/>
        <w:keepNext/>
        <w:keepLines/>
      </w:pPr>
      <w:r>
        <w:rPr>
          <w:rFonts w:ascii="微软雅黑" w:hAnsi="微软雅黑" w:eastAsia="微软雅黑" w:cs="微软雅黑"/>
        </w:rPr>
        <w:t>案例3：集团内A公司销售、B公司包装并向外部供应商采购</w:t>
      </w:r>
    </w:p>
    <w:p>
      <w:pPr>
        <w:pStyle w:val="dingding_quote"/>
        <w:spacing w:before="80" w:after="200" w:line="288" w:lineRule="auto"/>
      </w:pPr>
      <w:r>
        <w:rPr>
          <w:rFonts w:ascii="微软雅黑" w:hAnsi="微软雅黑" w:eastAsia="微软雅黑" w:cs="微软雅黑"/>
          <w:b/>
          <w:color w:val="A0A0A0"/>
          <w:sz w:val="21"/>
        </w:rPr>
        <w:t>场景定位：</w:t>
      </w:r>
      <w:r>
        <w:rPr>
          <w:rFonts w:ascii="微软雅黑" w:hAnsi="微软雅黑" w:eastAsia="微软雅黑" w:cs="微软雅黑"/>
          <w:b w:val="0"/>
          <w:color w:val="A0A0A0"/>
          <w:sz w:val="21"/>
        </w:rPr>
        <w:t>A公司对客销售收款 × B公司组织产品与履约 × A-B内部结算 × B公司外部采购</w:t>
      </w:r>
      <w:r>
        <w:br/>
      </w:r>
      <w:r>
        <w:rPr>
          <w:rFonts w:ascii="微软雅黑" w:hAnsi="微软雅黑" w:eastAsia="微软雅黑" w:cs="微软雅黑"/>
          <w:b/>
          <w:color w:val="A0A0A0"/>
          <w:sz w:val="21"/>
        </w:rPr>
        <w:t>验证重点：</w:t>
      </w:r>
      <w:r>
        <w:rPr>
          <w:rFonts w:ascii="微软雅黑" w:hAnsi="微软雅黑" w:eastAsia="微软雅黑" w:cs="微软雅黑"/>
          <w:b w:val="0"/>
          <w:color w:val="A0A0A0"/>
          <w:sz w:val="21"/>
        </w:rPr>
        <w:t>三段订单、两法人内部往来和集团抵销；10,000→8,000→7,760能否逐层反算</w:t>
      </w:r>
      <w:r>
        <w:br/>
      </w:r>
      <w:r>
        <w:rPr>
          <w:rFonts w:ascii="微软雅黑" w:hAnsi="微软雅黑" w:eastAsia="微软雅黑" w:cs="微软雅黑"/>
          <w:b/>
          <w:color w:val="A0A0A0"/>
          <w:sz w:val="21"/>
        </w:rPr>
        <w:t>金额说明：</w:t>
      </w:r>
      <w:r>
        <w:rPr>
          <w:rFonts w:ascii="微软雅黑" w:hAnsi="微软雅黑" w:eastAsia="微软雅黑" w:cs="微软雅黑"/>
          <w:b w:val="0"/>
          <w:color w:val="A0A0A0"/>
          <w:sz w:val="21"/>
        </w:rPr>
        <w:t>以下均为含税业务金额；收入时点、税额、发票和正式会计科目以财务确认结论为准。</w:t>
      </w:r>
    </w:p>
    <w:p>
      <w:pPr>
        <w:pStyle w:val="dingding-heading3"/>
        <w:keepNext/>
        <w:keepLines/>
      </w:pPr>
      <w:r>
        <w:rPr>
          <w:rFonts w:ascii="微软雅黑" w:hAnsi="微软雅黑" w:eastAsia="微软雅黑" w:cs="微软雅黑"/>
        </w:rPr>
        <w:t>1. 业务场景设定</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2500"/>
        <w:gridCol w:w="8720"/>
      </w:tblGrid>
      <w:tr>
        <w:trPr>
          <w:tblHeader w:val="true"/>
        </w:trPr>
        <w:tc>
          <w:tcPr>
            <w:tcW w:type="dxa" w:w="2500"/>
            <w:shd w:val="clear" w:color="auto" w:fill="F5F6F7"/>
            <w:vAlign w:val="center"/>
          </w:tcPr>
          <w:p>
            <w:pPr>
              <w:spacing w:after="0"/>
              <w:jc w:val="center"/>
            </w:pPr>
            <w:r>
              <w:rPr>
                <w:rFonts w:ascii="微软雅黑" w:hAnsi="微软雅黑" w:eastAsia="微软雅黑" w:cs="微软雅黑"/>
                <w:b/>
                <w:sz w:val="19"/>
              </w:rPr>
              <w:t>项目</w:t>
            </w:r>
          </w:p>
        </w:tc>
        <w:tc>
          <w:tcPr>
            <w:tcW w:type="dxa" w:w="8720"/>
            <w:shd w:val="clear" w:color="auto" w:fill="F5F6F7"/>
            <w:vAlign w:val="center"/>
          </w:tcPr>
          <w:p>
            <w:pPr>
              <w:spacing w:after="0"/>
              <w:jc w:val="center"/>
            </w:pPr>
            <w:r>
              <w:rPr>
                <w:rFonts w:ascii="微软雅黑" w:hAnsi="微软雅黑" w:eastAsia="微软雅黑" w:cs="微软雅黑"/>
                <w:b/>
                <w:sz w:val="19"/>
              </w:rPr>
              <w:t>内容</w:t>
            </w:r>
          </w:p>
        </w:tc>
      </w:tr>
      <w:tr>
        <w:tc>
          <w:tcPr>
            <w:tcW w:type="dxa" w:w="25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9"/>
              </w:rPr>
              <w:t>销售公司A</w:t>
            </w:r>
          </w:p>
        </w:tc>
        <w:tc>
          <w:tcPr>
            <w:tcW w:type="dxa" w:w="872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9"/>
              </w:rPr>
              <w:t>上海凯撒旅行社有限公司，对客合同10,000并收款</w:t>
            </w:r>
          </w:p>
        </w:tc>
      </w:tr>
      <w:tr>
        <w:tc>
          <w:tcPr>
            <w:tcW w:type="dxa" w:w="25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9"/>
              </w:rPr>
              <w:t>产品公司B</w:t>
            </w:r>
          </w:p>
        </w:tc>
        <w:tc>
          <w:tcPr>
            <w:tcW w:type="dxa" w:w="872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9"/>
              </w:rPr>
              <w:t>北京凯撒旅行社有限公司，向上海提供产品，内部结算8,000</w:t>
            </w:r>
          </w:p>
        </w:tc>
      </w:tr>
      <w:tr>
        <w:tc>
          <w:tcPr>
            <w:tcW w:type="dxa" w:w="25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9"/>
              </w:rPr>
              <w:t>外部供应商</w:t>
            </w:r>
          </w:p>
        </w:tc>
        <w:tc>
          <w:tcPr>
            <w:tcW w:type="dxa" w:w="872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9"/>
              </w:rPr>
              <w:t>某国旅，采购基础8,000，返还240，实际应付7,760</w:t>
            </w:r>
          </w:p>
        </w:tc>
      </w:tr>
      <w:tr>
        <w:tc>
          <w:tcPr>
            <w:tcW w:type="dxa" w:w="25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9"/>
              </w:rPr>
              <w:t>客户和团期</w:t>
            </w:r>
          </w:p>
        </w:tc>
        <w:tc>
          <w:tcPr>
            <w:tcW w:type="dxa" w:w="87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9"/>
              </w:rPr>
              <w:t>赵先生，2026年9月1日欧洲团</w:t>
            </w:r>
          </w:p>
        </w:tc>
      </w:tr>
      <w:tr>
        <w:tc>
          <w:tcPr>
            <w:tcW w:type="dxa" w:w="25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9"/>
              </w:rPr>
              <w:t>实际资金</w:t>
            </w:r>
          </w:p>
        </w:tc>
        <w:tc>
          <w:tcPr>
            <w:tcW w:type="dxa" w:w="872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9"/>
              </w:rPr>
              <w:t>客户付上海10,000；上海付北京8,000；北京付供应商7,760</w:t>
            </w:r>
          </w:p>
        </w:tc>
      </w:tr>
      <w:tr>
        <w:tc>
          <w:tcPr>
            <w:tcW w:type="dxa" w:w="25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9"/>
              </w:rPr>
              <w:t>案例假设</w:t>
            </w:r>
          </w:p>
        </w:tc>
        <w:tc>
          <w:tcPr>
            <w:tcW w:type="dxa" w:w="872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9"/>
              </w:rPr>
              <w:t>上海为对客主要责任方；北京内部供给具有真实合同和独立定价依据</w:t>
            </w:r>
          </w:p>
        </w:tc>
      </w:tr>
    </w:tbl>
    <w:p>
      <w:pPr>
        <w:spacing w:after="40"/>
      </w:pPr>
    </w:p>
    <w:p>
      <w:pPr>
        <w:pStyle w:val="dingding-heading3"/>
        <w:keepNext/>
        <w:keepLines/>
      </w:pPr>
      <w:r>
        <w:rPr>
          <w:rFonts w:ascii="微软雅黑" w:hAnsi="微软雅黑" w:eastAsia="微软雅黑" w:cs="微软雅黑"/>
        </w:rPr>
        <w:t>2. 参与方和财务责任</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2600"/>
        <w:gridCol w:w="3300"/>
        <w:gridCol w:w="5320"/>
      </w:tblGrid>
      <w:tr>
        <w:trPr>
          <w:tblHeader w:val="true"/>
        </w:trPr>
        <w:tc>
          <w:tcPr>
            <w:tcW w:type="dxa" w:w="2600"/>
            <w:shd w:val="clear" w:color="auto" w:fill="F5F6F7"/>
            <w:vAlign w:val="center"/>
          </w:tcPr>
          <w:p>
            <w:pPr>
              <w:spacing w:after="0"/>
              <w:jc w:val="center"/>
            </w:pPr>
            <w:r>
              <w:rPr>
                <w:rFonts w:ascii="微软雅黑" w:hAnsi="微软雅黑" w:eastAsia="微软雅黑" w:cs="微软雅黑"/>
                <w:b/>
                <w:sz w:val="17"/>
              </w:rPr>
              <w:t>责任</w:t>
            </w:r>
          </w:p>
        </w:tc>
        <w:tc>
          <w:tcPr>
            <w:tcW w:type="dxa" w:w="3300"/>
            <w:shd w:val="clear" w:color="auto" w:fill="F5F6F7"/>
            <w:vAlign w:val="center"/>
          </w:tcPr>
          <w:p>
            <w:pPr>
              <w:spacing w:after="0"/>
              <w:jc w:val="center"/>
            </w:pPr>
            <w:r>
              <w:rPr>
                <w:rFonts w:ascii="微软雅黑" w:hAnsi="微软雅黑" w:eastAsia="微软雅黑" w:cs="微软雅黑"/>
                <w:b/>
                <w:sz w:val="17"/>
              </w:rPr>
              <w:t>承担方</w:t>
            </w:r>
          </w:p>
        </w:tc>
        <w:tc>
          <w:tcPr>
            <w:tcW w:type="dxa" w:w="5320"/>
            <w:shd w:val="clear" w:color="auto" w:fill="F5F6F7"/>
            <w:vAlign w:val="center"/>
          </w:tcPr>
          <w:p>
            <w:pPr>
              <w:spacing w:after="0"/>
              <w:jc w:val="center"/>
            </w:pPr>
            <w:r>
              <w:rPr>
                <w:rFonts w:ascii="微软雅黑" w:hAnsi="微软雅黑" w:eastAsia="微软雅黑" w:cs="微软雅黑"/>
                <w:b/>
                <w:sz w:val="17"/>
              </w:rPr>
              <w:t>判断依据</w:t>
            </w:r>
          </w:p>
        </w:tc>
      </w:tr>
      <w:tr>
        <w:tc>
          <w:tcPr>
            <w:tcW w:type="dxa" w:w="26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客户合同、应收和收入</w:t>
            </w:r>
          </w:p>
        </w:tc>
        <w:tc>
          <w:tcPr>
            <w:tcW w:type="dxa" w:w="33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上海公司A</w:t>
            </w:r>
          </w:p>
        </w:tc>
        <w:tc>
          <w:tcPr>
            <w:tcW w:type="dxa" w:w="53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客户合同和对客责任</w:t>
            </w:r>
          </w:p>
        </w:tc>
      </w:tr>
      <w:tr>
        <w:tc>
          <w:tcPr>
            <w:tcW w:type="dxa" w:w="26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产品组织、团期履约</w:t>
            </w:r>
          </w:p>
        </w:tc>
        <w:tc>
          <w:tcPr>
            <w:tcW w:type="dxa" w:w="33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北京公司B</w:t>
            </w:r>
          </w:p>
        </w:tc>
        <w:tc>
          <w:tcPr>
            <w:tcW w:type="dxa" w:w="53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内部供给协议和团期记录</w:t>
            </w:r>
          </w:p>
        </w:tc>
      </w:tr>
      <w:tr>
        <w:tc>
          <w:tcPr>
            <w:tcW w:type="dxa" w:w="26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外部采购、应付和付款</w:t>
            </w:r>
          </w:p>
        </w:tc>
        <w:tc>
          <w:tcPr>
            <w:tcW w:type="dxa" w:w="33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北京公司B</w:t>
            </w:r>
          </w:p>
        </w:tc>
        <w:tc>
          <w:tcPr>
            <w:tcW w:type="dxa" w:w="53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B与供应商采购合同</w:t>
            </w:r>
          </w:p>
        </w:tc>
      </w:tr>
      <w:tr>
        <w:tc>
          <w:tcPr>
            <w:tcW w:type="dxa" w:w="26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A-B内部应收应付</w:t>
            </w:r>
          </w:p>
        </w:tc>
        <w:tc>
          <w:tcPr>
            <w:tcW w:type="dxa" w:w="33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双方成对确认</w:t>
            </w:r>
          </w:p>
        </w:tc>
        <w:tc>
          <w:tcPr>
            <w:tcW w:type="dxa" w:w="53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同一内部结算关联号、金额和期间</w:t>
            </w:r>
          </w:p>
        </w:tc>
      </w:tr>
      <w:tr>
        <w:tc>
          <w:tcPr>
            <w:tcW w:type="dxa" w:w="26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集团抵销</w:t>
            </w:r>
          </w:p>
        </w:tc>
        <w:tc>
          <w:tcPr>
            <w:tcW w:type="dxa" w:w="33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集团财务</w:t>
            </w:r>
          </w:p>
        </w:tc>
        <w:tc>
          <w:tcPr>
            <w:tcW w:type="dxa" w:w="532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7"/>
              </w:rPr>
              <w:t>A内部成本8,000与B内部收入8,000</w:t>
            </w:r>
          </w:p>
        </w:tc>
      </w:tr>
    </w:tbl>
    <w:p>
      <w:pPr>
        <w:spacing w:after="40"/>
      </w:pPr>
    </w:p>
    <w:p>
      <w:pPr>
        <w:pStyle w:val="dingding-heading3"/>
        <w:keepNext/>
        <w:keepLines/>
      </w:pPr>
      <w:r>
        <w:rPr>
          <w:rFonts w:ascii="微软雅黑" w:hAnsi="微软雅黑" w:eastAsia="微软雅黑" w:cs="微软雅黑"/>
        </w:rPr>
        <w:t>3. 完整价格和金额拆解</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3000"/>
        <w:gridCol w:w="3100"/>
        <w:gridCol w:w="1700"/>
        <w:gridCol w:w="3420"/>
      </w:tblGrid>
      <w:tr>
        <w:trPr>
          <w:tblHeader w:val="true"/>
        </w:trPr>
        <w:tc>
          <w:tcPr>
            <w:tcW w:type="dxa" w:w="3000"/>
            <w:shd w:val="clear" w:color="auto" w:fill="F5F6F7"/>
            <w:vAlign w:val="center"/>
          </w:tcPr>
          <w:p>
            <w:pPr>
              <w:spacing w:after="0"/>
              <w:jc w:val="center"/>
            </w:pPr>
            <w:r>
              <w:rPr>
                <w:rFonts w:ascii="微软雅黑" w:hAnsi="微软雅黑" w:eastAsia="微软雅黑" w:cs="微软雅黑"/>
                <w:b/>
                <w:sz w:val="17"/>
              </w:rPr>
              <w:t>金额项目</w:t>
            </w:r>
          </w:p>
        </w:tc>
        <w:tc>
          <w:tcPr>
            <w:tcW w:type="dxa" w:w="3100"/>
            <w:shd w:val="clear" w:color="auto" w:fill="F5F6F7"/>
            <w:vAlign w:val="center"/>
          </w:tcPr>
          <w:p>
            <w:pPr>
              <w:spacing w:after="0"/>
              <w:jc w:val="center"/>
            </w:pPr>
            <w:r>
              <w:rPr>
                <w:rFonts w:ascii="微软雅黑" w:hAnsi="微软雅黑" w:eastAsia="微软雅黑" w:cs="微软雅黑"/>
                <w:b/>
                <w:sz w:val="17"/>
              </w:rPr>
              <w:t>计算</w:t>
            </w:r>
          </w:p>
        </w:tc>
        <w:tc>
          <w:tcPr>
            <w:tcW w:type="dxa" w:w="1700"/>
            <w:shd w:val="clear" w:color="auto" w:fill="F5F6F7"/>
            <w:vAlign w:val="center"/>
          </w:tcPr>
          <w:p>
            <w:pPr>
              <w:spacing w:after="0"/>
              <w:jc w:val="center"/>
            </w:pPr>
            <w:r>
              <w:rPr>
                <w:rFonts w:ascii="微软雅黑" w:hAnsi="微软雅黑" w:eastAsia="微软雅黑" w:cs="微软雅黑"/>
                <w:b/>
                <w:sz w:val="17"/>
              </w:rPr>
              <w:t>金额</w:t>
            </w:r>
          </w:p>
        </w:tc>
        <w:tc>
          <w:tcPr>
            <w:tcW w:type="dxa" w:w="3420"/>
            <w:shd w:val="clear" w:color="auto" w:fill="F5F6F7"/>
            <w:vAlign w:val="center"/>
          </w:tcPr>
          <w:p>
            <w:pPr>
              <w:spacing w:after="0"/>
              <w:jc w:val="center"/>
            </w:pPr>
            <w:r>
              <w:rPr>
                <w:rFonts w:ascii="微软雅黑" w:hAnsi="微软雅黑" w:eastAsia="微软雅黑" w:cs="微软雅黑"/>
                <w:b/>
                <w:sz w:val="17"/>
              </w:rPr>
              <w:t>最终去向</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客户合同价</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上海对客</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10,000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上海对外收入基础</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A-B内部结算</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批准内部价格</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8,000</w:t>
            </w:r>
          </w:p>
        </w:tc>
        <w:tc>
          <w:tcPr>
            <w:tcW w:type="dxa" w:w="342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7"/>
              </w:rPr>
              <w:t>上海内部成本/应付；北京内部收入/应收</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A销售差额</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10,000－8,000</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2,000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上海单体毛利</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外部采购基础</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北京采购</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8,000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北京采购基础</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采购返还</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8,000×3%</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240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北京采购价减少或返还</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外部供应商应付</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8,000－240</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7,760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北京外部成本/应付</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北京单体毛利</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8,000－7,760</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240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北京结果</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集团对外毛利</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10,000－7,760</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2,240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抵销内部8,000后</w:t>
            </w:r>
          </w:p>
        </w:tc>
      </w:tr>
    </w:tbl>
    <w:p>
      <w:pPr>
        <w:spacing w:after="40"/>
      </w:pPr>
    </w:p>
    <w:p>
      <w:pPr>
        <w:pStyle w:val="dingding-heading3"/>
        <w:keepNext/>
        <w:keepLines/>
      </w:pPr>
      <w:r>
        <w:rPr>
          <w:rFonts w:ascii="微软雅黑" w:hAnsi="微软雅黑" w:eastAsia="微软雅黑" w:cs="微软雅黑"/>
        </w:rPr>
        <w:t>4. 交易、债权债务和实际资金</w:t>
      </w:r>
    </w:p>
    <w:p>
      <w:pPr>
        <w:pStyle w:val="dingding_code"/>
        <w:spacing w:before="80" w:after="200" w:lineRule="exact" w:line="252"/>
        <w:ind w:left="115" w:right="115"/>
        <w:shd w:val="clear" w:fill="F2F3F5"/>
      </w:pPr>
      <w:r>
        <w:rPr>
          <w:rFonts w:ascii="Menlo" w:hAnsi="Menlo" w:eastAsia="Menlo" w:cs="Menlo"/>
          <w:sz w:val="17"/>
        </w:rPr>
        <w:t>三段债权债务：</w:t>
        <w:br/>
        <w:t>客户 ─应付10,000→ 上海A ─内部应付8,000→ 北京B ─外部应付7,760→ 供应商</w:t>
        <w:br/>
        <w:br/>
        <w:t>实际资金：</w:t>
        <w:br/>
        <w:t>客户 ─10,000→ 上海A ─8,000→ 北京B ─7,760→ 外部供应商</w:t>
        <w:br/>
        <w:br/>
        <w:t>集团合并：抵销北京内部收入8,000与上海内部成本8,000；只保留对外收入10,000和对外成本7,760。</w:t>
      </w:r>
    </w:p>
    <w:p>
      <w:pPr>
        <w:pStyle w:val="dingding-heading3"/>
        <w:keepNext/>
        <w:keepLines/>
      </w:pPr>
      <w:r>
        <w:rPr>
          <w:rFonts w:ascii="微软雅黑" w:hAnsi="微软雅黑" w:eastAsia="微软雅黑" w:cs="微软雅黑"/>
        </w:rPr>
        <w:t>5. 分阶段业务与财务变化</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1550"/>
        <w:gridCol w:w="2600"/>
        <w:gridCol w:w="3200"/>
        <w:gridCol w:w="1600"/>
        <w:gridCol w:w="2270"/>
      </w:tblGrid>
      <w:tr>
        <w:trPr>
          <w:tblHeader w:val="true"/>
        </w:trPr>
        <w:tc>
          <w:tcPr>
            <w:tcW w:type="dxa" w:w="1550"/>
            <w:shd w:val="clear" w:color="auto" w:fill="F5F6F7"/>
            <w:vAlign w:val="center"/>
          </w:tcPr>
          <w:p>
            <w:pPr>
              <w:spacing w:after="0"/>
              <w:jc w:val="center"/>
            </w:pPr>
            <w:r>
              <w:rPr>
                <w:rFonts w:ascii="微软雅黑" w:hAnsi="微软雅黑" w:eastAsia="微软雅黑" w:cs="微软雅黑"/>
                <w:b/>
                <w:sz w:val="16"/>
              </w:rPr>
              <w:t>阶段</w:t>
            </w:r>
          </w:p>
        </w:tc>
        <w:tc>
          <w:tcPr>
            <w:tcW w:type="dxa" w:w="2600"/>
            <w:shd w:val="clear" w:color="auto" w:fill="F5F6F7"/>
            <w:vAlign w:val="center"/>
          </w:tcPr>
          <w:p>
            <w:pPr>
              <w:spacing w:after="0"/>
              <w:jc w:val="center"/>
            </w:pPr>
            <w:r>
              <w:rPr>
                <w:rFonts w:ascii="微软雅黑" w:hAnsi="微软雅黑" w:eastAsia="微软雅黑" w:cs="微软雅黑"/>
                <w:b/>
                <w:sz w:val="16"/>
              </w:rPr>
              <w:t>业务事实</w:t>
            </w:r>
          </w:p>
        </w:tc>
        <w:tc>
          <w:tcPr>
            <w:tcW w:type="dxa" w:w="3200"/>
            <w:shd w:val="clear" w:color="auto" w:fill="F5F6F7"/>
            <w:vAlign w:val="center"/>
          </w:tcPr>
          <w:p>
            <w:pPr>
              <w:spacing w:after="0"/>
              <w:jc w:val="center"/>
            </w:pPr>
            <w:r>
              <w:rPr>
                <w:rFonts w:ascii="微软雅黑" w:hAnsi="微软雅黑" w:eastAsia="微软雅黑" w:cs="微软雅黑"/>
                <w:b/>
                <w:sz w:val="16"/>
              </w:rPr>
              <w:t>记录和余额变化</w:t>
            </w:r>
          </w:p>
        </w:tc>
        <w:tc>
          <w:tcPr>
            <w:tcW w:type="dxa" w:w="1600"/>
            <w:shd w:val="clear" w:color="auto" w:fill="F5F6F7"/>
            <w:vAlign w:val="center"/>
          </w:tcPr>
          <w:p>
            <w:pPr>
              <w:spacing w:after="0"/>
              <w:jc w:val="center"/>
            </w:pPr>
            <w:r>
              <w:rPr>
                <w:rFonts w:ascii="微软雅黑" w:hAnsi="微软雅黑" w:eastAsia="微软雅黑" w:cs="微软雅黑"/>
                <w:b/>
                <w:sz w:val="16"/>
              </w:rPr>
              <w:t>实际资金</w:t>
            </w:r>
          </w:p>
        </w:tc>
        <w:tc>
          <w:tcPr>
            <w:tcW w:type="dxa" w:w="2270"/>
            <w:shd w:val="clear" w:color="auto" w:fill="F5F6F7"/>
            <w:vAlign w:val="center"/>
          </w:tcPr>
          <w:p>
            <w:pPr>
              <w:spacing w:after="0"/>
              <w:jc w:val="center"/>
            </w:pPr>
            <w:r>
              <w:rPr>
                <w:rFonts w:ascii="微软雅黑" w:hAnsi="微软雅黑" w:eastAsia="微软雅黑" w:cs="微软雅黑"/>
                <w:b/>
                <w:sz w:val="16"/>
              </w:rPr>
              <w:t>会计及NC状态</w:t>
            </w:r>
          </w:p>
        </w:tc>
      </w:tr>
      <w:tr>
        <w:tc>
          <w:tcPr>
            <w:tcW w:type="dxa" w:w="155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客户下单</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上海形成客户订单</w:t>
            </w:r>
          </w:p>
        </w:tc>
        <w:tc>
          <w:tcPr>
            <w:tcW w:type="dxa" w:w="32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上海客户应收10,000；北京形成内部供给关系</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0</w:t>
            </w:r>
          </w:p>
        </w:tc>
        <w:tc>
          <w:tcPr>
            <w:tcW w:type="dxa" w:w="227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是否形成会计应收按政策</w:t>
            </w:r>
          </w:p>
        </w:tc>
      </w:tr>
      <w:tr>
        <w:tc>
          <w:tcPr>
            <w:tcW w:type="dxa" w:w="155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客户付款</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客户付上海</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上海客户应收核销</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+10,000（上海）</w:t>
            </w:r>
          </w:p>
        </w:tc>
        <w:tc>
          <w:tcPr>
            <w:tcW w:type="dxa" w:w="227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上海收款事项</w:t>
            </w:r>
          </w:p>
        </w:tc>
      </w:tr>
      <w:tr>
        <w:tc>
          <w:tcPr>
            <w:tcW w:type="dxa" w:w="155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团期履约</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北京组织、供应商服务</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三段订单和团期保持对应</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0</w:t>
            </w:r>
          </w:p>
        </w:tc>
        <w:tc>
          <w:tcPr>
            <w:tcW w:type="dxa" w:w="227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履约事实供双方确认</w:t>
            </w:r>
          </w:p>
        </w:tc>
      </w:tr>
      <w:tr>
        <w:tc>
          <w:tcPr>
            <w:tcW w:type="dxa" w:w="155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内部结算</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A-B确认8,000</w:t>
            </w:r>
          </w:p>
        </w:tc>
        <w:tc>
          <w:tcPr>
            <w:tcW w:type="dxa" w:w="32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上海内部应付8,000；北京内部应收8,000</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0</w:t>
            </w:r>
          </w:p>
        </w:tc>
        <w:tc>
          <w:tcPr>
            <w:tcW w:type="dxa" w:w="227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双方会计日期必须一致</w:t>
            </w:r>
          </w:p>
        </w:tc>
      </w:tr>
      <w:tr>
        <w:tc>
          <w:tcPr>
            <w:tcW w:type="dxa" w:w="155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内部付款</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上海付北京</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双方内部往来清零</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A－8,000 / B＋8,000</w:t>
            </w:r>
          </w:p>
        </w:tc>
        <w:tc>
          <w:tcPr>
            <w:tcW w:type="dxa" w:w="227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双方分别形成收付款</w:t>
            </w:r>
          </w:p>
        </w:tc>
      </w:tr>
      <w:tr>
        <w:tc>
          <w:tcPr>
            <w:tcW w:type="dxa" w:w="155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外部付款</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北京净付7,760</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供应商应付清零；返还240结清</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－7,760（北京）</w:t>
            </w:r>
          </w:p>
        </w:tc>
        <w:tc>
          <w:tcPr>
            <w:tcW w:type="dxa" w:w="227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北京付款和返还事项</w:t>
            </w:r>
          </w:p>
        </w:tc>
      </w:tr>
      <w:tr>
        <w:tc>
          <w:tcPr>
            <w:tcW w:type="dxa" w:w="155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集团关账</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抵销内部交易</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单体账保留，集团抵销差异0</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0</w:t>
            </w:r>
          </w:p>
        </w:tc>
        <w:tc>
          <w:tcPr>
            <w:tcW w:type="dxa" w:w="227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NC两账簿及抵销依据一致</w:t>
            </w:r>
          </w:p>
        </w:tc>
      </w:tr>
    </w:tbl>
    <w:p>
      <w:pPr>
        <w:spacing w:after="40"/>
      </w:pPr>
    </w:p>
    <w:p>
      <w:pPr>
        <w:pStyle w:val="dingding-heading3"/>
        <w:keepNext/>
        <w:keepLines/>
      </w:pPr>
      <w:r>
        <w:rPr>
          <w:rFonts w:ascii="微软雅黑" w:hAnsi="微软雅黑" w:eastAsia="微软雅黑" w:cs="微软雅黑"/>
        </w:rPr>
        <w:t>6. 余额、结果和反算</w:t>
      </w:r>
    </w:p>
    <w:p>
      <w:pPr>
        <w:pStyle w:val="dingding_code"/>
        <w:spacing w:before="80" w:after="200" w:lineRule="exact" w:line="254"/>
        <w:ind w:left="115" w:right="115"/>
        <w:shd w:val="clear" w:fill="F2F3F5"/>
      </w:pPr>
      <w:r>
        <w:rPr>
          <w:rFonts w:ascii="Menlo" w:hAnsi="Menlo" w:eastAsia="Menlo" w:cs="Menlo"/>
          <w:sz w:val="17"/>
        </w:rPr>
        <w:t>上海：收入10,000 - 内部成本8,000 = 单体毛利2,000</w:t>
        <w:br/>
        <w:t>北京：内部收入8,000 - 外部成本7,760 = 单体毛利240</w:t>
        <w:br/>
        <w:t>集团：10,000 - 7,760 = 对外毛利2,240</w:t>
        <w:br/>
        <w:br/>
        <w:t>内部核对：上海内部应付8,000 = 北京内部应收8,000</w:t>
        <w:br/>
        <w:t>集团反算：2,000 + 240 = 2,240</w:t>
        <w:br/>
        <w:t>资金反算：客户10,000 - 外部供应商7,760 = 2,240</w:t>
        <w:br/>
        <w:t>内部未抵销差异、未映射团期金额、未分配订单金额均应为0。</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2800"/>
        <w:gridCol w:w="2500"/>
        <w:gridCol w:w="3000"/>
        <w:gridCol w:w="2920"/>
      </w:tblGrid>
      <w:tr>
        <w:trPr>
          <w:tblHeader w:val="true"/>
        </w:trPr>
        <w:tc>
          <w:tcPr>
            <w:tcW w:type="dxa" w:w="2800"/>
            <w:shd w:val="clear" w:color="auto" w:fill="F5F6F7"/>
            <w:vAlign w:val="center"/>
          </w:tcPr>
          <w:p>
            <w:pPr>
              <w:spacing w:after="0"/>
              <w:jc w:val="center"/>
            </w:pPr>
            <w:r>
              <w:rPr>
                <w:rFonts w:ascii="微软雅黑" w:hAnsi="微软雅黑" w:eastAsia="微软雅黑" w:cs="微软雅黑"/>
                <w:b/>
                <w:sz w:val="17"/>
              </w:rPr>
              <w:t>观察层次</w:t>
            </w:r>
          </w:p>
        </w:tc>
        <w:tc>
          <w:tcPr>
            <w:tcW w:type="dxa" w:w="2500"/>
            <w:shd w:val="clear" w:color="auto" w:fill="F5F6F7"/>
            <w:vAlign w:val="center"/>
          </w:tcPr>
          <w:p>
            <w:pPr>
              <w:spacing w:after="0"/>
              <w:jc w:val="center"/>
            </w:pPr>
            <w:r>
              <w:rPr>
                <w:rFonts w:ascii="微软雅黑" w:hAnsi="微软雅黑" w:eastAsia="微软雅黑" w:cs="微软雅黑"/>
                <w:b/>
                <w:sz w:val="17"/>
              </w:rPr>
              <w:t>收入/流入</w:t>
            </w:r>
          </w:p>
        </w:tc>
        <w:tc>
          <w:tcPr>
            <w:tcW w:type="dxa" w:w="3000"/>
            <w:shd w:val="clear" w:color="auto" w:fill="F5F6F7"/>
            <w:vAlign w:val="center"/>
          </w:tcPr>
          <w:p>
            <w:pPr>
              <w:spacing w:after="0"/>
              <w:jc w:val="center"/>
            </w:pPr>
            <w:r>
              <w:rPr>
                <w:rFonts w:ascii="微软雅黑" w:hAnsi="微软雅黑" w:eastAsia="微软雅黑" w:cs="微软雅黑"/>
                <w:b/>
                <w:sz w:val="17"/>
              </w:rPr>
              <w:t>成本费用/流出</w:t>
            </w:r>
          </w:p>
        </w:tc>
        <w:tc>
          <w:tcPr>
            <w:tcW w:type="dxa" w:w="2920"/>
            <w:shd w:val="clear" w:color="auto" w:fill="F5F6F7"/>
            <w:vAlign w:val="center"/>
          </w:tcPr>
          <w:p>
            <w:pPr>
              <w:spacing w:after="0"/>
              <w:jc w:val="center"/>
            </w:pPr>
            <w:r>
              <w:rPr>
                <w:rFonts w:ascii="微软雅黑" w:hAnsi="微软雅黑" w:eastAsia="微软雅黑" w:cs="微软雅黑"/>
                <w:b/>
                <w:sz w:val="17"/>
              </w:rPr>
              <w:t>结果或余额</w:t>
            </w:r>
          </w:p>
        </w:tc>
      </w:tr>
      <w:tr>
        <w:tc>
          <w:tcPr>
            <w:tcW w:type="dxa" w:w="28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上海A单体</w:t>
            </w:r>
          </w:p>
        </w:tc>
        <w:tc>
          <w:tcPr>
            <w:tcW w:type="dxa" w:w="2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对外收入10,000</w:t>
            </w:r>
          </w:p>
        </w:tc>
        <w:tc>
          <w:tcPr>
            <w:tcW w:type="dxa" w:w="30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内部成本8,000</w:t>
            </w:r>
          </w:p>
        </w:tc>
        <w:tc>
          <w:tcPr>
            <w:tcW w:type="dxa" w:w="29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毛利2,000；银行净＋2,000</w:t>
            </w:r>
          </w:p>
        </w:tc>
      </w:tr>
      <w:tr>
        <w:tc>
          <w:tcPr>
            <w:tcW w:type="dxa" w:w="28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北京B单体</w:t>
            </w:r>
          </w:p>
        </w:tc>
        <w:tc>
          <w:tcPr>
            <w:tcW w:type="dxa" w:w="2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内部收入8,000</w:t>
            </w:r>
          </w:p>
        </w:tc>
        <w:tc>
          <w:tcPr>
            <w:tcW w:type="dxa" w:w="30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外部成本7,760</w:t>
            </w:r>
          </w:p>
        </w:tc>
        <w:tc>
          <w:tcPr>
            <w:tcW w:type="dxa" w:w="29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毛利240；银行净＋240</w:t>
            </w:r>
          </w:p>
        </w:tc>
      </w:tr>
      <w:tr>
        <w:tc>
          <w:tcPr>
            <w:tcW w:type="dxa" w:w="28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集团合并</w:t>
            </w:r>
          </w:p>
        </w:tc>
        <w:tc>
          <w:tcPr>
            <w:tcW w:type="dxa" w:w="2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对外收入10,000</w:t>
            </w:r>
          </w:p>
        </w:tc>
        <w:tc>
          <w:tcPr>
            <w:tcW w:type="dxa" w:w="30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对外成本7,760</w:t>
            </w:r>
          </w:p>
        </w:tc>
        <w:tc>
          <w:tcPr>
            <w:tcW w:type="dxa" w:w="29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毛利2,240</w:t>
            </w:r>
          </w:p>
        </w:tc>
      </w:tr>
      <w:tr>
        <w:tc>
          <w:tcPr>
            <w:tcW w:type="dxa" w:w="28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内部往来</w:t>
            </w:r>
          </w:p>
        </w:tc>
        <w:tc>
          <w:tcPr>
            <w:tcW w:type="dxa" w:w="2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北京应收8,000</w:t>
            </w:r>
          </w:p>
        </w:tc>
        <w:tc>
          <w:tcPr>
            <w:tcW w:type="dxa" w:w="30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上海应付8,000</w:t>
            </w:r>
          </w:p>
        </w:tc>
        <w:tc>
          <w:tcPr>
            <w:tcW w:type="dxa" w:w="29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收付款后双方0</w:t>
            </w:r>
          </w:p>
        </w:tc>
      </w:tr>
    </w:tbl>
    <w:p>
      <w:pPr>
        <w:spacing w:after="40"/>
      </w:pPr>
    </w:p>
    <w:p>
      <w:pPr>
        <w:pStyle w:val="dingding-heading3"/>
        <w:keepNext/>
        <w:keepLines/>
      </w:pPr>
      <w:r>
        <w:rPr>
          <w:rFonts w:ascii="微软雅黑" w:hAnsi="微软雅黑" w:eastAsia="微软雅黑" w:cs="微软雅黑"/>
        </w:rPr>
        <w:t>7. 合同、业务、资金、发票和会计核对</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2300"/>
        <w:gridCol w:w="3200"/>
        <w:gridCol w:w="2700"/>
        <w:gridCol w:w="3020"/>
      </w:tblGrid>
      <w:tr>
        <w:trPr>
          <w:tblHeader w:val="true"/>
        </w:trPr>
        <w:tc>
          <w:tcPr>
            <w:tcW w:type="dxa" w:w="2300"/>
            <w:shd w:val="clear" w:color="auto" w:fill="F5F6F7"/>
            <w:vAlign w:val="center"/>
          </w:tcPr>
          <w:p>
            <w:pPr>
              <w:spacing w:after="0"/>
              <w:jc w:val="center"/>
            </w:pPr>
            <w:r>
              <w:rPr>
                <w:rFonts w:ascii="微软雅黑" w:hAnsi="微软雅黑" w:eastAsia="微软雅黑" w:cs="微软雅黑"/>
                <w:b/>
                <w:sz w:val="16"/>
              </w:rPr>
              <w:t>交易段</w:t>
            </w:r>
          </w:p>
        </w:tc>
        <w:tc>
          <w:tcPr>
            <w:tcW w:type="dxa" w:w="3200"/>
            <w:shd w:val="clear" w:color="auto" w:fill="F5F6F7"/>
            <w:vAlign w:val="center"/>
          </w:tcPr>
          <w:p>
            <w:pPr>
              <w:spacing w:after="0"/>
              <w:jc w:val="center"/>
            </w:pPr>
            <w:r>
              <w:rPr>
                <w:rFonts w:ascii="微软雅黑" w:hAnsi="微软雅黑" w:eastAsia="微软雅黑" w:cs="微软雅黑"/>
                <w:b/>
                <w:sz w:val="16"/>
              </w:rPr>
              <w:t>合同与业务</w:t>
            </w:r>
          </w:p>
        </w:tc>
        <w:tc>
          <w:tcPr>
            <w:tcW w:type="dxa" w:w="2700"/>
            <w:shd w:val="clear" w:color="auto" w:fill="F5F6F7"/>
            <w:vAlign w:val="center"/>
          </w:tcPr>
          <w:p>
            <w:pPr>
              <w:spacing w:after="0"/>
              <w:jc w:val="center"/>
            </w:pPr>
            <w:r>
              <w:rPr>
                <w:rFonts w:ascii="微软雅黑" w:hAnsi="微软雅黑" w:eastAsia="微软雅黑" w:cs="微软雅黑"/>
                <w:b/>
                <w:sz w:val="16"/>
              </w:rPr>
              <w:t>资金与发票</w:t>
            </w:r>
          </w:p>
        </w:tc>
        <w:tc>
          <w:tcPr>
            <w:tcW w:type="dxa" w:w="3020"/>
            <w:shd w:val="clear" w:color="auto" w:fill="F5F6F7"/>
            <w:vAlign w:val="center"/>
          </w:tcPr>
          <w:p>
            <w:pPr>
              <w:spacing w:after="0"/>
              <w:jc w:val="center"/>
            </w:pPr>
            <w:r>
              <w:rPr>
                <w:rFonts w:ascii="微软雅黑" w:hAnsi="微软雅黑" w:eastAsia="微软雅黑" w:cs="微软雅黑"/>
                <w:b/>
                <w:sz w:val="16"/>
              </w:rPr>
              <w:t>会计结果/差异解释</w:t>
            </w:r>
          </w:p>
        </w:tc>
      </w:tr>
      <w:tr>
        <w:tc>
          <w:tcPr>
            <w:tcW w:type="dxa" w:w="23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客户—上海</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上海签约并承担对客责任</w:t>
            </w:r>
          </w:p>
        </w:tc>
        <w:tc>
          <w:tcPr>
            <w:tcW w:type="dxa" w:w="2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客户付/上海开票10,000</w:t>
            </w:r>
          </w:p>
        </w:tc>
        <w:tc>
          <w:tcPr>
            <w:tcW w:type="dxa" w:w="3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上海对外收入和客户收款</w:t>
            </w:r>
          </w:p>
        </w:tc>
      </w:tr>
      <w:tr>
        <w:tc>
          <w:tcPr>
            <w:tcW w:type="dxa" w:w="23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上海—北京</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内部产品采购协议8,000</w:t>
            </w:r>
          </w:p>
        </w:tc>
        <w:tc>
          <w:tcPr>
            <w:tcW w:type="dxa" w:w="27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上海付北京；北京向上海开票规则待确认</w:t>
            </w:r>
          </w:p>
        </w:tc>
        <w:tc>
          <w:tcPr>
            <w:tcW w:type="dxa" w:w="3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双方成对内部应付/应收和成本/收入</w:t>
            </w:r>
          </w:p>
        </w:tc>
      </w:tr>
      <w:tr>
        <w:tc>
          <w:tcPr>
            <w:tcW w:type="dxa" w:w="23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北京—供应商</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采购基础8,000、返还240</w:t>
            </w:r>
          </w:p>
        </w:tc>
        <w:tc>
          <w:tcPr>
            <w:tcW w:type="dxa" w:w="2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北京净付7,760；票据口径待确认</w:t>
            </w:r>
          </w:p>
        </w:tc>
        <w:tc>
          <w:tcPr>
            <w:tcW w:type="dxa" w:w="3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北京外部成本和应付</w:t>
            </w:r>
          </w:p>
        </w:tc>
      </w:tr>
      <w:tr>
        <w:tc>
          <w:tcPr>
            <w:tcW w:type="dxa" w:w="23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集团合并</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保留单体合法记录</w:t>
            </w:r>
          </w:p>
        </w:tc>
        <w:tc>
          <w:tcPr>
            <w:tcW w:type="dxa" w:w="2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无新增资金和发票</w:t>
            </w:r>
          </w:p>
        </w:tc>
        <w:tc>
          <w:tcPr>
            <w:tcW w:type="dxa" w:w="3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抵销内部8,000，差异必须为0</w:t>
            </w:r>
          </w:p>
        </w:tc>
      </w:tr>
    </w:tbl>
    <w:p>
      <w:pPr>
        <w:spacing w:after="40"/>
      </w:pPr>
    </w:p>
    <w:p>
      <w:pPr>
        <w:pStyle w:val="dingding-heading3"/>
        <w:keepNext/>
        <w:keepLines/>
      </w:pPr>
      <w:r>
        <w:rPr>
          <w:rFonts w:ascii="微软雅黑" w:hAnsi="微软雅黑" w:eastAsia="微软雅黑" w:cs="微软雅黑"/>
        </w:rPr>
        <w:t>8. 会计事项和NC承接</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2200"/>
        <w:gridCol w:w="1600"/>
        <w:gridCol w:w="3900"/>
        <w:gridCol w:w="1500"/>
        <w:gridCol w:w="2020"/>
      </w:tblGrid>
      <w:tr>
        <w:trPr>
          <w:tblHeader w:val="true"/>
        </w:trPr>
        <w:tc>
          <w:tcPr>
            <w:tcW w:type="dxa" w:w="2200"/>
            <w:shd w:val="clear" w:color="auto" w:fill="F5F6F7"/>
            <w:vAlign w:val="center"/>
          </w:tcPr>
          <w:p>
            <w:pPr>
              <w:spacing w:after="0"/>
              <w:jc w:val="center"/>
            </w:pPr>
            <w:r>
              <w:rPr>
                <w:rFonts w:ascii="微软雅黑" w:hAnsi="微软雅黑" w:eastAsia="微软雅黑" w:cs="微软雅黑"/>
                <w:b/>
                <w:sz w:val="16"/>
              </w:rPr>
              <w:t>生效时点</w:t>
            </w:r>
          </w:p>
        </w:tc>
        <w:tc>
          <w:tcPr>
            <w:tcW w:type="dxa" w:w="1600"/>
            <w:shd w:val="clear" w:color="auto" w:fill="F5F6F7"/>
            <w:vAlign w:val="center"/>
          </w:tcPr>
          <w:p>
            <w:pPr>
              <w:spacing w:after="0"/>
              <w:jc w:val="center"/>
            </w:pPr>
            <w:r>
              <w:rPr>
                <w:rFonts w:ascii="微软雅黑" w:hAnsi="微软雅黑" w:eastAsia="微软雅黑" w:cs="微软雅黑"/>
                <w:b/>
                <w:sz w:val="16"/>
              </w:rPr>
              <w:t>所属公司</w:t>
            </w:r>
          </w:p>
        </w:tc>
        <w:tc>
          <w:tcPr>
            <w:tcW w:type="dxa" w:w="3900"/>
            <w:shd w:val="clear" w:color="auto" w:fill="F5F6F7"/>
            <w:vAlign w:val="center"/>
          </w:tcPr>
          <w:p>
            <w:pPr>
              <w:spacing w:after="0"/>
              <w:jc w:val="center"/>
            </w:pPr>
            <w:r>
              <w:rPr>
                <w:rFonts w:ascii="微软雅黑" w:hAnsi="微软雅黑" w:eastAsia="微软雅黑" w:cs="微软雅黑"/>
                <w:b/>
                <w:sz w:val="16"/>
              </w:rPr>
              <w:t>经济事项</w:t>
            </w:r>
          </w:p>
        </w:tc>
        <w:tc>
          <w:tcPr>
            <w:tcW w:type="dxa" w:w="1500"/>
            <w:shd w:val="clear" w:color="auto" w:fill="F5F6F7"/>
            <w:vAlign w:val="center"/>
          </w:tcPr>
          <w:p>
            <w:pPr>
              <w:spacing w:after="0"/>
              <w:jc w:val="center"/>
            </w:pPr>
            <w:r>
              <w:rPr>
                <w:rFonts w:ascii="微软雅黑" w:hAnsi="微软雅黑" w:eastAsia="微软雅黑" w:cs="微软雅黑"/>
                <w:b/>
                <w:sz w:val="16"/>
              </w:rPr>
              <w:t>金额</w:t>
            </w:r>
          </w:p>
        </w:tc>
        <w:tc>
          <w:tcPr>
            <w:tcW w:type="dxa" w:w="2020"/>
            <w:shd w:val="clear" w:color="auto" w:fill="F5F6F7"/>
            <w:vAlign w:val="center"/>
          </w:tcPr>
          <w:p>
            <w:pPr>
              <w:spacing w:after="0"/>
              <w:jc w:val="center"/>
            </w:pPr>
            <w:r>
              <w:rPr>
                <w:rFonts w:ascii="微软雅黑" w:hAnsi="微软雅黑" w:eastAsia="微软雅黑" w:cs="微软雅黑"/>
                <w:b/>
                <w:sz w:val="16"/>
              </w:rPr>
              <w:t>反向处理</w:t>
            </w:r>
          </w:p>
        </w:tc>
      </w:tr>
      <w:tr>
        <w:tc>
          <w:tcPr>
            <w:tcW w:type="dxa" w:w="2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客户到账日</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上海</w:t>
            </w:r>
          </w:p>
        </w:tc>
        <w:tc>
          <w:tcPr>
            <w:tcW w:type="dxa" w:w="39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客户收款</w:t>
            </w:r>
          </w:p>
        </w:tc>
        <w:tc>
          <w:tcPr>
            <w:tcW w:type="dxa" w:w="1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10,000</w:t>
            </w:r>
          </w:p>
        </w:tc>
        <w:tc>
          <w:tcPr>
            <w:tcW w:type="dxa" w:w="2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退款或收款冲销</w:t>
            </w:r>
          </w:p>
        </w:tc>
      </w:tr>
      <w:tr>
        <w:tc>
          <w:tcPr>
            <w:tcW w:type="dxa" w:w="2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内部结算日</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上海</w:t>
            </w:r>
          </w:p>
        </w:tc>
        <w:tc>
          <w:tcPr>
            <w:tcW w:type="dxa" w:w="39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内部成本和内部应付</w:t>
            </w:r>
          </w:p>
        </w:tc>
        <w:tc>
          <w:tcPr>
            <w:tcW w:type="dxa" w:w="1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8,000</w:t>
            </w:r>
          </w:p>
        </w:tc>
        <w:tc>
          <w:tcPr>
            <w:tcW w:type="dxa" w:w="2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补充/反向内部结算</w:t>
            </w:r>
          </w:p>
        </w:tc>
      </w:tr>
      <w:tr>
        <w:tc>
          <w:tcPr>
            <w:tcW w:type="dxa" w:w="2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同一内部结算日</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北京</w:t>
            </w:r>
          </w:p>
        </w:tc>
        <w:tc>
          <w:tcPr>
            <w:tcW w:type="dxa" w:w="39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内部收入和内部应收</w:t>
            </w:r>
          </w:p>
        </w:tc>
        <w:tc>
          <w:tcPr>
            <w:tcW w:type="dxa" w:w="1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8,000</w:t>
            </w:r>
          </w:p>
        </w:tc>
        <w:tc>
          <w:tcPr>
            <w:tcW w:type="dxa" w:w="2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与上海成对反向</w:t>
            </w:r>
          </w:p>
        </w:tc>
      </w:tr>
      <w:tr>
        <w:tc>
          <w:tcPr>
            <w:tcW w:type="dxa" w:w="2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实际成本确认</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北京</w:t>
            </w:r>
          </w:p>
        </w:tc>
        <w:tc>
          <w:tcPr>
            <w:tcW w:type="dxa" w:w="39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外部成本和供应商应付</w:t>
            </w:r>
          </w:p>
        </w:tc>
        <w:tc>
          <w:tcPr>
            <w:tcW w:type="dxa" w:w="1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7,760或8,000</w:t>
            </w:r>
          </w:p>
        </w:tc>
        <w:tc>
          <w:tcPr>
            <w:tcW w:type="dxa" w:w="2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成本调整</w:t>
            </w:r>
          </w:p>
        </w:tc>
      </w:tr>
      <w:tr>
        <w:tc>
          <w:tcPr>
            <w:tcW w:type="dxa" w:w="2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内部付款日</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上海/北京</w:t>
            </w:r>
          </w:p>
        </w:tc>
        <w:tc>
          <w:tcPr>
            <w:tcW w:type="dxa" w:w="39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内部应付、应收核销</w:t>
            </w:r>
          </w:p>
        </w:tc>
        <w:tc>
          <w:tcPr>
            <w:tcW w:type="dxa" w:w="1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8,000</w:t>
            </w:r>
          </w:p>
        </w:tc>
        <w:tc>
          <w:tcPr>
            <w:tcW w:type="dxa" w:w="2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银行退回</w:t>
            </w:r>
          </w:p>
        </w:tc>
      </w:tr>
      <w:tr>
        <w:tc>
          <w:tcPr>
            <w:tcW w:type="dxa" w:w="2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供应商付款日</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北京</w:t>
            </w:r>
          </w:p>
        </w:tc>
        <w:tc>
          <w:tcPr>
            <w:tcW w:type="dxa" w:w="39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外部应付核销</w:t>
            </w:r>
          </w:p>
        </w:tc>
        <w:tc>
          <w:tcPr>
            <w:tcW w:type="dxa" w:w="1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7,760</w:t>
            </w:r>
          </w:p>
        </w:tc>
        <w:tc>
          <w:tcPr>
            <w:tcW w:type="dxa" w:w="2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付款退回</w:t>
            </w:r>
          </w:p>
        </w:tc>
      </w:tr>
    </w:tbl>
    <w:p>
      <w:pPr>
        <w:spacing w:after="40"/>
      </w:pPr>
    </w:p>
    <w:p>
      <w:pPr>
        <w:spacing w:before="80" w:after="200" w:line="288" w:lineRule="auto"/>
        <w:ind w:left="115" w:right="115"/>
        <w:shd w:val="clear" w:fill="FFF4E5"/>
        <w:pBdr>
          <w:top w:val="single" w:sz="6" w:space="4" w:color="E6D8C8"/>
          <w:left w:val="single" w:sz="6" w:space="4" w:color="E6D8C8"/>
          <w:bottom w:val="single" w:sz="6" w:space="4" w:color="E6D8C8"/>
          <w:right w:val="single" w:sz="6" w:space="4" w:color="E6D8C8"/>
        </w:pBdr>
      </w:pPr>
      <w:r>
        <w:rPr>
          <w:rFonts w:ascii="微软雅黑" w:hAnsi="微软雅黑" w:eastAsia="微软雅黑" w:cs="微软雅黑"/>
          <w:b/>
          <w:sz w:val="20"/>
        </w:rPr>
        <w:t>本案例的核心判断：</w:t>
      </w:r>
      <w:r>
        <w:rPr>
          <w:rFonts w:ascii="微软雅黑" w:hAnsi="微软雅黑" w:eastAsia="微软雅黑" w:cs="微软雅黑"/>
          <w:sz w:val="20"/>
        </w:rPr>
        <w:t>A公司不直接对B公司的外部供应商形成应付；B公司也不把游客作为内部应收客户。三段交易共享业务关联信息，但客户、应收、发票和账簿分别归属。</w:t>
      </w:r>
    </w:p>
    <w:p>
      <w:pPr>
        <w:pStyle w:val="dingding-heading3"/>
        <w:keepNext/>
        <w:keepLines/>
      </w:pPr>
      <w:r>
        <w:rPr>
          <w:rFonts w:ascii="微软雅黑" w:hAnsi="微软雅黑" w:eastAsia="微软雅黑" w:cs="微软雅黑"/>
        </w:rPr>
        <w:t>财务需要逐项确认</w:t>
      </w:r>
    </w:p>
    <w:p>
      <w:pPr>
        <w:spacing w:after="60"/>
        <w:ind w:left="418" w:hanging="418"/>
        <w:numPr>
          <w:ilvl w:val="0"/>
          <w:numId w:val="1"/>
        </w:numPr>
      </w:pPr>
      <w:r>
        <w:rPr>
          <w:rFonts w:ascii="微软雅黑" w:hAnsi="微软雅黑" w:eastAsia="微软雅黑" w:cs="微软雅黑"/>
          <w:sz w:val="21"/>
        </w:rPr>
        <w:t>A-B内部结算在占位、出团、回团还是双方对账时生效？</w:t>
      </w:r>
    </w:p>
    <w:p>
      <w:pPr>
        <w:spacing w:after="60"/>
        <w:ind w:left="418" w:hanging="418"/>
        <w:numPr>
          <w:ilvl w:val="0"/>
          <w:numId w:val="1"/>
        </w:numPr>
      </w:pPr>
      <w:r>
        <w:rPr>
          <w:rFonts w:ascii="微软雅黑" w:hAnsi="微软雅黑" w:eastAsia="微软雅黑" w:cs="微软雅黑"/>
          <w:sz w:val="21"/>
        </w:rPr>
        <w:t>正常无差异订单能否回团后第N天自动结算，哪些异常必须冻结？</w:t>
      </w:r>
    </w:p>
    <w:p>
      <w:pPr>
        <w:spacing w:after="60"/>
        <w:ind w:left="418" w:hanging="418"/>
        <w:numPr>
          <w:ilvl w:val="0"/>
          <w:numId w:val="1"/>
        </w:numPr>
      </w:pPr>
      <w:r>
        <w:rPr>
          <w:rFonts w:ascii="微软雅黑" w:hAnsi="微软雅黑" w:eastAsia="微软雅黑" w:cs="微软雅黑"/>
          <w:sz w:val="21"/>
        </w:rPr>
        <w:t>内部结算价8,000的定价依据、内部发票金额和开票日期如何确定？</w:t>
      </w:r>
    </w:p>
    <w:p>
      <w:pPr>
        <w:spacing w:after="60"/>
        <w:ind w:left="418" w:hanging="418"/>
        <w:numPr>
          <w:ilvl w:val="0"/>
          <w:numId w:val="1"/>
        </w:numPr>
      </w:pPr>
      <w:r>
        <w:rPr>
          <w:rFonts w:ascii="微软雅黑" w:hAnsi="微软雅黑" w:eastAsia="微软雅黑" w:cs="微软雅黑"/>
          <w:sz w:val="21"/>
        </w:rPr>
        <w:t>采购返还240的会计和发票口径是什么？</w:t>
      </w:r>
    </w:p>
    <w:p>
      <w:pPr>
        <w:spacing w:after="60"/>
        <w:ind w:left="418" w:hanging="418"/>
        <w:numPr>
          <w:ilvl w:val="0"/>
          <w:numId w:val="1"/>
        </w:numPr>
      </w:pPr>
      <w:r>
        <w:rPr>
          <w:rFonts w:ascii="微软雅黑" w:hAnsi="微软雅黑" w:eastAsia="微软雅黑" w:cs="微软雅黑"/>
          <w:sz w:val="21"/>
        </w:rPr>
        <w:t>两法人NC凭证如何共享内部往来关联信息并保证同期间抵销？</w:t>
      </w:r>
    </w:p>
    <w:p>
      <w:pPr/>
      <w:r>
        <w:br w:type="page"/>
      </w:r>
    </w:p>
    <w:p>
      <w:pPr>
        <w:pStyle w:val="dingding-heading2"/>
        <w:keepNext/>
        <w:keepLines/>
      </w:pPr>
      <w:r>
        <w:rPr>
          <w:rFonts w:ascii="微软雅黑" w:hAnsi="微软雅黑" w:eastAsia="微软雅黑" w:cs="微软雅黑"/>
        </w:rPr>
        <w:t>案例4：OTA平台月结、退款、佣金、补贴和净额到账</w:t>
      </w:r>
    </w:p>
    <w:p>
      <w:pPr>
        <w:pStyle w:val="dingding_quote"/>
        <w:spacing w:before="80" w:after="200" w:line="288" w:lineRule="auto"/>
      </w:pPr>
      <w:r>
        <w:rPr>
          <w:rFonts w:ascii="微软雅黑" w:hAnsi="微软雅黑" w:eastAsia="微软雅黑" w:cs="微软雅黑"/>
          <w:b/>
          <w:color w:val="A0A0A0"/>
          <w:sz w:val="21"/>
        </w:rPr>
        <w:t>场景定位：</w:t>
      </w:r>
      <w:r>
        <w:rPr>
          <w:rFonts w:ascii="微软雅黑" w:hAnsi="微软雅黑" w:eastAsia="微软雅黑" w:cs="微软雅黑"/>
          <w:b w:val="0"/>
          <w:color w:val="A0A0A0"/>
          <w:sz w:val="21"/>
        </w:rPr>
        <w:t>OTA代收 × 月结账单 × 订单退款先抵扣 × 平台佣金和活动补贴 × 净额打款</w:t>
      </w:r>
      <w:r>
        <w:br/>
      </w:r>
      <w:r>
        <w:rPr>
          <w:rFonts w:ascii="微软雅黑" w:hAnsi="微软雅黑" w:eastAsia="微软雅黑" w:cs="微软雅黑"/>
          <w:b/>
          <w:color w:val="A0A0A0"/>
          <w:sz w:val="21"/>
        </w:rPr>
        <w:t>验证重点：</w:t>
      </w:r>
      <w:r>
        <w:rPr>
          <w:rFonts w:ascii="微软雅黑" w:hAnsi="微软雅黑" w:eastAsia="微软雅黑" w:cs="微软雅黑"/>
          <w:b w:val="0"/>
          <w:color w:val="A0A0A0"/>
          <w:sz w:val="21"/>
        </w:rPr>
        <w:t>平台净到账9,500如何反算到有效交易10,000；退款2,000不能再重复出款</w:t>
      </w:r>
      <w:r>
        <w:br/>
      </w:r>
      <w:r>
        <w:rPr>
          <w:rFonts w:ascii="微软雅黑" w:hAnsi="微软雅黑" w:eastAsia="微软雅黑" w:cs="微软雅黑"/>
          <w:b/>
          <w:color w:val="A0A0A0"/>
          <w:sz w:val="21"/>
        </w:rPr>
        <w:t>金额说明：</w:t>
      </w:r>
      <w:r>
        <w:rPr>
          <w:rFonts w:ascii="微软雅黑" w:hAnsi="微软雅黑" w:eastAsia="微软雅黑" w:cs="微软雅黑"/>
          <w:b w:val="0"/>
          <w:color w:val="A0A0A0"/>
          <w:sz w:val="21"/>
        </w:rPr>
        <w:t>以下均为含税业务金额；收入时点、税额、发票和正式会计科目以财务确认结论为准。</w:t>
      </w:r>
    </w:p>
    <w:p>
      <w:pPr>
        <w:pStyle w:val="dingding-heading3"/>
        <w:keepNext/>
        <w:keepLines/>
      </w:pPr>
      <w:r>
        <w:rPr>
          <w:rFonts w:ascii="微软雅黑" w:hAnsi="微软雅黑" w:eastAsia="微软雅黑" w:cs="微软雅黑"/>
        </w:rPr>
        <w:t>1. 业务场景设定</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2500"/>
        <w:gridCol w:w="8720"/>
      </w:tblGrid>
      <w:tr>
        <w:trPr>
          <w:tblHeader w:val="true"/>
        </w:trPr>
        <w:tc>
          <w:tcPr>
            <w:tcW w:type="dxa" w:w="2500"/>
            <w:shd w:val="clear" w:color="auto" w:fill="F5F6F7"/>
            <w:vAlign w:val="center"/>
          </w:tcPr>
          <w:p>
            <w:pPr>
              <w:spacing w:after="0"/>
              <w:jc w:val="center"/>
            </w:pPr>
            <w:r>
              <w:rPr>
                <w:rFonts w:ascii="微软雅黑" w:hAnsi="微软雅黑" w:eastAsia="微软雅黑" w:cs="微软雅黑"/>
                <w:b/>
                <w:sz w:val="19"/>
              </w:rPr>
              <w:t>项目</w:t>
            </w:r>
          </w:p>
        </w:tc>
        <w:tc>
          <w:tcPr>
            <w:tcW w:type="dxa" w:w="8720"/>
            <w:shd w:val="clear" w:color="auto" w:fill="F5F6F7"/>
            <w:vAlign w:val="center"/>
          </w:tcPr>
          <w:p>
            <w:pPr>
              <w:spacing w:after="0"/>
              <w:jc w:val="center"/>
            </w:pPr>
            <w:r>
              <w:rPr>
                <w:rFonts w:ascii="微软雅黑" w:hAnsi="微软雅黑" w:eastAsia="微软雅黑" w:cs="微软雅黑"/>
                <w:b/>
                <w:sz w:val="19"/>
              </w:rPr>
              <w:t>内容</w:t>
            </w:r>
          </w:p>
        </w:tc>
      </w:tr>
      <w:tr>
        <w:tc>
          <w:tcPr>
            <w:tcW w:type="dxa" w:w="25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9"/>
              </w:rPr>
              <w:t>销售公司</w:t>
            </w:r>
          </w:p>
        </w:tc>
        <w:tc>
          <w:tcPr>
            <w:tcW w:type="dxa" w:w="87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9"/>
              </w:rPr>
              <w:t>北京凯撒旅行社有限公司</w:t>
            </w:r>
          </w:p>
        </w:tc>
      </w:tr>
      <w:tr>
        <w:tc>
          <w:tcPr>
            <w:tcW w:type="dxa" w:w="25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9"/>
              </w:rPr>
              <w:t>渠道</w:t>
            </w:r>
          </w:p>
        </w:tc>
        <w:tc>
          <w:tcPr>
            <w:tcW w:type="dxa" w:w="87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9"/>
              </w:rPr>
              <w:t>某OTA平台代收并按月结算</w:t>
            </w:r>
          </w:p>
        </w:tc>
      </w:tr>
      <w:tr>
        <w:tc>
          <w:tcPr>
            <w:tcW w:type="dxa" w:w="25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9"/>
              </w:rPr>
              <w:t>订单</w:t>
            </w:r>
          </w:p>
        </w:tc>
        <w:tc>
          <w:tcPr>
            <w:tcW w:type="dxa" w:w="872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9"/>
              </w:rPr>
              <w:t>两张订单合计12,000；结算前一张退款2,000；有效交易10,000</w:t>
            </w:r>
          </w:p>
        </w:tc>
      </w:tr>
      <w:tr>
        <w:tc>
          <w:tcPr>
            <w:tcW w:type="dxa" w:w="25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9"/>
              </w:rPr>
              <w:t>平台费用</w:t>
            </w:r>
          </w:p>
        </w:tc>
        <w:tc>
          <w:tcPr>
            <w:tcW w:type="dxa" w:w="872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9"/>
              </w:rPr>
              <w:t>佣金8%=800；平台承担活动补贴300</w:t>
            </w:r>
          </w:p>
        </w:tc>
      </w:tr>
      <w:tr>
        <w:tc>
          <w:tcPr>
            <w:tcW w:type="dxa" w:w="25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9"/>
              </w:rPr>
              <w:t>平台打款</w:t>
            </w:r>
          </w:p>
        </w:tc>
        <w:tc>
          <w:tcPr>
            <w:tcW w:type="dxa" w:w="872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9"/>
              </w:rPr>
              <w:t>10,000－800＋300=9,500</w:t>
            </w:r>
          </w:p>
        </w:tc>
      </w:tr>
      <w:tr>
        <w:tc>
          <w:tcPr>
            <w:tcW w:type="dxa" w:w="25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9"/>
              </w:rPr>
              <w:t>产品实际成本</w:t>
            </w:r>
          </w:p>
        </w:tc>
        <w:tc>
          <w:tcPr>
            <w:tcW w:type="dxa" w:w="872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9"/>
              </w:rPr>
              <w:t>7,000；案例假设北京为主要责任方</w:t>
            </w:r>
          </w:p>
        </w:tc>
      </w:tr>
    </w:tbl>
    <w:p>
      <w:pPr>
        <w:spacing w:after="40"/>
      </w:pPr>
    </w:p>
    <w:p>
      <w:pPr>
        <w:pStyle w:val="dingding-heading3"/>
        <w:keepNext/>
        <w:keepLines/>
      </w:pPr>
      <w:r>
        <w:rPr>
          <w:rFonts w:ascii="微软雅黑" w:hAnsi="微软雅黑" w:eastAsia="微软雅黑" w:cs="微软雅黑"/>
        </w:rPr>
        <w:t>2. 参与方和财务责任</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2600"/>
        <w:gridCol w:w="3300"/>
        <w:gridCol w:w="5320"/>
      </w:tblGrid>
      <w:tr>
        <w:trPr>
          <w:tblHeader w:val="true"/>
        </w:trPr>
        <w:tc>
          <w:tcPr>
            <w:tcW w:type="dxa" w:w="2600"/>
            <w:shd w:val="clear" w:color="auto" w:fill="F5F6F7"/>
            <w:vAlign w:val="center"/>
          </w:tcPr>
          <w:p>
            <w:pPr>
              <w:spacing w:after="0"/>
              <w:jc w:val="center"/>
            </w:pPr>
            <w:r>
              <w:rPr>
                <w:rFonts w:ascii="微软雅黑" w:hAnsi="微软雅黑" w:eastAsia="微软雅黑" w:cs="微软雅黑"/>
                <w:b/>
                <w:sz w:val="17"/>
              </w:rPr>
              <w:t>责任</w:t>
            </w:r>
          </w:p>
        </w:tc>
        <w:tc>
          <w:tcPr>
            <w:tcW w:type="dxa" w:w="3300"/>
            <w:shd w:val="clear" w:color="auto" w:fill="F5F6F7"/>
            <w:vAlign w:val="center"/>
          </w:tcPr>
          <w:p>
            <w:pPr>
              <w:spacing w:after="0"/>
              <w:jc w:val="center"/>
            </w:pPr>
            <w:r>
              <w:rPr>
                <w:rFonts w:ascii="微软雅黑" w:hAnsi="微软雅黑" w:eastAsia="微软雅黑" w:cs="微软雅黑"/>
                <w:b/>
                <w:sz w:val="17"/>
              </w:rPr>
              <w:t>承担方</w:t>
            </w:r>
          </w:p>
        </w:tc>
        <w:tc>
          <w:tcPr>
            <w:tcW w:type="dxa" w:w="5320"/>
            <w:shd w:val="clear" w:color="auto" w:fill="F5F6F7"/>
            <w:vAlign w:val="center"/>
          </w:tcPr>
          <w:p>
            <w:pPr>
              <w:spacing w:after="0"/>
              <w:jc w:val="center"/>
            </w:pPr>
            <w:r>
              <w:rPr>
                <w:rFonts w:ascii="微软雅黑" w:hAnsi="微软雅黑" w:eastAsia="微软雅黑" w:cs="微软雅黑"/>
                <w:b/>
                <w:sz w:val="17"/>
              </w:rPr>
              <w:t>判断依据</w:t>
            </w:r>
          </w:p>
        </w:tc>
      </w:tr>
      <w:tr>
        <w:tc>
          <w:tcPr>
            <w:tcW w:type="dxa" w:w="26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对客交易和履约</w:t>
            </w:r>
          </w:p>
        </w:tc>
        <w:tc>
          <w:tcPr>
            <w:tcW w:type="dxa" w:w="33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北京公司</w:t>
            </w:r>
          </w:p>
        </w:tc>
        <w:tc>
          <w:tcPr>
            <w:tcW w:type="dxa" w:w="53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平台订单、客户规则和履约责任</w:t>
            </w:r>
          </w:p>
        </w:tc>
      </w:tr>
      <w:tr>
        <w:tc>
          <w:tcPr>
            <w:tcW w:type="dxa" w:w="26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客户资金代收</w:t>
            </w:r>
          </w:p>
        </w:tc>
        <w:tc>
          <w:tcPr>
            <w:tcW w:type="dxa" w:w="33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OTA平台</w:t>
            </w:r>
          </w:p>
        </w:tc>
        <w:tc>
          <w:tcPr>
            <w:tcW w:type="dxa" w:w="53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平台代收协议和支付记录</w:t>
            </w:r>
          </w:p>
        </w:tc>
      </w:tr>
      <w:tr>
        <w:tc>
          <w:tcPr>
            <w:tcW w:type="dxa" w:w="26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退款执行</w:t>
            </w:r>
          </w:p>
        </w:tc>
        <w:tc>
          <w:tcPr>
            <w:tcW w:type="dxa" w:w="33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OTA平台（示例）</w:t>
            </w:r>
          </w:p>
        </w:tc>
        <w:tc>
          <w:tcPr>
            <w:tcW w:type="dxa" w:w="532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7"/>
              </w:rPr>
              <w:t>结算前已向客户退2,000并在账单扣除</w:t>
            </w:r>
          </w:p>
        </w:tc>
      </w:tr>
      <w:tr>
        <w:tc>
          <w:tcPr>
            <w:tcW w:type="dxa" w:w="26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平台佣金和补贴</w:t>
            </w:r>
          </w:p>
        </w:tc>
        <w:tc>
          <w:tcPr>
            <w:tcW w:type="dxa" w:w="33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平台与北京公司</w:t>
            </w:r>
          </w:p>
        </w:tc>
        <w:tc>
          <w:tcPr>
            <w:tcW w:type="dxa" w:w="53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月结账单、佣金发票和活动协议</w:t>
            </w:r>
          </w:p>
        </w:tc>
      </w:tr>
      <w:tr>
        <w:tc>
          <w:tcPr>
            <w:tcW w:type="dxa" w:w="26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收入成本和NC</w:t>
            </w:r>
          </w:p>
        </w:tc>
        <w:tc>
          <w:tcPr>
            <w:tcW w:type="dxa" w:w="33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北京公司</w:t>
            </w:r>
          </w:p>
        </w:tc>
        <w:tc>
          <w:tcPr>
            <w:tcW w:type="dxa" w:w="53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有效订单、履约和平台结算单</w:t>
            </w:r>
          </w:p>
        </w:tc>
      </w:tr>
    </w:tbl>
    <w:p>
      <w:pPr>
        <w:spacing w:after="40"/>
      </w:pPr>
    </w:p>
    <w:p>
      <w:pPr>
        <w:pStyle w:val="dingding-heading3"/>
        <w:keepNext/>
        <w:keepLines/>
      </w:pPr>
      <w:r>
        <w:rPr>
          <w:rFonts w:ascii="微软雅黑" w:hAnsi="微软雅黑" w:eastAsia="微软雅黑" w:cs="微软雅黑"/>
        </w:rPr>
        <w:t>3. 完整价格和金额拆解</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3000"/>
        <w:gridCol w:w="3100"/>
        <w:gridCol w:w="1700"/>
        <w:gridCol w:w="3420"/>
      </w:tblGrid>
      <w:tr>
        <w:trPr>
          <w:tblHeader w:val="true"/>
        </w:trPr>
        <w:tc>
          <w:tcPr>
            <w:tcW w:type="dxa" w:w="3000"/>
            <w:shd w:val="clear" w:color="auto" w:fill="F5F6F7"/>
            <w:vAlign w:val="center"/>
          </w:tcPr>
          <w:p>
            <w:pPr>
              <w:spacing w:after="0"/>
              <w:jc w:val="center"/>
            </w:pPr>
            <w:r>
              <w:rPr>
                <w:rFonts w:ascii="微软雅黑" w:hAnsi="微软雅黑" w:eastAsia="微软雅黑" w:cs="微软雅黑"/>
                <w:b/>
                <w:sz w:val="17"/>
              </w:rPr>
              <w:t>金额项目</w:t>
            </w:r>
          </w:p>
        </w:tc>
        <w:tc>
          <w:tcPr>
            <w:tcW w:type="dxa" w:w="3100"/>
            <w:shd w:val="clear" w:color="auto" w:fill="F5F6F7"/>
            <w:vAlign w:val="center"/>
          </w:tcPr>
          <w:p>
            <w:pPr>
              <w:spacing w:after="0"/>
              <w:jc w:val="center"/>
            </w:pPr>
            <w:r>
              <w:rPr>
                <w:rFonts w:ascii="微软雅黑" w:hAnsi="微软雅黑" w:eastAsia="微软雅黑" w:cs="微软雅黑"/>
                <w:b/>
                <w:sz w:val="17"/>
              </w:rPr>
              <w:t>计算</w:t>
            </w:r>
          </w:p>
        </w:tc>
        <w:tc>
          <w:tcPr>
            <w:tcW w:type="dxa" w:w="1700"/>
            <w:shd w:val="clear" w:color="auto" w:fill="F5F6F7"/>
            <w:vAlign w:val="center"/>
          </w:tcPr>
          <w:p>
            <w:pPr>
              <w:spacing w:after="0"/>
              <w:jc w:val="center"/>
            </w:pPr>
            <w:r>
              <w:rPr>
                <w:rFonts w:ascii="微软雅黑" w:hAnsi="微软雅黑" w:eastAsia="微软雅黑" w:cs="微软雅黑"/>
                <w:b/>
                <w:sz w:val="17"/>
              </w:rPr>
              <w:t>金额</w:t>
            </w:r>
          </w:p>
        </w:tc>
        <w:tc>
          <w:tcPr>
            <w:tcW w:type="dxa" w:w="3420"/>
            <w:shd w:val="clear" w:color="auto" w:fill="F5F6F7"/>
            <w:vAlign w:val="center"/>
          </w:tcPr>
          <w:p>
            <w:pPr>
              <w:spacing w:after="0"/>
              <w:jc w:val="center"/>
            </w:pPr>
            <w:r>
              <w:rPr>
                <w:rFonts w:ascii="微软雅黑" w:hAnsi="微软雅黑" w:eastAsia="微软雅黑" w:cs="微软雅黑"/>
                <w:b/>
                <w:sz w:val="17"/>
              </w:rPr>
              <w:t>最终去向</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原订单总额</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两单合计</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12,000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原始订单</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结算前退款</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已实际退客户</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2,000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减少有效交易</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有效交易</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12,000－2,000</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10,000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收入/渠道应收基础</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平台佣金</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10,000×8%</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800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渠道费用或净额扣减</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平台补贴</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平台承担</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300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其他收入或冲减佣金，二选一</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平台净打款</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10,000－800＋300</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9,500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北京银行到账</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产品成本</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实际履约</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7,000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北京成本</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经营结果</w:t>
            </w:r>
          </w:p>
        </w:tc>
        <w:tc>
          <w:tcPr>
            <w:tcW w:type="dxa" w:w="31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7"/>
              </w:rPr>
              <w:t>10,000－7,000－800＋300</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2,500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北京结果</w:t>
            </w:r>
          </w:p>
        </w:tc>
      </w:tr>
    </w:tbl>
    <w:p>
      <w:pPr>
        <w:spacing w:after="40"/>
      </w:pPr>
    </w:p>
    <w:p>
      <w:pPr>
        <w:pStyle w:val="dingding-heading3"/>
        <w:keepNext/>
        <w:keepLines/>
      </w:pPr>
      <w:r>
        <w:rPr>
          <w:rFonts w:ascii="微软雅黑" w:hAnsi="微软雅黑" w:eastAsia="微软雅黑" w:cs="微软雅黑"/>
        </w:rPr>
        <w:t>4. 交易、债权债务和实际资金</w:t>
      </w:r>
    </w:p>
    <w:p>
      <w:pPr>
        <w:pStyle w:val="dingding_code"/>
        <w:spacing w:before="80" w:after="200" w:lineRule="exact" w:line="252"/>
        <w:ind w:left="115" w:right="115"/>
        <w:shd w:val="clear" w:fill="F2F3F5"/>
      </w:pPr>
      <w:r>
        <w:rPr>
          <w:rFonts w:ascii="Menlo" w:hAnsi="Menlo" w:eastAsia="Menlo" w:cs="Menlo"/>
          <w:sz w:val="17"/>
        </w:rPr>
        <w:t>客户付款12,000 → OTA平台</w:t>
        <w:br/>
        <w:t>OTA已向客户退款2,000 → 有效交易10,000</w:t>
        <w:br/>
        <w:t>OTA结算：有效交易10,000 - 佣金800 + 平台补贴300 = 向北京净打款9,500</w:t>
        <w:br/>
        <w:t>北京向供应商支付7,000</w:t>
        <w:br/>
        <w:br/>
        <w:t>退款2,000已由平台在结算前执行，北京不得再次生成一笔客户银行退款。</w:t>
      </w:r>
    </w:p>
    <w:p>
      <w:pPr>
        <w:pStyle w:val="dingding-heading3"/>
        <w:keepNext/>
        <w:keepLines/>
      </w:pPr>
      <w:r>
        <w:rPr>
          <w:rFonts w:ascii="微软雅黑" w:hAnsi="微软雅黑" w:eastAsia="微软雅黑" w:cs="微软雅黑"/>
        </w:rPr>
        <w:t>5. 分阶段业务与财务变化</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1550"/>
        <w:gridCol w:w="2600"/>
        <w:gridCol w:w="3200"/>
        <w:gridCol w:w="1600"/>
        <w:gridCol w:w="2270"/>
      </w:tblGrid>
      <w:tr>
        <w:trPr>
          <w:tblHeader w:val="true"/>
        </w:trPr>
        <w:tc>
          <w:tcPr>
            <w:tcW w:type="dxa" w:w="1550"/>
            <w:shd w:val="clear" w:color="auto" w:fill="F5F6F7"/>
            <w:vAlign w:val="center"/>
          </w:tcPr>
          <w:p>
            <w:pPr>
              <w:spacing w:after="0"/>
              <w:jc w:val="center"/>
            </w:pPr>
            <w:r>
              <w:rPr>
                <w:rFonts w:ascii="微软雅黑" w:hAnsi="微软雅黑" w:eastAsia="微软雅黑" w:cs="微软雅黑"/>
                <w:b/>
                <w:sz w:val="16"/>
              </w:rPr>
              <w:t>阶段</w:t>
            </w:r>
          </w:p>
        </w:tc>
        <w:tc>
          <w:tcPr>
            <w:tcW w:type="dxa" w:w="2600"/>
            <w:shd w:val="clear" w:color="auto" w:fill="F5F6F7"/>
            <w:vAlign w:val="center"/>
          </w:tcPr>
          <w:p>
            <w:pPr>
              <w:spacing w:after="0"/>
              <w:jc w:val="center"/>
            </w:pPr>
            <w:r>
              <w:rPr>
                <w:rFonts w:ascii="微软雅黑" w:hAnsi="微软雅黑" w:eastAsia="微软雅黑" w:cs="微软雅黑"/>
                <w:b/>
                <w:sz w:val="16"/>
              </w:rPr>
              <w:t>业务事实</w:t>
            </w:r>
          </w:p>
        </w:tc>
        <w:tc>
          <w:tcPr>
            <w:tcW w:type="dxa" w:w="3200"/>
            <w:shd w:val="clear" w:color="auto" w:fill="F5F6F7"/>
            <w:vAlign w:val="center"/>
          </w:tcPr>
          <w:p>
            <w:pPr>
              <w:spacing w:after="0"/>
              <w:jc w:val="center"/>
            </w:pPr>
            <w:r>
              <w:rPr>
                <w:rFonts w:ascii="微软雅黑" w:hAnsi="微软雅黑" w:eastAsia="微软雅黑" w:cs="微软雅黑"/>
                <w:b/>
                <w:sz w:val="16"/>
              </w:rPr>
              <w:t>记录和余额变化</w:t>
            </w:r>
          </w:p>
        </w:tc>
        <w:tc>
          <w:tcPr>
            <w:tcW w:type="dxa" w:w="1600"/>
            <w:shd w:val="clear" w:color="auto" w:fill="F5F6F7"/>
            <w:vAlign w:val="center"/>
          </w:tcPr>
          <w:p>
            <w:pPr>
              <w:spacing w:after="0"/>
              <w:jc w:val="center"/>
            </w:pPr>
            <w:r>
              <w:rPr>
                <w:rFonts w:ascii="微软雅黑" w:hAnsi="微软雅黑" w:eastAsia="微软雅黑" w:cs="微软雅黑"/>
                <w:b/>
                <w:sz w:val="16"/>
              </w:rPr>
              <w:t>实际资金</w:t>
            </w:r>
          </w:p>
        </w:tc>
        <w:tc>
          <w:tcPr>
            <w:tcW w:type="dxa" w:w="2270"/>
            <w:shd w:val="clear" w:color="auto" w:fill="F5F6F7"/>
            <w:vAlign w:val="center"/>
          </w:tcPr>
          <w:p>
            <w:pPr>
              <w:spacing w:after="0"/>
              <w:jc w:val="center"/>
            </w:pPr>
            <w:r>
              <w:rPr>
                <w:rFonts w:ascii="微软雅黑" w:hAnsi="微软雅黑" w:eastAsia="微软雅黑" w:cs="微软雅黑"/>
                <w:b/>
                <w:sz w:val="16"/>
              </w:rPr>
              <w:t>会计及NC状态</w:t>
            </w:r>
          </w:p>
        </w:tc>
      </w:tr>
      <w:tr>
        <w:tc>
          <w:tcPr>
            <w:tcW w:type="dxa" w:w="155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平台订单</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平台回传12,000订单</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形成订单和渠道应收候选</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平台代收</w:t>
            </w:r>
          </w:p>
        </w:tc>
        <w:tc>
          <w:tcPr>
            <w:tcW w:type="dxa" w:w="227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是否形成会计应收按合同</w:t>
            </w:r>
          </w:p>
        </w:tc>
      </w:tr>
      <w:tr>
        <w:tc>
          <w:tcPr>
            <w:tcW w:type="dxa" w:w="155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结算前退款</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平台已退2,000</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原订单和应收减少；保留退款记录</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平台－2,000</w:t>
            </w:r>
          </w:p>
        </w:tc>
        <w:tc>
          <w:tcPr>
            <w:tcW w:type="dxa" w:w="227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退款/收入调整事项</w:t>
            </w:r>
          </w:p>
        </w:tc>
      </w:tr>
      <w:tr>
        <w:tc>
          <w:tcPr>
            <w:tcW w:type="dxa" w:w="155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月结账单</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确认有效交易、佣金、补贴</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渠道应收9,500及费用/补贴明细</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0</w:t>
            </w:r>
          </w:p>
        </w:tc>
        <w:tc>
          <w:tcPr>
            <w:tcW w:type="dxa" w:w="227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对账完成后生效</w:t>
            </w:r>
          </w:p>
        </w:tc>
      </w:tr>
      <w:tr>
        <w:tc>
          <w:tcPr>
            <w:tcW w:type="dxa" w:w="155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平台打款</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净付9,500</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渠道应收核销</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+9,500</w:t>
            </w:r>
          </w:p>
        </w:tc>
        <w:tc>
          <w:tcPr>
            <w:tcW w:type="dxa" w:w="227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真实到账形成收款</w:t>
            </w:r>
          </w:p>
        </w:tc>
      </w:tr>
      <w:tr>
        <w:tc>
          <w:tcPr>
            <w:tcW w:type="dxa" w:w="155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履约结算</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有效订单完成</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收入10,000、成本7,000</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供应商付款另行</w:t>
            </w:r>
          </w:p>
        </w:tc>
        <w:tc>
          <w:tcPr>
            <w:tcW w:type="dxa" w:w="227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按履约政策推送NC</w:t>
            </w:r>
          </w:p>
        </w:tc>
      </w:tr>
      <w:tr>
        <w:tc>
          <w:tcPr>
            <w:tcW w:type="dxa" w:w="155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期末对账</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订单、账单、资金三方对清</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未匹配订单和差异均0</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0</w:t>
            </w:r>
          </w:p>
        </w:tc>
        <w:tc>
          <w:tcPr>
            <w:tcW w:type="dxa" w:w="227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失败任务单独处理</w:t>
            </w:r>
          </w:p>
        </w:tc>
      </w:tr>
    </w:tbl>
    <w:p>
      <w:pPr>
        <w:spacing w:after="40"/>
      </w:pPr>
    </w:p>
    <w:p>
      <w:pPr>
        <w:pStyle w:val="dingding-heading3"/>
        <w:keepNext/>
        <w:keepLines/>
      </w:pPr>
      <w:r>
        <w:rPr>
          <w:rFonts w:ascii="微软雅黑" w:hAnsi="微软雅黑" w:eastAsia="微软雅黑" w:cs="微软雅黑"/>
        </w:rPr>
        <w:t>6. 余额、结果和反算</w:t>
      </w:r>
    </w:p>
    <w:p>
      <w:pPr>
        <w:pStyle w:val="dingding_code"/>
        <w:spacing w:before="80" w:after="200" w:lineRule="exact" w:line="254"/>
        <w:ind w:left="115" w:right="115"/>
        <w:shd w:val="clear" w:fill="F2F3F5"/>
      </w:pPr>
      <w:r>
        <w:rPr>
          <w:rFonts w:ascii="Menlo" w:hAnsi="Menlo" w:eastAsia="Menlo" w:cs="Menlo"/>
          <w:sz w:val="17"/>
        </w:rPr>
        <w:t>有效交易：12,000 - 2,000 = 10,000</w:t>
        <w:br/>
        <w:t>平台应结：10,000 - 800 + 300 = 9,500</w:t>
        <w:br/>
        <w:t>经营结果：10,000 - 7,000 - 800 + 300 = 2,500</w:t>
        <w:br/>
        <w:t>资金（假设供应商已付）：9,500 - 7,000 = 2,500</w:t>
        <w:br/>
        <w:br/>
        <w:t>若补贴300冲减佣金，则净佣金500，结果仍为2,500；</w:t>
        <w:br/>
        <w:t>若补贴作为独立收入，收入展示不同但不得再次增加渠道应收。</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2800"/>
        <w:gridCol w:w="2500"/>
        <w:gridCol w:w="3000"/>
        <w:gridCol w:w="2920"/>
      </w:tblGrid>
      <w:tr>
        <w:trPr>
          <w:tblHeader w:val="true"/>
        </w:trPr>
        <w:tc>
          <w:tcPr>
            <w:tcW w:type="dxa" w:w="2800"/>
            <w:shd w:val="clear" w:color="auto" w:fill="F5F6F7"/>
            <w:vAlign w:val="center"/>
          </w:tcPr>
          <w:p>
            <w:pPr>
              <w:spacing w:after="0"/>
              <w:jc w:val="center"/>
            </w:pPr>
            <w:r>
              <w:rPr>
                <w:rFonts w:ascii="微软雅黑" w:hAnsi="微软雅黑" w:eastAsia="微软雅黑" w:cs="微软雅黑"/>
                <w:b/>
                <w:sz w:val="17"/>
              </w:rPr>
              <w:t>观察层次</w:t>
            </w:r>
          </w:p>
        </w:tc>
        <w:tc>
          <w:tcPr>
            <w:tcW w:type="dxa" w:w="2500"/>
            <w:shd w:val="clear" w:color="auto" w:fill="F5F6F7"/>
            <w:vAlign w:val="center"/>
          </w:tcPr>
          <w:p>
            <w:pPr>
              <w:spacing w:after="0"/>
              <w:jc w:val="center"/>
            </w:pPr>
            <w:r>
              <w:rPr>
                <w:rFonts w:ascii="微软雅黑" w:hAnsi="微软雅黑" w:eastAsia="微软雅黑" w:cs="微软雅黑"/>
                <w:b/>
                <w:sz w:val="17"/>
              </w:rPr>
              <w:t>收入/流入</w:t>
            </w:r>
          </w:p>
        </w:tc>
        <w:tc>
          <w:tcPr>
            <w:tcW w:type="dxa" w:w="3000"/>
            <w:shd w:val="clear" w:color="auto" w:fill="F5F6F7"/>
            <w:vAlign w:val="center"/>
          </w:tcPr>
          <w:p>
            <w:pPr>
              <w:spacing w:after="0"/>
              <w:jc w:val="center"/>
            </w:pPr>
            <w:r>
              <w:rPr>
                <w:rFonts w:ascii="微软雅黑" w:hAnsi="微软雅黑" w:eastAsia="微软雅黑" w:cs="微软雅黑"/>
                <w:b/>
                <w:sz w:val="17"/>
              </w:rPr>
              <w:t>成本费用/流出</w:t>
            </w:r>
          </w:p>
        </w:tc>
        <w:tc>
          <w:tcPr>
            <w:tcW w:type="dxa" w:w="2920"/>
            <w:shd w:val="clear" w:color="auto" w:fill="F5F6F7"/>
            <w:vAlign w:val="center"/>
          </w:tcPr>
          <w:p>
            <w:pPr>
              <w:spacing w:after="0"/>
              <w:jc w:val="center"/>
            </w:pPr>
            <w:r>
              <w:rPr>
                <w:rFonts w:ascii="微软雅黑" w:hAnsi="微软雅黑" w:eastAsia="微软雅黑" w:cs="微软雅黑"/>
                <w:b/>
                <w:sz w:val="17"/>
              </w:rPr>
              <w:t>结果或余额</w:t>
            </w:r>
          </w:p>
        </w:tc>
      </w:tr>
      <w:tr>
        <w:tc>
          <w:tcPr>
            <w:tcW w:type="dxa" w:w="28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北京公司</w:t>
            </w:r>
          </w:p>
        </w:tc>
        <w:tc>
          <w:tcPr>
            <w:tcW w:type="dxa" w:w="25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7"/>
              </w:rPr>
              <w:t>有效交易10,000＋补贴300（若独立）</w:t>
            </w:r>
          </w:p>
        </w:tc>
        <w:tc>
          <w:tcPr>
            <w:tcW w:type="dxa" w:w="30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产品成本7,000＋佣金800</w:t>
            </w:r>
          </w:p>
        </w:tc>
        <w:tc>
          <w:tcPr>
            <w:tcW w:type="dxa" w:w="29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2,500</w:t>
            </w:r>
          </w:p>
        </w:tc>
      </w:tr>
      <w:tr>
        <w:tc>
          <w:tcPr>
            <w:tcW w:type="dxa" w:w="28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平台往来</w:t>
            </w:r>
          </w:p>
        </w:tc>
        <w:tc>
          <w:tcPr>
            <w:tcW w:type="dxa" w:w="2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应结9,500</w:t>
            </w:r>
          </w:p>
        </w:tc>
        <w:tc>
          <w:tcPr>
            <w:tcW w:type="dxa" w:w="30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到账9,500</w:t>
            </w:r>
          </w:p>
        </w:tc>
        <w:tc>
          <w:tcPr>
            <w:tcW w:type="dxa" w:w="29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余额0</w:t>
            </w:r>
          </w:p>
        </w:tc>
      </w:tr>
      <w:tr>
        <w:tc>
          <w:tcPr>
            <w:tcW w:type="dxa" w:w="28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客户退款</w:t>
            </w:r>
          </w:p>
        </w:tc>
        <w:tc>
          <w:tcPr>
            <w:tcW w:type="dxa" w:w="2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原订单减少2,000</w:t>
            </w:r>
          </w:p>
        </w:tc>
        <w:tc>
          <w:tcPr>
            <w:tcW w:type="dxa" w:w="30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平台已实际退款</w:t>
            </w:r>
          </w:p>
        </w:tc>
        <w:tc>
          <w:tcPr>
            <w:tcW w:type="dxa" w:w="29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不重复出款</w:t>
            </w:r>
          </w:p>
        </w:tc>
      </w:tr>
      <w:tr>
        <w:tc>
          <w:tcPr>
            <w:tcW w:type="dxa" w:w="28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未决差异</w:t>
            </w:r>
          </w:p>
        </w:tc>
        <w:tc>
          <w:tcPr>
            <w:tcW w:type="dxa" w:w="2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未匹配订单0</w:t>
            </w:r>
          </w:p>
        </w:tc>
        <w:tc>
          <w:tcPr>
            <w:tcW w:type="dxa" w:w="30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账单差异0</w:t>
            </w:r>
          </w:p>
        </w:tc>
        <w:tc>
          <w:tcPr>
            <w:tcW w:type="dxa" w:w="29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允许结算</w:t>
            </w:r>
          </w:p>
        </w:tc>
      </w:tr>
    </w:tbl>
    <w:p>
      <w:pPr>
        <w:spacing w:after="40"/>
      </w:pPr>
    </w:p>
    <w:p>
      <w:pPr>
        <w:pStyle w:val="dingding-heading3"/>
        <w:keepNext/>
        <w:keepLines/>
      </w:pPr>
      <w:r>
        <w:rPr>
          <w:rFonts w:ascii="微软雅黑" w:hAnsi="微软雅黑" w:eastAsia="微软雅黑" w:cs="微软雅黑"/>
        </w:rPr>
        <w:t>7. 合同、业务、资金、发票和会计核对</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2300"/>
        <w:gridCol w:w="3200"/>
        <w:gridCol w:w="2700"/>
        <w:gridCol w:w="3020"/>
      </w:tblGrid>
      <w:tr>
        <w:trPr>
          <w:tblHeader w:val="true"/>
        </w:trPr>
        <w:tc>
          <w:tcPr>
            <w:tcW w:type="dxa" w:w="2300"/>
            <w:shd w:val="clear" w:color="auto" w:fill="F5F6F7"/>
            <w:vAlign w:val="center"/>
          </w:tcPr>
          <w:p>
            <w:pPr>
              <w:spacing w:after="0"/>
              <w:jc w:val="center"/>
            </w:pPr>
            <w:r>
              <w:rPr>
                <w:rFonts w:ascii="微软雅黑" w:hAnsi="微软雅黑" w:eastAsia="微软雅黑" w:cs="微软雅黑"/>
                <w:b/>
                <w:sz w:val="16"/>
              </w:rPr>
              <w:t>交易段</w:t>
            </w:r>
          </w:p>
        </w:tc>
        <w:tc>
          <w:tcPr>
            <w:tcW w:type="dxa" w:w="3200"/>
            <w:shd w:val="clear" w:color="auto" w:fill="F5F6F7"/>
            <w:vAlign w:val="center"/>
          </w:tcPr>
          <w:p>
            <w:pPr>
              <w:spacing w:after="0"/>
              <w:jc w:val="center"/>
            </w:pPr>
            <w:r>
              <w:rPr>
                <w:rFonts w:ascii="微软雅黑" w:hAnsi="微软雅黑" w:eastAsia="微软雅黑" w:cs="微软雅黑"/>
                <w:b/>
                <w:sz w:val="16"/>
              </w:rPr>
              <w:t>合同与业务</w:t>
            </w:r>
          </w:p>
        </w:tc>
        <w:tc>
          <w:tcPr>
            <w:tcW w:type="dxa" w:w="2700"/>
            <w:shd w:val="clear" w:color="auto" w:fill="F5F6F7"/>
            <w:vAlign w:val="center"/>
          </w:tcPr>
          <w:p>
            <w:pPr>
              <w:spacing w:after="0"/>
              <w:jc w:val="center"/>
            </w:pPr>
            <w:r>
              <w:rPr>
                <w:rFonts w:ascii="微软雅黑" w:hAnsi="微软雅黑" w:eastAsia="微软雅黑" w:cs="微软雅黑"/>
                <w:b/>
                <w:sz w:val="16"/>
              </w:rPr>
              <w:t>资金与发票</w:t>
            </w:r>
          </w:p>
        </w:tc>
        <w:tc>
          <w:tcPr>
            <w:tcW w:type="dxa" w:w="3020"/>
            <w:shd w:val="clear" w:color="auto" w:fill="F5F6F7"/>
            <w:vAlign w:val="center"/>
          </w:tcPr>
          <w:p>
            <w:pPr>
              <w:spacing w:after="0"/>
              <w:jc w:val="center"/>
            </w:pPr>
            <w:r>
              <w:rPr>
                <w:rFonts w:ascii="微软雅黑" w:hAnsi="微软雅黑" w:eastAsia="微软雅黑" w:cs="微软雅黑"/>
                <w:b/>
                <w:sz w:val="16"/>
              </w:rPr>
              <w:t>会计结果/差异解释</w:t>
            </w:r>
          </w:p>
        </w:tc>
      </w:tr>
      <w:tr>
        <w:tc>
          <w:tcPr>
            <w:tcW w:type="dxa" w:w="23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客户—北京</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平台订单承接北京产品</w:t>
            </w:r>
          </w:p>
        </w:tc>
        <w:tc>
          <w:tcPr>
            <w:tcW w:type="dxa" w:w="2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客户资金由平台代收；发票方向待确认</w:t>
            </w:r>
          </w:p>
        </w:tc>
        <w:tc>
          <w:tcPr>
            <w:tcW w:type="dxa" w:w="3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有效交易10,000</w:t>
            </w:r>
          </w:p>
        </w:tc>
      </w:tr>
      <w:tr>
        <w:tc>
          <w:tcPr>
            <w:tcW w:type="dxa" w:w="23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北京—平台</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佣金和补贴协议</w:t>
            </w:r>
          </w:p>
        </w:tc>
        <w:tc>
          <w:tcPr>
            <w:tcW w:type="dxa" w:w="2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平台净付9,500；佣金票据待确认</w:t>
            </w:r>
          </w:p>
        </w:tc>
        <w:tc>
          <w:tcPr>
            <w:tcW w:type="dxa" w:w="3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佣金800、补贴300分别承接</w:t>
            </w:r>
          </w:p>
        </w:tc>
      </w:tr>
      <w:tr>
        <w:tc>
          <w:tcPr>
            <w:tcW w:type="dxa" w:w="23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北京—供应商</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履约采购7,000</w:t>
            </w:r>
          </w:p>
        </w:tc>
        <w:tc>
          <w:tcPr>
            <w:tcW w:type="dxa" w:w="2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北京付款并取得凭据</w:t>
            </w:r>
          </w:p>
        </w:tc>
        <w:tc>
          <w:tcPr>
            <w:tcW w:type="dxa" w:w="3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成本7,000</w:t>
            </w:r>
          </w:p>
        </w:tc>
      </w:tr>
      <w:tr>
        <w:tc>
          <w:tcPr>
            <w:tcW w:type="dxa" w:w="23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退款</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平台规则和客户售后</w:t>
            </w:r>
          </w:p>
        </w:tc>
        <w:tc>
          <w:tcPr>
            <w:tcW w:type="dxa" w:w="2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平台已退2,000</w:t>
            </w:r>
          </w:p>
        </w:tc>
        <w:tc>
          <w:tcPr>
            <w:tcW w:type="dxa" w:w="3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原交易减少，不二次退款</w:t>
            </w:r>
          </w:p>
        </w:tc>
      </w:tr>
    </w:tbl>
    <w:p>
      <w:pPr>
        <w:spacing w:after="40"/>
      </w:pPr>
    </w:p>
    <w:p>
      <w:pPr>
        <w:pStyle w:val="dingding-heading3"/>
        <w:keepNext/>
        <w:keepLines/>
      </w:pPr>
      <w:r>
        <w:rPr>
          <w:rFonts w:ascii="微软雅黑" w:hAnsi="微软雅黑" w:eastAsia="微软雅黑" w:cs="微软雅黑"/>
        </w:rPr>
        <w:t>8. 会计事项和NC承接</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2200"/>
        <w:gridCol w:w="1600"/>
        <w:gridCol w:w="3900"/>
        <w:gridCol w:w="1500"/>
        <w:gridCol w:w="2020"/>
      </w:tblGrid>
      <w:tr>
        <w:trPr>
          <w:tblHeader w:val="true"/>
        </w:trPr>
        <w:tc>
          <w:tcPr>
            <w:tcW w:type="dxa" w:w="2200"/>
            <w:shd w:val="clear" w:color="auto" w:fill="F5F6F7"/>
            <w:vAlign w:val="center"/>
          </w:tcPr>
          <w:p>
            <w:pPr>
              <w:spacing w:after="0"/>
              <w:jc w:val="center"/>
            </w:pPr>
            <w:r>
              <w:rPr>
                <w:rFonts w:ascii="微软雅黑" w:hAnsi="微软雅黑" w:eastAsia="微软雅黑" w:cs="微软雅黑"/>
                <w:b/>
                <w:sz w:val="16"/>
              </w:rPr>
              <w:t>生效时点</w:t>
            </w:r>
          </w:p>
        </w:tc>
        <w:tc>
          <w:tcPr>
            <w:tcW w:type="dxa" w:w="1600"/>
            <w:shd w:val="clear" w:color="auto" w:fill="F5F6F7"/>
            <w:vAlign w:val="center"/>
          </w:tcPr>
          <w:p>
            <w:pPr>
              <w:spacing w:after="0"/>
              <w:jc w:val="center"/>
            </w:pPr>
            <w:r>
              <w:rPr>
                <w:rFonts w:ascii="微软雅黑" w:hAnsi="微软雅黑" w:eastAsia="微软雅黑" w:cs="微软雅黑"/>
                <w:b/>
                <w:sz w:val="16"/>
              </w:rPr>
              <w:t>所属公司</w:t>
            </w:r>
          </w:p>
        </w:tc>
        <w:tc>
          <w:tcPr>
            <w:tcW w:type="dxa" w:w="3900"/>
            <w:shd w:val="clear" w:color="auto" w:fill="F5F6F7"/>
            <w:vAlign w:val="center"/>
          </w:tcPr>
          <w:p>
            <w:pPr>
              <w:spacing w:after="0"/>
              <w:jc w:val="center"/>
            </w:pPr>
            <w:r>
              <w:rPr>
                <w:rFonts w:ascii="微软雅黑" w:hAnsi="微软雅黑" w:eastAsia="微软雅黑" w:cs="微软雅黑"/>
                <w:b/>
                <w:sz w:val="16"/>
              </w:rPr>
              <w:t>经济事项</w:t>
            </w:r>
          </w:p>
        </w:tc>
        <w:tc>
          <w:tcPr>
            <w:tcW w:type="dxa" w:w="1500"/>
            <w:shd w:val="clear" w:color="auto" w:fill="F5F6F7"/>
            <w:vAlign w:val="center"/>
          </w:tcPr>
          <w:p>
            <w:pPr>
              <w:spacing w:after="0"/>
              <w:jc w:val="center"/>
            </w:pPr>
            <w:r>
              <w:rPr>
                <w:rFonts w:ascii="微软雅黑" w:hAnsi="微软雅黑" w:eastAsia="微软雅黑" w:cs="微软雅黑"/>
                <w:b/>
                <w:sz w:val="16"/>
              </w:rPr>
              <w:t>金额</w:t>
            </w:r>
          </w:p>
        </w:tc>
        <w:tc>
          <w:tcPr>
            <w:tcW w:type="dxa" w:w="2020"/>
            <w:shd w:val="clear" w:color="auto" w:fill="F5F6F7"/>
            <w:vAlign w:val="center"/>
          </w:tcPr>
          <w:p>
            <w:pPr>
              <w:spacing w:after="0"/>
              <w:jc w:val="center"/>
            </w:pPr>
            <w:r>
              <w:rPr>
                <w:rFonts w:ascii="微软雅黑" w:hAnsi="微软雅黑" w:eastAsia="微软雅黑" w:cs="微软雅黑"/>
                <w:b/>
                <w:sz w:val="16"/>
              </w:rPr>
              <w:t>反向处理</w:t>
            </w:r>
          </w:p>
        </w:tc>
      </w:tr>
      <w:tr>
        <w:tc>
          <w:tcPr>
            <w:tcW w:type="dxa" w:w="2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退款实际日</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北京</w:t>
            </w:r>
          </w:p>
        </w:tc>
        <w:tc>
          <w:tcPr>
            <w:tcW w:type="dxa" w:w="39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客户交易减少或退款责任结清</w:t>
            </w:r>
          </w:p>
        </w:tc>
        <w:tc>
          <w:tcPr>
            <w:tcW w:type="dxa" w:w="1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2,000</w:t>
            </w:r>
          </w:p>
        </w:tc>
        <w:tc>
          <w:tcPr>
            <w:tcW w:type="dxa" w:w="2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退款退回</w:t>
            </w:r>
          </w:p>
        </w:tc>
      </w:tr>
      <w:tr>
        <w:tc>
          <w:tcPr>
            <w:tcW w:type="dxa" w:w="2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平台账单确认</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北京</w:t>
            </w:r>
          </w:p>
        </w:tc>
        <w:tc>
          <w:tcPr>
            <w:tcW w:type="dxa" w:w="39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渠道应收、佣金、补贴</w:t>
            </w:r>
          </w:p>
        </w:tc>
        <w:tc>
          <w:tcPr>
            <w:tcW w:type="dxa" w:w="1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9,500/800/300</w:t>
            </w:r>
          </w:p>
        </w:tc>
        <w:tc>
          <w:tcPr>
            <w:tcW w:type="dxa" w:w="2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账单调整</w:t>
            </w:r>
          </w:p>
        </w:tc>
      </w:tr>
      <w:tr>
        <w:tc>
          <w:tcPr>
            <w:tcW w:type="dxa" w:w="2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平台到账日</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北京</w:t>
            </w:r>
          </w:p>
        </w:tc>
        <w:tc>
          <w:tcPr>
            <w:tcW w:type="dxa" w:w="39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银行增加、渠道应收减少</w:t>
            </w:r>
          </w:p>
        </w:tc>
        <w:tc>
          <w:tcPr>
            <w:tcW w:type="dxa" w:w="1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9,500</w:t>
            </w:r>
          </w:p>
        </w:tc>
        <w:tc>
          <w:tcPr>
            <w:tcW w:type="dxa" w:w="2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银行退回</w:t>
            </w:r>
          </w:p>
        </w:tc>
      </w:tr>
      <w:tr>
        <w:tc>
          <w:tcPr>
            <w:tcW w:type="dxa" w:w="2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履约确认日</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北京</w:t>
            </w:r>
          </w:p>
        </w:tc>
        <w:tc>
          <w:tcPr>
            <w:tcW w:type="dxa" w:w="39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收入和成本</w:t>
            </w:r>
          </w:p>
        </w:tc>
        <w:tc>
          <w:tcPr>
            <w:tcW w:type="dxa" w:w="1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10,000/7,000</w:t>
            </w:r>
          </w:p>
        </w:tc>
        <w:tc>
          <w:tcPr>
            <w:tcW w:type="dxa" w:w="2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售后和成本调整</w:t>
            </w:r>
          </w:p>
        </w:tc>
      </w:tr>
    </w:tbl>
    <w:p>
      <w:pPr>
        <w:spacing w:after="40"/>
      </w:pPr>
    </w:p>
    <w:p>
      <w:pPr>
        <w:spacing w:before="80" w:after="200" w:line="288" w:lineRule="auto"/>
        <w:ind w:left="115" w:right="115"/>
        <w:shd w:val="clear" w:fill="FFF4E5"/>
        <w:pBdr>
          <w:top w:val="single" w:sz="6" w:space="4" w:color="E6D8C8"/>
          <w:left w:val="single" w:sz="6" w:space="4" w:color="E6D8C8"/>
          <w:bottom w:val="single" w:sz="6" w:space="4" w:color="E6D8C8"/>
          <w:right w:val="single" w:sz="6" w:space="4" w:color="E6D8C8"/>
        </w:pBdr>
      </w:pPr>
      <w:r>
        <w:rPr>
          <w:rFonts w:ascii="微软雅黑" w:hAnsi="微软雅黑" w:eastAsia="微软雅黑" w:cs="微软雅黑"/>
          <w:b/>
          <w:sz w:val="20"/>
        </w:rPr>
        <w:t>本案例的核心判断：</w:t>
      </w:r>
      <w:r>
        <w:rPr>
          <w:rFonts w:ascii="微软雅黑" w:hAnsi="微软雅黑" w:eastAsia="微软雅黑" w:cs="微软雅黑"/>
          <w:sz w:val="20"/>
        </w:rPr>
        <w:t>OTA必须同时保存订单明细、平台账单和银行到账三层金额。只保存净到账9,500，财务无法解释10,000有效交易、800佣金和300补贴。</w:t>
      </w:r>
    </w:p>
    <w:p>
      <w:pPr>
        <w:pStyle w:val="dingding-heading3"/>
        <w:keepNext/>
        <w:keepLines/>
      </w:pPr>
      <w:r>
        <w:rPr>
          <w:rFonts w:ascii="微软雅黑" w:hAnsi="微软雅黑" w:eastAsia="微软雅黑" w:cs="微软雅黑"/>
        </w:rPr>
        <w:t>财务需要逐项确认</w:t>
      </w:r>
    </w:p>
    <w:p>
      <w:pPr>
        <w:spacing w:after="60"/>
        <w:ind w:left="418" w:hanging="418"/>
        <w:numPr>
          <w:ilvl w:val="0"/>
          <w:numId w:val="1"/>
        </w:numPr>
      </w:pPr>
      <w:r>
        <w:rPr>
          <w:rFonts w:ascii="微软雅黑" w:hAnsi="微软雅黑" w:eastAsia="微软雅黑" w:cs="微软雅黑"/>
          <w:sz w:val="21"/>
        </w:rPr>
        <w:t>本案例北京是否为主要责任方；哪些OTA产品属于代理净额收入？</w:t>
      </w:r>
    </w:p>
    <w:p>
      <w:pPr>
        <w:spacing w:after="60"/>
        <w:ind w:left="418" w:hanging="418"/>
        <w:numPr>
          <w:ilvl w:val="0"/>
          <w:numId w:val="1"/>
        </w:numPr>
      </w:pPr>
      <w:r>
        <w:rPr>
          <w:rFonts w:ascii="微软雅黑" w:hAnsi="微软雅黑" w:eastAsia="微软雅黑" w:cs="微软雅黑"/>
          <w:sz w:val="21"/>
        </w:rPr>
        <w:t>平台补贴300计入其他收入还是冲减佣金，税务和发票依据是什么？</w:t>
      </w:r>
    </w:p>
    <w:p>
      <w:pPr>
        <w:spacing w:after="60"/>
        <w:ind w:left="418" w:hanging="418"/>
        <w:numPr>
          <w:ilvl w:val="0"/>
          <w:numId w:val="1"/>
        </w:numPr>
      </w:pPr>
      <w:r>
        <w:rPr>
          <w:rFonts w:ascii="微软雅黑" w:hAnsi="微软雅黑" w:eastAsia="微软雅黑" w:cs="微软雅黑"/>
          <w:sz w:val="21"/>
        </w:rPr>
        <w:t>平台结算前退款是否全部由平台执行；北京何时承担直接退款？</w:t>
      </w:r>
    </w:p>
    <w:p>
      <w:pPr>
        <w:spacing w:after="60"/>
        <w:ind w:left="418" w:hanging="418"/>
        <w:numPr>
          <w:ilvl w:val="0"/>
          <w:numId w:val="1"/>
        </w:numPr>
      </w:pPr>
      <w:r>
        <w:rPr>
          <w:rFonts w:ascii="微软雅黑" w:hAnsi="微软雅黑" w:eastAsia="微软雅黑" w:cs="微软雅黑"/>
          <w:sz w:val="21"/>
        </w:rPr>
        <w:t>平台佣金按有效交易、含税价还是其他基础计算？</w:t>
      </w:r>
    </w:p>
    <w:p>
      <w:pPr>
        <w:spacing w:after="60"/>
        <w:ind w:left="418" w:hanging="418"/>
        <w:numPr>
          <w:ilvl w:val="0"/>
          <w:numId w:val="1"/>
        </w:numPr>
      </w:pPr>
      <w:r>
        <w:rPr>
          <w:rFonts w:ascii="微软雅黑" w:hAnsi="微软雅黑" w:eastAsia="微软雅黑" w:cs="微软雅黑"/>
          <w:sz w:val="21"/>
        </w:rPr>
        <w:t>账单确认、平台到账和收入确认分别采用什么日期？</w:t>
      </w:r>
    </w:p>
    <w:p>
      <w:pPr/>
      <w:r>
        <w:br w:type="page"/>
      </w:r>
    </w:p>
    <w:p>
      <w:pPr>
        <w:pStyle w:val="dingding-heading2"/>
        <w:keepNext/>
        <w:keepLines/>
      </w:pPr>
      <w:r>
        <w:rPr>
          <w:rFonts w:ascii="微软雅黑" w:hAnsi="微软雅黑" w:eastAsia="微软雅黑" w:cs="微软雅黑"/>
        </w:rPr>
        <w:t>案例5：会奖旅游项目阶段收款、合同变更和验收确认</w:t>
      </w:r>
    </w:p>
    <w:p>
      <w:pPr>
        <w:pStyle w:val="dingding_quote"/>
        <w:spacing w:before="80" w:after="200" w:line="288" w:lineRule="auto"/>
      </w:pPr>
      <w:r>
        <w:rPr>
          <w:rFonts w:ascii="微软雅黑" w:hAnsi="微软雅黑" w:eastAsia="微软雅黑" w:cs="微软雅黑"/>
          <w:b/>
          <w:color w:val="A0A0A0"/>
          <w:sz w:val="21"/>
        </w:rPr>
        <w:t>场景定位：</w:t>
      </w:r>
      <w:r>
        <w:rPr>
          <w:rFonts w:ascii="微软雅黑" w:hAnsi="微软雅黑" w:eastAsia="微软雅黑" w:cs="微软雅黑"/>
          <w:b w:val="0"/>
          <w:color w:val="A0A0A0"/>
          <w:sz w:val="21"/>
        </w:rPr>
        <w:t>企业项目合同 × 分阶段收款 × 项目变更减价 × 验收后收入 × 成本部分未付</w:t>
      </w:r>
      <w:r>
        <w:br/>
      </w:r>
      <w:r>
        <w:rPr>
          <w:rFonts w:ascii="微软雅黑" w:hAnsi="微软雅黑" w:eastAsia="微软雅黑" w:cs="微软雅黑"/>
          <w:b/>
          <w:color w:val="A0A0A0"/>
          <w:sz w:val="21"/>
        </w:rPr>
        <w:t>验证重点：</w:t>
      </w:r>
      <w:r>
        <w:rPr>
          <w:rFonts w:ascii="微软雅黑" w:hAnsi="微软雅黑" w:eastAsia="微软雅黑" w:cs="微软雅黑"/>
          <w:b w:val="0"/>
          <w:color w:val="A0A0A0"/>
          <w:sz w:val="21"/>
        </w:rPr>
        <w:t>业务应收、会计应收、未履约客户款和收入不能按收款节点机械相等</w:t>
      </w:r>
      <w:r>
        <w:br/>
      </w:r>
      <w:r>
        <w:rPr>
          <w:rFonts w:ascii="微软雅黑" w:hAnsi="微软雅黑" w:eastAsia="微软雅黑" w:cs="微软雅黑"/>
          <w:b/>
          <w:color w:val="A0A0A0"/>
          <w:sz w:val="21"/>
        </w:rPr>
        <w:t>金额说明：</w:t>
      </w:r>
      <w:r>
        <w:rPr>
          <w:rFonts w:ascii="微软雅黑" w:hAnsi="微软雅黑" w:eastAsia="微软雅黑" w:cs="微软雅黑"/>
          <w:b w:val="0"/>
          <w:color w:val="A0A0A0"/>
          <w:sz w:val="21"/>
        </w:rPr>
        <w:t>以下均为含税业务金额；收入时点、税额、发票和正式会计科目以财务确认结论为准。</w:t>
      </w:r>
    </w:p>
    <w:p>
      <w:pPr>
        <w:pStyle w:val="dingding-heading3"/>
        <w:keepNext/>
        <w:keepLines/>
      </w:pPr>
      <w:r>
        <w:rPr>
          <w:rFonts w:ascii="微软雅黑" w:hAnsi="微软雅黑" w:eastAsia="微软雅黑" w:cs="微软雅黑"/>
        </w:rPr>
        <w:t>1. 业务场景设定</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2500"/>
        <w:gridCol w:w="8720"/>
      </w:tblGrid>
      <w:tr>
        <w:trPr>
          <w:tblHeader w:val="true"/>
        </w:trPr>
        <w:tc>
          <w:tcPr>
            <w:tcW w:type="dxa" w:w="2500"/>
            <w:shd w:val="clear" w:color="auto" w:fill="F5F6F7"/>
            <w:vAlign w:val="center"/>
          </w:tcPr>
          <w:p>
            <w:pPr>
              <w:spacing w:after="0"/>
              <w:jc w:val="center"/>
            </w:pPr>
            <w:r>
              <w:rPr>
                <w:rFonts w:ascii="微软雅黑" w:hAnsi="微软雅黑" w:eastAsia="微软雅黑" w:cs="微软雅黑"/>
                <w:b/>
                <w:sz w:val="19"/>
              </w:rPr>
              <w:t>项目</w:t>
            </w:r>
          </w:p>
        </w:tc>
        <w:tc>
          <w:tcPr>
            <w:tcW w:type="dxa" w:w="8720"/>
            <w:shd w:val="clear" w:color="auto" w:fill="F5F6F7"/>
            <w:vAlign w:val="center"/>
          </w:tcPr>
          <w:p>
            <w:pPr>
              <w:spacing w:after="0"/>
              <w:jc w:val="center"/>
            </w:pPr>
            <w:r>
              <w:rPr>
                <w:rFonts w:ascii="微软雅黑" w:hAnsi="微软雅黑" w:eastAsia="微软雅黑" w:cs="微软雅黑"/>
                <w:b/>
                <w:sz w:val="19"/>
              </w:rPr>
              <w:t>内容</w:t>
            </w:r>
          </w:p>
        </w:tc>
      </w:tr>
      <w:tr>
        <w:tc>
          <w:tcPr>
            <w:tcW w:type="dxa" w:w="25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9"/>
              </w:rPr>
              <w:t>项目公司</w:t>
            </w:r>
          </w:p>
        </w:tc>
        <w:tc>
          <w:tcPr>
            <w:tcW w:type="dxa" w:w="87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9"/>
              </w:rPr>
              <w:t>北京凯撒旅行社有限公司</w:t>
            </w:r>
          </w:p>
        </w:tc>
      </w:tr>
      <w:tr>
        <w:tc>
          <w:tcPr>
            <w:tcW w:type="dxa" w:w="25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9"/>
              </w:rPr>
              <w:t>客户</w:t>
            </w:r>
          </w:p>
        </w:tc>
        <w:tc>
          <w:tcPr>
            <w:tcW w:type="dxa" w:w="87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9"/>
              </w:rPr>
              <w:t>某企业客户，年度会议项目</w:t>
            </w:r>
          </w:p>
        </w:tc>
      </w:tr>
      <w:tr>
        <w:tc>
          <w:tcPr>
            <w:tcW w:type="dxa" w:w="25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9"/>
              </w:rPr>
              <w:t>产品类型</w:t>
            </w:r>
          </w:p>
        </w:tc>
        <w:tc>
          <w:tcPr>
            <w:tcW w:type="dxa" w:w="872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9"/>
              </w:rPr>
              <w:t>会奖旅游（MICE，指会议、奖励旅游、大型会议及展览）</w:t>
            </w:r>
          </w:p>
        </w:tc>
      </w:tr>
      <w:tr>
        <w:tc>
          <w:tcPr>
            <w:tcW w:type="dxa" w:w="25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9"/>
              </w:rPr>
              <w:t>原合同</w:t>
            </w:r>
          </w:p>
        </w:tc>
        <w:tc>
          <w:tcPr>
            <w:tcW w:type="dxa" w:w="872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9"/>
              </w:rPr>
              <w:t>600,000；后经双方确认减少70,000，有效合同530,000</w:t>
            </w:r>
          </w:p>
        </w:tc>
      </w:tr>
      <w:tr>
        <w:tc>
          <w:tcPr>
            <w:tcW w:type="dxa" w:w="25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9"/>
              </w:rPr>
              <w:t>客户收款</w:t>
            </w:r>
          </w:p>
        </w:tc>
        <w:tc>
          <w:tcPr>
            <w:tcW w:type="dxa" w:w="872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9"/>
              </w:rPr>
              <w:t>已收480,000，期末待收50,000</w:t>
            </w:r>
          </w:p>
        </w:tc>
      </w:tr>
      <w:tr>
        <w:tc>
          <w:tcPr>
            <w:tcW w:type="dxa" w:w="25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9"/>
              </w:rPr>
              <w:t>项目成本</w:t>
            </w:r>
          </w:p>
        </w:tc>
        <w:tc>
          <w:tcPr>
            <w:tcW w:type="dxa" w:w="872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9"/>
              </w:rPr>
              <w:t>实际成本420,000；已付350,000，期末待付70,000</w:t>
            </w:r>
          </w:p>
        </w:tc>
      </w:tr>
      <w:tr>
        <w:tc>
          <w:tcPr>
            <w:tcW w:type="dxa" w:w="25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9"/>
              </w:rPr>
              <w:t>验收</w:t>
            </w:r>
          </w:p>
        </w:tc>
        <w:tc>
          <w:tcPr>
            <w:tcW w:type="dxa" w:w="872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9"/>
              </w:rPr>
              <w:t>2026年10月18日客户验收通过；案例按单一项目成果示意</w:t>
            </w:r>
          </w:p>
        </w:tc>
      </w:tr>
    </w:tbl>
    <w:p>
      <w:pPr>
        <w:spacing w:after="40"/>
      </w:pPr>
    </w:p>
    <w:p>
      <w:pPr>
        <w:pStyle w:val="dingding-heading3"/>
        <w:keepNext/>
        <w:keepLines/>
      </w:pPr>
      <w:r>
        <w:rPr>
          <w:rFonts w:ascii="微软雅黑" w:hAnsi="微软雅黑" w:eastAsia="微软雅黑" w:cs="微软雅黑"/>
        </w:rPr>
        <w:t>2. 参与方和财务责任</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2600"/>
        <w:gridCol w:w="3300"/>
        <w:gridCol w:w="5320"/>
      </w:tblGrid>
      <w:tr>
        <w:trPr>
          <w:tblHeader w:val="true"/>
        </w:trPr>
        <w:tc>
          <w:tcPr>
            <w:tcW w:type="dxa" w:w="2600"/>
            <w:shd w:val="clear" w:color="auto" w:fill="F5F6F7"/>
            <w:vAlign w:val="center"/>
          </w:tcPr>
          <w:p>
            <w:pPr>
              <w:spacing w:after="0"/>
              <w:jc w:val="center"/>
            </w:pPr>
            <w:r>
              <w:rPr>
                <w:rFonts w:ascii="微软雅黑" w:hAnsi="微软雅黑" w:eastAsia="微软雅黑" w:cs="微软雅黑"/>
                <w:b/>
                <w:sz w:val="17"/>
              </w:rPr>
              <w:t>责任</w:t>
            </w:r>
          </w:p>
        </w:tc>
        <w:tc>
          <w:tcPr>
            <w:tcW w:type="dxa" w:w="3300"/>
            <w:shd w:val="clear" w:color="auto" w:fill="F5F6F7"/>
            <w:vAlign w:val="center"/>
          </w:tcPr>
          <w:p>
            <w:pPr>
              <w:spacing w:after="0"/>
              <w:jc w:val="center"/>
            </w:pPr>
            <w:r>
              <w:rPr>
                <w:rFonts w:ascii="微软雅黑" w:hAnsi="微软雅黑" w:eastAsia="微软雅黑" w:cs="微软雅黑"/>
                <w:b/>
                <w:sz w:val="17"/>
              </w:rPr>
              <w:t>承担方</w:t>
            </w:r>
          </w:p>
        </w:tc>
        <w:tc>
          <w:tcPr>
            <w:tcW w:type="dxa" w:w="5320"/>
            <w:shd w:val="clear" w:color="auto" w:fill="F5F6F7"/>
            <w:vAlign w:val="center"/>
          </w:tcPr>
          <w:p>
            <w:pPr>
              <w:spacing w:after="0"/>
              <w:jc w:val="center"/>
            </w:pPr>
            <w:r>
              <w:rPr>
                <w:rFonts w:ascii="微软雅黑" w:hAnsi="微软雅黑" w:eastAsia="微软雅黑" w:cs="微软雅黑"/>
                <w:b/>
                <w:sz w:val="17"/>
              </w:rPr>
              <w:t>判断依据</w:t>
            </w:r>
          </w:p>
        </w:tc>
      </w:tr>
      <w:tr>
        <w:tc>
          <w:tcPr>
            <w:tcW w:type="dxa" w:w="26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项目合同和客户应收</w:t>
            </w:r>
          </w:p>
        </w:tc>
        <w:tc>
          <w:tcPr>
            <w:tcW w:type="dxa" w:w="33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北京公司</w:t>
            </w:r>
          </w:p>
        </w:tc>
        <w:tc>
          <w:tcPr>
            <w:tcW w:type="dxa" w:w="53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项目合同、变更协议和收款节点</w:t>
            </w:r>
          </w:p>
        </w:tc>
      </w:tr>
      <w:tr>
        <w:tc>
          <w:tcPr>
            <w:tcW w:type="dxa" w:w="26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项目履约与验收</w:t>
            </w:r>
          </w:p>
        </w:tc>
        <w:tc>
          <w:tcPr>
            <w:tcW w:type="dxa" w:w="33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北京项目团队</w:t>
            </w:r>
          </w:p>
        </w:tc>
        <w:tc>
          <w:tcPr>
            <w:tcW w:type="dxa" w:w="53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服务记录、客户验收单</w:t>
            </w:r>
          </w:p>
        </w:tc>
      </w:tr>
      <w:tr>
        <w:tc>
          <w:tcPr>
            <w:tcW w:type="dxa" w:w="26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对外采购和成本</w:t>
            </w:r>
          </w:p>
        </w:tc>
        <w:tc>
          <w:tcPr>
            <w:tcW w:type="dxa" w:w="33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北京公司</w:t>
            </w:r>
          </w:p>
        </w:tc>
        <w:tc>
          <w:tcPr>
            <w:tcW w:type="dxa" w:w="53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会务、酒店、搭建等合同和账单</w:t>
            </w:r>
          </w:p>
        </w:tc>
      </w:tr>
      <w:tr>
        <w:tc>
          <w:tcPr>
            <w:tcW w:type="dxa" w:w="26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收入确认</w:t>
            </w:r>
          </w:p>
        </w:tc>
        <w:tc>
          <w:tcPr>
            <w:tcW w:type="dxa" w:w="33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北京公司财务</w:t>
            </w:r>
          </w:p>
        </w:tc>
        <w:tc>
          <w:tcPr>
            <w:tcW w:type="dxa" w:w="53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履约义务和验收/进度政策</w:t>
            </w:r>
          </w:p>
        </w:tc>
      </w:tr>
      <w:tr>
        <w:tc>
          <w:tcPr>
            <w:tcW w:type="dxa" w:w="26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NC账簿</w:t>
            </w:r>
          </w:p>
        </w:tc>
        <w:tc>
          <w:tcPr>
            <w:tcW w:type="dxa" w:w="33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北京公司</w:t>
            </w:r>
          </w:p>
        </w:tc>
        <w:tc>
          <w:tcPr>
            <w:tcW w:type="dxa" w:w="53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客户、项目和供应商辅助核对</w:t>
            </w:r>
          </w:p>
        </w:tc>
      </w:tr>
    </w:tbl>
    <w:p>
      <w:pPr>
        <w:spacing w:after="40"/>
      </w:pPr>
    </w:p>
    <w:p>
      <w:pPr>
        <w:pStyle w:val="dingding-heading3"/>
        <w:keepNext/>
        <w:keepLines/>
      </w:pPr>
      <w:r>
        <w:rPr>
          <w:rFonts w:ascii="微软雅黑" w:hAnsi="微软雅黑" w:eastAsia="微软雅黑" w:cs="微软雅黑"/>
        </w:rPr>
        <w:t>3. 完整价格和金额拆解</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3000"/>
        <w:gridCol w:w="3100"/>
        <w:gridCol w:w="1700"/>
        <w:gridCol w:w="3420"/>
      </w:tblGrid>
      <w:tr>
        <w:trPr>
          <w:tblHeader w:val="true"/>
        </w:trPr>
        <w:tc>
          <w:tcPr>
            <w:tcW w:type="dxa" w:w="3000"/>
            <w:shd w:val="clear" w:color="auto" w:fill="F5F6F7"/>
            <w:vAlign w:val="center"/>
          </w:tcPr>
          <w:p>
            <w:pPr>
              <w:spacing w:after="0"/>
              <w:jc w:val="center"/>
            </w:pPr>
            <w:r>
              <w:rPr>
                <w:rFonts w:ascii="微软雅黑" w:hAnsi="微软雅黑" w:eastAsia="微软雅黑" w:cs="微软雅黑"/>
                <w:b/>
                <w:sz w:val="17"/>
              </w:rPr>
              <w:t>金额项目</w:t>
            </w:r>
          </w:p>
        </w:tc>
        <w:tc>
          <w:tcPr>
            <w:tcW w:type="dxa" w:w="3100"/>
            <w:shd w:val="clear" w:color="auto" w:fill="F5F6F7"/>
            <w:vAlign w:val="center"/>
          </w:tcPr>
          <w:p>
            <w:pPr>
              <w:spacing w:after="0"/>
              <w:jc w:val="center"/>
            </w:pPr>
            <w:r>
              <w:rPr>
                <w:rFonts w:ascii="微软雅黑" w:hAnsi="微软雅黑" w:eastAsia="微软雅黑" w:cs="微软雅黑"/>
                <w:b/>
                <w:sz w:val="17"/>
              </w:rPr>
              <w:t>计算</w:t>
            </w:r>
          </w:p>
        </w:tc>
        <w:tc>
          <w:tcPr>
            <w:tcW w:type="dxa" w:w="1700"/>
            <w:shd w:val="clear" w:color="auto" w:fill="F5F6F7"/>
            <w:vAlign w:val="center"/>
          </w:tcPr>
          <w:p>
            <w:pPr>
              <w:spacing w:after="0"/>
              <w:jc w:val="center"/>
            </w:pPr>
            <w:r>
              <w:rPr>
                <w:rFonts w:ascii="微软雅黑" w:hAnsi="微软雅黑" w:eastAsia="微软雅黑" w:cs="微软雅黑"/>
                <w:b/>
                <w:sz w:val="17"/>
              </w:rPr>
              <w:t>金额</w:t>
            </w:r>
          </w:p>
        </w:tc>
        <w:tc>
          <w:tcPr>
            <w:tcW w:type="dxa" w:w="3420"/>
            <w:shd w:val="clear" w:color="auto" w:fill="F5F6F7"/>
            <w:vAlign w:val="center"/>
          </w:tcPr>
          <w:p>
            <w:pPr>
              <w:spacing w:after="0"/>
              <w:jc w:val="center"/>
            </w:pPr>
            <w:r>
              <w:rPr>
                <w:rFonts w:ascii="微软雅黑" w:hAnsi="微软雅黑" w:eastAsia="微软雅黑" w:cs="微软雅黑"/>
                <w:b/>
                <w:sz w:val="17"/>
              </w:rPr>
              <w:t>最终去向</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原合同</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签约金额</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600,000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初始业务计划</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批准变更</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减少范围</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－70,000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变更原业务应收</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有效交易</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600,000－70,000</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530,000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项目结算收入基础</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客户已收</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阶段款合计</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480,000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银行到账</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期末待收</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530,000－480,000</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50,000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客户应收余额</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实际成本</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供应商实际服务</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420,000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项目成本和应付</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已付供应商</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付款合计</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350,000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应付核销</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期末待付</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420,000－350,000</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70,000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供应商应付余额</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项目贡献</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530,000－420,000</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110,000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项目经营结果</w:t>
            </w:r>
          </w:p>
        </w:tc>
      </w:tr>
    </w:tbl>
    <w:p>
      <w:pPr>
        <w:spacing w:after="40"/>
      </w:pPr>
    </w:p>
    <w:p>
      <w:pPr>
        <w:pStyle w:val="dingding-heading3"/>
        <w:keepNext/>
        <w:keepLines/>
      </w:pPr>
      <w:r>
        <w:rPr>
          <w:rFonts w:ascii="微软雅黑" w:hAnsi="微软雅黑" w:eastAsia="微软雅黑" w:cs="微软雅黑"/>
        </w:rPr>
        <w:t>4. 交易、债权债务和实际资金</w:t>
      </w:r>
    </w:p>
    <w:p>
      <w:pPr>
        <w:pStyle w:val="dingding_code"/>
        <w:spacing w:before="80" w:after="200" w:lineRule="exact" w:line="252"/>
        <w:ind w:left="115" w:right="115"/>
        <w:shd w:val="clear" w:fill="F2F3F5"/>
      </w:pPr>
      <w:r>
        <w:rPr>
          <w:rFonts w:ascii="Menlo" w:hAnsi="Menlo" w:eastAsia="Menlo" w:cs="Menlo"/>
          <w:sz w:val="17"/>
        </w:rPr>
        <w:t>客户合同：600,000 ─变更70,000→ 有效530,000</w:t>
        <w:br/>
        <w:t>客户资金：已收480,000；期末应收50,000</w:t>
        <w:br/>
        <w:t>供应商成本：实际420,000；已付350,000；期末应付70,000</w:t>
        <w:br/>
        <w:br/>
        <w:t>验收前：已收款可能属于未履约客户款，不等于收入。</w:t>
        <w:br/>
        <w:t>验收后：按财务确认的履约政策确认530,000收入；50,000仍可作为应收。</w:t>
      </w:r>
    </w:p>
    <w:p>
      <w:pPr>
        <w:pStyle w:val="dingding-heading3"/>
        <w:keepNext/>
        <w:keepLines/>
      </w:pPr>
      <w:r>
        <w:rPr>
          <w:rFonts w:ascii="微软雅黑" w:hAnsi="微软雅黑" w:eastAsia="微软雅黑" w:cs="微软雅黑"/>
        </w:rPr>
        <w:t>5. 分阶段业务与财务变化</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1550"/>
        <w:gridCol w:w="2600"/>
        <w:gridCol w:w="3200"/>
        <w:gridCol w:w="1600"/>
        <w:gridCol w:w="2270"/>
      </w:tblGrid>
      <w:tr>
        <w:trPr>
          <w:tblHeader w:val="true"/>
        </w:trPr>
        <w:tc>
          <w:tcPr>
            <w:tcW w:type="dxa" w:w="1550"/>
            <w:shd w:val="clear" w:color="auto" w:fill="F5F6F7"/>
            <w:vAlign w:val="center"/>
          </w:tcPr>
          <w:p>
            <w:pPr>
              <w:spacing w:after="0"/>
              <w:jc w:val="center"/>
            </w:pPr>
            <w:r>
              <w:rPr>
                <w:rFonts w:ascii="微软雅黑" w:hAnsi="微软雅黑" w:eastAsia="微软雅黑" w:cs="微软雅黑"/>
                <w:b/>
                <w:sz w:val="16"/>
              </w:rPr>
              <w:t>阶段</w:t>
            </w:r>
          </w:p>
        </w:tc>
        <w:tc>
          <w:tcPr>
            <w:tcW w:type="dxa" w:w="2600"/>
            <w:shd w:val="clear" w:color="auto" w:fill="F5F6F7"/>
            <w:vAlign w:val="center"/>
          </w:tcPr>
          <w:p>
            <w:pPr>
              <w:spacing w:after="0"/>
              <w:jc w:val="center"/>
            </w:pPr>
            <w:r>
              <w:rPr>
                <w:rFonts w:ascii="微软雅黑" w:hAnsi="微软雅黑" w:eastAsia="微软雅黑" w:cs="微软雅黑"/>
                <w:b/>
                <w:sz w:val="16"/>
              </w:rPr>
              <w:t>业务事实</w:t>
            </w:r>
          </w:p>
        </w:tc>
        <w:tc>
          <w:tcPr>
            <w:tcW w:type="dxa" w:w="3200"/>
            <w:shd w:val="clear" w:color="auto" w:fill="F5F6F7"/>
            <w:vAlign w:val="center"/>
          </w:tcPr>
          <w:p>
            <w:pPr>
              <w:spacing w:after="0"/>
              <w:jc w:val="center"/>
            </w:pPr>
            <w:r>
              <w:rPr>
                <w:rFonts w:ascii="微软雅黑" w:hAnsi="微软雅黑" w:eastAsia="微软雅黑" w:cs="微软雅黑"/>
                <w:b/>
                <w:sz w:val="16"/>
              </w:rPr>
              <w:t>记录和余额变化</w:t>
            </w:r>
          </w:p>
        </w:tc>
        <w:tc>
          <w:tcPr>
            <w:tcW w:type="dxa" w:w="1600"/>
            <w:shd w:val="clear" w:color="auto" w:fill="F5F6F7"/>
            <w:vAlign w:val="center"/>
          </w:tcPr>
          <w:p>
            <w:pPr>
              <w:spacing w:after="0"/>
              <w:jc w:val="center"/>
            </w:pPr>
            <w:r>
              <w:rPr>
                <w:rFonts w:ascii="微软雅黑" w:hAnsi="微软雅黑" w:eastAsia="微软雅黑" w:cs="微软雅黑"/>
                <w:b/>
                <w:sz w:val="16"/>
              </w:rPr>
              <w:t>实际资金</w:t>
            </w:r>
          </w:p>
        </w:tc>
        <w:tc>
          <w:tcPr>
            <w:tcW w:type="dxa" w:w="2270"/>
            <w:shd w:val="clear" w:color="auto" w:fill="F5F6F7"/>
            <w:vAlign w:val="center"/>
          </w:tcPr>
          <w:p>
            <w:pPr>
              <w:spacing w:after="0"/>
              <w:jc w:val="center"/>
            </w:pPr>
            <w:r>
              <w:rPr>
                <w:rFonts w:ascii="微软雅黑" w:hAnsi="微软雅黑" w:eastAsia="微软雅黑" w:cs="微软雅黑"/>
                <w:b/>
                <w:sz w:val="16"/>
              </w:rPr>
              <w:t>会计及NC状态</w:t>
            </w:r>
          </w:p>
        </w:tc>
      </w:tr>
      <w:tr>
        <w:tc>
          <w:tcPr>
            <w:tcW w:type="dxa" w:w="155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签约</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合同600,000</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生成阶段付款计划</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0</w:t>
            </w:r>
          </w:p>
        </w:tc>
        <w:tc>
          <w:tcPr>
            <w:tcW w:type="dxa" w:w="227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是否形成会计应收按无条件收款权</w:t>
            </w:r>
          </w:p>
        </w:tc>
      </w:tr>
      <w:tr>
        <w:tc>
          <w:tcPr>
            <w:tcW w:type="dxa" w:w="155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阶段收款</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累计到账480,000</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核销已成立应收或形成未履约客户款</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+480,000</w:t>
            </w:r>
          </w:p>
        </w:tc>
        <w:tc>
          <w:tcPr>
            <w:tcW w:type="dxa" w:w="227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各到账日形成收款事项</w:t>
            </w:r>
          </w:p>
        </w:tc>
      </w:tr>
      <w:tr>
        <w:tc>
          <w:tcPr>
            <w:tcW w:type="dxa" w:w="155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合同变更</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双方减价70,000</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业务应收和交易价格调整</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0</w:t>
            </w:r>
          </w:p>
        </w:tc>
        <w:tc>
          <w:tcPr>
            <w:tcW w:type="dxa" w:w="227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未确认收入时调整负债/应收</w:t>
            </w:r>
          </w:p>
        </w:tc>
      </w:tr>
      <w:tr>
        <w:tc>
          <w:tcPr>
            <w:tcW w:type="dxa" w:w="155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供应商履约</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实际成本420,000</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成本/资产和应付按服务事实确认</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已付－350,000</w:t>
            </w:r>
          </w:p>
        </w:tc>
        <w:tc>
          <w:tcPr>
            <w:tcW w:type="dxa" w:w="227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付款不替代成本确认</w:t>
            </w:r>
          </w:p>
        </w:tc>
      </w:tr>
      <w:tr>
        <w:tc>
          <w:tcPr>
            <w:tcW w:type="dxa" w:w="155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客户验收</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10月18日通过</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项目收入达到示例确认条件</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0</w:t>
            </w:r>
          </w:p>
        </w:tc>
        <w:tc>
          <w:tcPr>
            <w:tcW w:type="dxa" w:w="227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确认530,000收入，具体日期待批准</w:t>
            </w:r>
          </w:p>
        </w:tc>
      </w:tr>
      <w:tr>
        <w:tc>
          <w:tcPr>
            <w:tcW w:type="dxa" w:w="155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期末</w:t>
            </w:r>
          </w:p>
        </w:tc>
        <w:tc>
          <w:tcPr>
            <w:tcW w:type="dxa" w:w="26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仍待收50,000、待付70,000</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保留真实往来余额</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0</w:t>
            </w:r>
          </w:p>
        </w:tc>
        <w:tc>
          <w:tcPr>
            <w:tcW w:type="dxa" w:w="227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对账平衡后关账</w:t>
            </w:r>
          </w:p>
        </w:tc>
      </w:tr>
    </w:tbl>
    <w:p>
      <w:pPr>
        <w:spacing w:after="40"/>
      </w:pPr>
    </w:p>
    <w:p>
      <w:pPr>
        <w:pStyle w:val="dingding-heading3"/>
        <w:keepNext/>
        <w:keepLines/>
      </w:pPr>
      <w:r>
        <w:rPr>
          <w:rFonts w:ascii="微软雅黑" w:hAnsi="微软雅黑" w:eastAsia="微软雅黑" w:cs="微软雅黑"/>
        </w:rPr>
        <w:t>6. 余额、结果和反算</w:t>
      </w:r>
    </w:p>
    <w:p>
      <w:pPr>
        <w:pStyle w:val="dingding_code"/>
        <w:spacing w:before="80" w:after="200" w:lineRule="exact" w:line="254"/>
        <w:ind w:left="115" w:right="115"/>
        <w:shd w:val="clear" w:fill="F2F3F5"/>
      </w:pPr>
      <w:r>
        <w:rPr>
          <w:rFonts w:ascii="Menlo" w:hAnsi="Menlo" w:eastAsia="Menlo" w:cs="Menlo"/>
          <w:sz w:val="17"/>
        </w:rPr>
        <w:t>客户：有效530,000 = 已收480,000 + 待收50,000</w:t>
        <w:br/>
        <w:t>供应商：实际420,000 = 已付350,000 + 待付70,000</w:t>
        <w:br/>
        <w:t>项目贡献：530,000 - 420,000 = 110,000</w:t>
        <w:br/>
        <w:t>资金净额：480,000 - 350,000 = 130,000</w:t>
        <w:br/>
        <w:t>资金与利润差20,000 = 未收50,000 - 未付70,000 的反向影响</w:t>
        <w:br/>
        <w:t>验证：利润110,000 + 应付增加70,000 - 应收增加50,000 = 现金净额130,000。</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2800"/>
        <w:gridCol w:w="2500"/>
        <w:gridCol w:w="3000"/>
        <w:gridCol w:w="2920"/>
      </w:tblGrid>
      <w:tr>
        <w:trPr>
          <w:tblHeader w:val="true"/>
        </w:trPr>
        <w:tc>
          <w:tcPr>
            <w:tcW w:type="dxa" w:w="2800"/>
            <w:shd w:val="clear" w:color="auto" w:fill="F5F6F7"/>
            <w:vAlign w:val="center"/>
          </w:tcPr>
          <w:p>
            <w:pPr>
              <w:spacing w:after="0"/>
              <w:jc w:val="center"/>
            </w:pPr>
            <w:r>
              <w:rPr>
                <w:rFonts w:ascii="微软雅黑" w:hAnsi="微软雅黑" w:eastAsia="微软雅黑" w:cs="微软雅黑"/>
                <w:b/>
                <w:sz w:val="17"/>
              </w:rPr>
              <w:t>观察层次</w:t>
            </w:r>
          </w:p>
        </w:tc>
        <w:tc>
          <w:tcPr>
            <w:tcW w:type="dxa" w:w="2500"/>
            <w:shd w:val="clear" w:color="auto" w:fill="F5F6F7"/>
            <w:vAlign w:val="center"/>
          </w:tcPr>
          <w:p>
            <w:pPr>
              <w:spacing w:after="0"/>
              <w:jc w:val="center"/>
            </w:pPr>
            <w:r>
              <w:rPr>
                <w:rFonts w:ascii="微软雅黑" w:hAnsi="微软雅黑" w:eastAsia="微软雅黑" w:cs="微软雅黑"/>
                <w:b/>
                <w:sz w:val="17"/>
              </w:rPr>
              <w:t>收入/流入</w:t>
            </w:r>
          </w:p>
        </w:tc>
        <w:tc>
          <w:tcPr>
            <w:tcW w:type="dxa" w:w="3000"/>
            <w:shd w:val="clear" w:color="auto" w:fill="F5F6F7"/>
            <w:vAlign w:val="center"/>
          </w:tcPr>
          <w:p>
            <w:pPr>
              <w:spacing w:after="0"/>
              <w:jc w:val="center"/>
            </w:pPr>
            <w:r>
              <w:rPr>
                <w:rFonts w:ascii="微软雅黑" w:hAnsi="微软雅黑" w:eastAsia="微软雅黑" w:cs="微软雅黑"/>
                <w:b/>
                <w:sz w:val="17"/>
              </w:rPr>
              <w:t>成本费用/流出</w:t>
            </w:r>
          </w:p>
        </w:tc>
        <w:tc>
          <w:tcPr>
            <w:tcW w:type="dxa" w:w="2920"/>
            <w:shd w:val="clear" w:color="auto" w:fill="F5F6F7"/>
            <w:vAlign w:val="center"/>
          </w:tcPr>
          <w:p>
            <w:pPr>
              <w:spacing w:after="0"/>
              <w:jc w:val="center"/>
            </w:pPr>
            <w:r>
              <w:rPr>
                <w:rFonts w:ascii="微软雅黑" w:hAnsi="微软雅黑" w:eastAsia="微软雅黑" w:cs="微软雅黑"/>
                <w:b/>
                <w:sz w:val="17"/>
              </w:rPr>
              <w:t>结果或余额</w:t>
            </w:r>
          </w:p>
        </w:tc>
      </w:tr>
      <w:tr>
        <w:tc>
          <w:tcPr>
            <w:tcW w:type="dxa" w:w="28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项目经营</w:t>
            </w:r>
          </w:p>
        </w:tc>
        <w:tc>
          <w:tcPr>
            <w:tcW w:type="dxa" w:w="2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收入530,000</w:t>
            </w:r>
          </w:p>
        </w:tc>
        <w:tc>
          <w:tcPr>
            <w:tcW w:type="dxa" w:w="30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成本420,000</w:t>
            </w:r>
          </w:p>
        </w:tc>
        <w:tc>
          <w:tcPr>
            <w:tcW w:type="dxa" w:w="29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贡献110,000</w:t>
            </w:r>
          </w:p>
        </w:tc>
      </w:tr>
      <w:tr>
        <w:tc>
          <w:tcPr>
            <w:tcW w:type="dxa" w:w="28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客户往来</w:t>
            </w:r>
          </w:p>
        </w:tc>
        <w:tc>
          <w:tcPr>
            <w:tcW w:type="dxa" w:w="2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有效应收530,000</w:t>
            </w:r>
          </w:p>
        </w:tc>
        <w:tc>
          <w:tcPr>
            <w:tcW w:type="dxa" w:w="30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已核销480,000</w:t>
            </w:r>
          </w:p>
        </w:tc>
        <w:tc>
          <w:tcPr>
            <w:tcW w:type="dxa" w:w="29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待收50,000</w:t>
            </w:r>
          </w:p>
        </w:tc>
      </w:tr>
      <w:tr>
        <w:tc>
          <w:tcPr>
            <w:tcW w:type="dxa" w:w="28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供应商往来</w:t>
            </w:r>
          </w:p>
        </w:tc>
        <w:tc>
          <w:tcPr>
            <w:tcW w:type="dxa" w:w="2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实际应付420,000</w:t>
            </w:r>
          </w:p>
        </w:tc>
        <w:tc>
          <w:tcPr>
            <w:tcW w:type="dxa" w:w="30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已付350,000</w:t>
            </w:r>
          </w:p>
        </w:tc>
        <w:tc>
          <w:tcPr>
            <w:tcW w:type="dxa" w:w="29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待付70,000</w:t>
            </w:r>
          </w:p>
        </w:tc>
      </w:tr>
      <w:tr>
        <w:tc>
          <w:tcPr>
            <w:tcW w:type="dxa" w:w="28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资金</w:t>
            </w:r>
          </w:p>
        </w:tc>
        <w:tc>
          <w:tcPr>
            <w:tcW w:type="dxa" w:w="2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客户流入480,000</w:t>
            </w:r>
          </w:p>
        </w:tc>
        <w:tc>
          <w:tcPr>
            <w:tcW w:type="dxa" w:w="30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供应商流出350,000</w:t>
            </w:r>
          </w:p>
        </w:tc>
        <w:tc>
          <w:tcPr>
            <w:tcW w:type="dxa" w:w="29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净流入130,000</w:t>
            </w:r>
          </w:p>
        </w:tc>
      </w:tr>
    </w:tbl>
    <w:p>
      <w:pPr>
        <w:spacing w:after="40"/>
      </w:pPr>
    </w:p>
    <w:p>
      <w:pPr>
        <w:pStyle w:val="dingding-heading3"/>
        <w:keepNext/>
        <w:keepLines/>
      </w:pPr>
      <w:r>
        <w:rPr>
          <w:rFonts w:ascii="微软雅黑" w:hAnsi="微软雅黑" w:eastAsia="微软雅黑" w:cs="微软雅黑"/>
        </w:rPr>
        <w:t>7. 合同、业务、资金、发票和会计核对</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2300"/>
        <w:gridCol w:w="3200"/>
        <w:gridCol w:w="2700"/>
        <w:gridCol w:w="3020"/>
      </w:tblGrid>
      <w:tr>
        <w:trPr>
          <w:tblHeader w:val="true"/>
        </w:trPr>
        <w:tc>
          <w:tcPr>
            <w:tcW w:type="dxa" w:w="2300"/>
            <w:shd w:val="clear" w:color="auto" w:fill="F5F6F7"/>
            <w:vAlign w:val="center"/>
          </w:tcPr>
          <w:p>
            <w:pPr>
              <w:spacing w:after="0"/>
              <w:jc w:val="center"/>
            </w:pPr>
            <w:r>
              <w:rPr>
                <w:rFonts w:ascii="微软雅黑" w:hAnsi="微软雅黑" w:eastAsia="微软雅黑" w:cs="微软雅黑"/>
                <w:b/>
                <w:sz w:val="16"/>
              </w:rPr>
              <w:t>交易段</w:t>
            </w:r>
          </w:p>
        </w:tc>
        <w:tc>
          <w:tcPr>
            <w:tcW w:type="dxa" w:w="3200"/>
            <w:shd w:val="clear" w:color="auto" w:fill="F5F6F7"/>
            <w:vAlign w:val="center"/>
          </w:tcPr>
          <w:p>
            <w:pPr>
              <w:spacing w:after="0"/>
              <w:jc w:val="center"/>
            </w:pPr>
            <w:r>
              <w:rPr>
                <w:rFonts w:ascii="微软雅黑" w:hAnsi="微软雅黑" w:eastAsia="微软雅黑" w:cs="微软雅黑"/>
                <w:b/>
                <w:sz w:val="16"/>
              </w:rPr>
              <w:t>合同与业务</w:t>
            </w:r>
          </w:p>
        </w:tc>
        <w:tc>
          <w:tcPr>
            <w:tcW w:type="dxa" w:w="2700"/>
            <w:shd w:val="clear" w:color="auto" w:fill="F5F6F7"/>
            <w:vAlign w:val="center"/>
          </w:tcPr>
          <w:p>
            <w:pPr>
              <w:spacing w:after="0"/>
              <w:jc w:val="center"/>
            </w:pPr>
            <w:r>
              <w:rPr>
                <w:rFonts w:ascii="微软雅黑" w:hAnsi="微软雅黑" w:eastAsia="微软雅黑" w:cs="微软雅黑"/>
                <w:b/>
                <w:sz w:val="16"/>
              </w:rPr>
              <w:t>资金与发票</w:t>
            </w:r>
          </w:p>
        </w:tc>
        <w:tc>
          <w:tcPr>
            <w:tcW w:type="dxa" w:w="3020"/>
            <w:shd w:val="clear" w:color="auto" w:fill="F5F6F7"/>
            <w:vAlign w:val="center"/>
          </w:tcPr>
          <w:p>
            <w:pPr>
              <w:spacing w:after="0"/>
              <w:jc w:val="center"/>
            </w:pPr>
            <w:r>
              <w:rPr>
                <w:rFonts w:ascii="微软雅黑" w:hAnsi="微软雅黑" w:eastAsia="微软雅黑" w:cs="微软雅黑"/>
                <w:b/>
                <w:sz w:val="16"/>
              </w:rPr>
              <w:t>会计结果/差异解释</w:t>
            </w:r>
          </w:p>
        </w:tc>
      </w:tr>
      <w:tr>
        <w:tc>
          <w:tcPr>
            <w:tcW w:type="dxa" w:w="23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企业客户—北京</w:t>
            </w:r>
          </w:p>
        </w:tc>
        <w:tc>
          <w:tcPr>
            <w:tcW w:type="dxa" w:w="32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合同600,000＋变更－70,000；验收完成</w:t>
            </w:r>
          </w:p>
        </w:tc>
        <w:tc>
          <w:tcPr>
            <w:tcW w:type="dxa" w:w="2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已收480,000；开票节点待确认</w:t>
            </w:r>
          </w:p>
        </w:tc>
        <w:tc>
          <w:tcPr>
            <w:tcW w:type="dxa" w:w="302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有效交易530,000，不能按已收确认收入</w:t>
            </w:r>
          </w:p>
        </w:tc>
      </w:tr>
      <w:tr>
        <w:tc>
          <w:tcPr>
            <w:tcW w:type="dxa" w:w="23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北京—供应商</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实际服务420,000</w:t>
            </w:r>
          </w:p>
        </w:tc>
        <w:tc>
          <w:tcPr>
            <w:tcW w:type="dxa" w:w="2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已付350,000；供应商票据分批</w:t>
            </w:r>
          </w:p>
        </w:tc>
        <w:tc>
          <w:tcPr>
            <w:tcW w:type="dxa" w:w="3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应付余额70,000</w:t>
            </w:r>
          </w:p>
        </w:tc>
      </w:tr>
      <w:tr>
        <w:tc>
          <w:tcPr>
            <w:tcW w:type="dxa" w:w="23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项目验收</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客户书面验收</w:t>
            </w:r>
          </w:p>
        </w:tc>
        <w:tc>
          <w:tcPr>
            <w:tcW w:type="dxa" w:w="2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无直接资金</w:t>
            </w:r>
          </w:p>
        </w:tc>
        <w:tc>
          <w:tcPr>
            <w:tcW w:type="dxa" w:w="3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作为收入时点依据之一</w:t>
            </w:r>
          </w:p>
        </w:tc>
      </w:tr>
      <w:tr>
        <w:tc>
          <w:tcPr>
            <w:tcW w:type="dxa" w:w="23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期末关账</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项目和往来对账</w:t>
            </w:r>
          </w:p>
        </w:tc>
        <w:tc>
          <w:tcPr>
            <w:tcW w:type="dxa" w:w="2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资金与利润不同</w:t>
            </w:r>
          </w:p>
        </w:tc>
        <w:tc>
          <w:tcPr>
            <w:tcW w:type="dxa" w:w="302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差异由50,000应收和70,000应付解释</w:t>
            </w:r>
          </w:p>
        </w:tc>
      </w:tr>
    </w:tbl>
    <w:p>
      <w:pPr>
        <w:spacing w:after="40"/>
      </w:pPr>
    </w:p>
    <w:p>
      <w:pPr>
        <w:pStyle w:val="dingding-heading3"/>
        <w:keepNext/>
        <w:keepLines/>
      </w:pPr>
      <w:r>
        <w:rPr>
          <w:rFonts w:ascii="微软雅黑" w:hAnsi="微软雅黑" w:eastAsia="微软雅黑" w:cs="微软雅黑"/>
        </w:rPr>
        <w:t>8. 会计事项和NC承接</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2200"/>
        <w:gridCol w:w="1600"/>
        <w:gridCol w:w="3900"/>
        <w:gridCol w:w="1500"/>
        <w:gridCol w:w="2020"/>
      </w:tblGrid>
      <w:tr>
        <w:trPr>
          <w:tblHeader w:val="true"/>
        </w:trPr>
        <w:tc>
          <w:tcPr>
            <w:tcW w:type="dxa" w:w="2200"/>
            <w:shd w:val="clear" w:color="auto" w:fill="F5F6F7"/>
            <w:vAlign w:val="center"/>
          </w:tcPr>
          <w:p>
            <w:pPr>
              <w:spacing w:after="0"/>
              <w:jc w:val="center"/>
            </w:pPr>
            <w:r>
              <w:rPr>
                <w:rFonts w:ascii="微软雅黑" w:hAnsi="微软雅黑" w:eastAsia="微软雅黑" w:cs="微软雅黑"/>
                <w:b/>
                <w:sz w:val="16"/>
              </w:rPr>
              <w:t>生效时点</w:t>
            </w:r>
          </w:p>
        </w:tc>
        <w:tc>
          <w:tcPr>
            <w:tcW w:type="dxa" w:w="1600"/>
            <w:shd w:val="clear" w:color="auto" w:fill="F5F6F7"/>
            <w:vAlign w:val="center"/>
          </w:tcPr>
          <w:p>
            <w:pPr>
              <w:spacing w:after="0"/>
              <w:jc w:val="center"/>
            </w:pPr>
            <w:r>
              <w:rPr>
                <w:rFonts w:ascii="微软雅黑" w:hAnsi="微软雅黑" w:eastAsia="微软雅黑" w:cs="微软雅黑"/>
                <w:b/>
                <w:sz w:val="16"/>
              </w:rPr>
              <w:t>所属公司</w:t>
            </w:r>
          </w:p>
        </w:tc>
        <w:tc>
          <w:tcPr>
            <w:tcW w:type="dxa" w:w="3900"/>
            <w:shd w:val="clear" w:color="auto" w:fill="F5F6F7"/>
            <w:vAlign w:val="center"/>
          </w:tcPr>
          <w:p>
            <w:pPr>
              <w:spacing w:after="0"/>
              <w:jc w:val="center"/>
            </w:pPr>
            <w:r>
              <w:rPr>
                <w:rFonts w:ascii="微软雅黑" w:hAnsi="微软雅黑" w:eastAsia="微软雅黑" w:cs="微软雅黑"/>
                <w:b/>
                <w:sz w:val="16"/>
              </w:rPr>
              <w:t>经济事项</w:t>
            </w:r>
          </w:p>
        </w:tc>
        <w:tc>
          <w:tcPr>
            <w:tcW w:type="dxa" w:w="1500"/>
            <w:shd w:val="clear" w:color="auto" w:fill="F5F6F7"/>
            <w:vAlign w:val="center"/>
          </w:tcPr>
          <w:p>
            <w:pPr>
              <w:spacing w:after="0"/>
              <w:jc w:val="center"/>
            </w:pPr>
            <w:r>
              <w:rPr>
                <w:rFonts w:ascii="微软雅黑" w:hAnsi="微软雅黑" w:eastAsia="微软雅黑" w:cs="微软雅黑"/>
                <w:b/>
                <w:sz w:val="16"/>
              </w:rPr>
              <w:t>金额</w:t>
            </w:r>
          </w:p>
        </w:tc>
        <w:tc>
          <w:tcPr>
            <w:tcW w:type="dxa" w:w="2020"/>
            <w:shd w:val="clear" w:color="auto" w:fill="F5F6F7"/>
            <w:vAlign w:val="center"/>
          </w:tcPr>
          <w:p>
            <w:pPr>
              <w:spacing w:after="0"/>
              <w:jc w:val="center"/>
            </w:pPr>
            <w:r>
              <w:rPr>
                <w:rFonts w:ascii="微软雅黑" w:hAnsi="微软雅黑" w:eastAsia="微软雅黑" w:cs="微软雅黑"/>
                <w:b/>
                <w:sz w:val="16"/>
              </w:rPr>
              <w:t>反向处理</w:t>
            </w:r>
          </w:p>
        </w:tc>
      </w:tr>
      <w:tr>
        <w:tc>
          <w:tcPr>
            <w:tcW w:type="dxa" w:w="2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各收款日</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北京</w:t>
            </w:r>
          </w:p>
        </w:tc>
        <w:tc>
          <w:tcPr>
            <w:tcW w:type="dxa" w:w="39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银行增加、核销应收或增加未履约客户款</w:t>
            </w:r>
          </w:p>
        </w:tc>
        <w:tc>
          <w:tcPr>
            <w:tcW w:type="dxa" w:w="1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480,000</w:t>
            </w:r>
          </w:p>
        </w:tc>
        <w:tc>
          <w:tcPr>
            <w:tcW w:type="dxa" w:w="2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退款/收款冲销</w:t>
            </w:r>
          </w:p>
        </w:tc>
      </w:tr>
      <w:tr>
        <w:tc>
          <w:tcPr>
            <w:tcW w:type="dxa" w:w="2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变更生效日</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北京</w:t>
            </w:r>
          </w:p>
        </w:tc>
        <w:tc>
          <w:tcPr>
            <w:tcW w:type="dxa" w:w="39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交易价格和应收/负债调整</w:t>
            </w:r>
          </w:p>
        </w:tc>
        <w:tc>
          <w:tcPr>
            <w:tcW w:type="dxa" w:w="1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70,000</w:t>
            </w:r>
          </w:p>
        </w:tc>
        <w:tc>
          <w:tcPr>
            <w:tcW w:type="dxa" w:w="2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变更撤销</w:t>
            </w:r>
          </w:p>
        </w:tc>
      </w:tr>
      <w:tr>
        <w:tc>
          <w:tcPr>
            <w:tcW w:type="dxa" w:w="2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成本发生日</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北京</w:t>
            </w:r>
          </w:p>
        </w:tc>
        <w:tc>
          <w:tcPr>
            <w:tcW w:type="dxa" w:w="39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成本或履约成本资产、供应商应付</w:t>
            </w:r>
          </w:p>
        </w:tc>
        <w:tc>
          <w:tcPr>
            <w:tcW w:type="dxa" w:w="1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420,000</w:t>
            </w:r>
          </w:p>
        </w:tc>
        <w:tc>
          <w:tcPr>
            <w:tcW w:type="dxa" w:w="2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成本调整</w:t>
            </w:r>
          </w:p>
        </w:tc>
      </w:tr>
      <w:tr>
        <w:tc>
          <w:tcPr>
            <w:tcW w:type="dxa" w:w="2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验收/履约日</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北京</w:t>
            </w:r>
          </w:p>
        </w:tc>
        <w:tc>
          <w:tcPr>
            <w:tcW w:type="dxa" w:w="39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收入确认</w:t>
            </w:r>
          </w:p>
        </w:tc>
        <w:tc>
          <w:tcPr>
            <w:tcW w:type="dxa" w:w="1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530,000</w:t>
            </w:r>
          </w:p>
        </w:tc>
        <w:tc>
          <w:tcPr>
            <w:tcW w:type="dxa" w:w="2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收入调整</w:t>
            </w:r>
          </w:p>
        </w:tc>
      </w:tr>
      <w:tr>
        <w:tc>
          <w:tcPr>
            <w:tcW w:type="dxa" w:w="2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付款日</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北京</w:t>
            </w:r>
          </w:p>
        </w:tc>
        <w:tc>
          <w:tcPr>
            <w:tcW w:type="dxa" w:w="39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应付减少、银行减少</w:t>
            </w:r>
          </w:p>
        </w:tc>
        <w:tc>
          <w:tcPr>
            <w:tcW w:type="dxa" w:w="1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350,000</w:t>
            </w:r>
          </w:p>
        </w:tc>
        <w:tc>
          <w:tcPr>
            <w:tcW w:type="dxa" w:w="2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付款退回</w:t>
            </w:r>
          </w:p>
        </w:tc>
      </w:tr>
    </w:tbl>
    <w:p>
      <w:pPr>
        <w:spacing w:after="40"/>
      </w:pPr>
    </w:p>
    <w:p>
      <w:pPr>
        <w:spacing w:before="80" w:after="200" w:line="288" w:lineRule="auto"/>
        <w:ind w:left="115" w:right="115"/>
        <w:shd w:val="clear" w:fill="FFF4E5"/>
        <w:pBdr>
          <w:top w:val="single" w:sz="6" w:space="4" w:color="E6D8C8"/>
          <w:left w:val="single" w:sz="6" w:space="4" w:color="E6D8C8"/>
          <w:bottom w:val="single" w:sz="6" w:space="4" w:color="E6D8C8"/>
          <w:right w:val="single" w:sz="6" w:space="4" w:color="E6D8C8"/>
        </w:pBdr>
      </w:pPr>
      <w:r>
        <w:rPr>
          <w:rFonts w:ascii="微软雅黑" w:hAnsi="微软雅黑" w:eastAsia="微软雅黑" w:cs="微软雅黑"/>
          <w:b/>
          <w:sz w:val="20"/>
        </w:rPr>
        <w:t>本案例的核心判断：</w:t>
      </w:r>
      <w:r>
        <w:rPr>
          <w:rFonts w:ascii="微软雅黑" w:hAnsi="微软雅黑" w:eastAsia="微软雅黑" w:cs="微软雅黑"/>
          <w:sz w:val="20"/>
        </w:rPr>
        <w:t>项目阶段收款是资金和债权管理节点，不天然等于阶段收入。系统必须分别保留付款计划、无条件收款权、实际收款、履约进度和客户验收。</w:t>
      </w:r>
    </w:p>
    <w:p>
      <w:pPr>
        <w:pStyle w:val="dingding-heading3"/>
        <w:keepNext/>
        <w:keepLines/>
      </w:pPr>
      <w:r>
        <w:rPr>
          <w:rFonts w:ascii="微软雅黑" w:hAnsi="微软雅黑" w:eastAsia="微软雅黑" w:cs="微软雅黑"/>
        </w:rPr>
        <w:t>财务需要逐项确认</w:t>
      </w:r>
    </w:p>
    <w:p>
      <w:pPr>
        <w:spacing w:after="60"/>
        <w:ind w:left="418" w:hanging="418"/>
        <w:numPr>
          <w:ilvl w:val="0"/>
          <w:numId w:val="1"/>
        </w:numPr>
      </w:pPr>
      <w:r>
        <w:rPr>
          <w:rFonts w:ascii="微软雅黑" w:hAnsi="微软雅黑" w:eastAsia="微软雅黑" w:cs="微软雅黑"/>
          <w:sz w:val="21"/>
        </w:rPr>
        <w:t>该类项目是一个整体履约义务还是多个可区分服务？</w:t>
      </w:r>
    </w:p>
    <w:p>
      <w:pPr>
        <w:spacing w:after="60"/>
        <w:ind w:left="418" w:hanging="418"/>
        <w:numPr>
          <w:ilvl w:val="0"/>
          <w:numId w:val="1"/>
        </w:numPr>
      </w:pPr>
      <w:r>
        <w:rPr>
          <w:rFonts w:ascii="微软雅黑" w:hAnsi="微软雅黑" w:eastAsia="微软雅黑" w:cs="微软雅黑"/>
          <w:sz w:val="21"/>
        </w:rPr>
        <w:t>采用时点验收还是时段进度确认收入；进度依据是什么？</w:t>
      </w:r>
    </w:p>
    <w:p>
      <w:pPr>
        <w:spacing w:after="60"/>
        <w:ind w:left="418" w:hanging="418"/>
        <w:numPr>
          <w:ilvl w:val="0"/>
          <w:numId w:val="1"/>
        </w:numPr>
      </w:pPr>
      <w:r>
        <w:rPr>
          <w:rFonts w:ascii="微软雅黑" w:hAnsi="微软雅黑" w:eastAsia="微软雅黑" w:cs="微软雅黑"/>
          <w:sz w:val="21"/>
        </w:rPr>
        <w:t>阶段付款计划何时形成会计应收，何时仅是业务待收？</w:t>
      </w:r>
    </w:p>
    <w:p>
      <w:pPr>
        <w:spacing w:after="60"/>
        <w:ind w:left="418" w:hanging="418"/>
        <w:numPr>
          <w:ilvl w:val="0"/>
          <w:numId w:val="1"/>
        </w:numPr>
      </w:pPr>
      <w:r>
        <w:rPr>
          <w:rFonts w:ascii="微软雅黑" w:hAnsi="微软雅黑" w:eastAsia="微软雅黑" w:cs="微软雅黑"/>
          <w:sz w:val="21"/>
        </w:rPr>
        <w:t>合同变更70,000在验收前、验收后分别怎样调整？</w:t>
      </w:r>
    </w:p>
    <w:p>
      <w:pPr>
        <w:spacing w:after="60"/>
        <w:ind w:left="418" w:hanging="418"/>
        <w:numPr>
          <w:ilvl w:val="0"/>
          <w:numId w:val="1"/>
        </w:numPr>
      </w:pPr>
      <w:r>
        <w:rPr>
          <w:rFonts w:ascii="微软雅黑" w:hAnsi="微软雅黑" w:eastAsia="微软雅黑" w:cs="微软雅黑"/>
          <w:sz w:val="21"/>
        </w:rPr>
        <w:t>成本420,000中哪些可在验收前作为履约成本资产，哪些应直接费用化？</w:t>
      </w:r>
    </w:p>
    <w:p>
      <w:pPr/>
      <w:r>
        <w:br w:type="page"/>
      </w:r>
    </w:p>
    <w:p>
      <w:pPr>
        <w:pStyle w:val="dingding-heading2"/>
        <w:keepNext/>
        <w:keepLines/>
      </w:pPr>
      <w:r>
        <w:rPr>
          <w:rFonts w:ascii="微软雅黑" w:hAnsi="微软雅黑" w:eastAsia="微软雅黑" w:cs="微软雅黑"/>
        </w:rPr>
        <w:t>案例6：外币供应商应付、付款、手续费和汇兑差额</w:t>
      </w:r>
    </w:p>
    <w:p>
      <w:pPr>
        <w:pStyle w:val="dingding_quote"/>
        <w:spacing w:before="80" w:after="200" w:line="288" w:lineRule="auto"/>
      </w:pPr>
      <w:r>
        <w:rPr>
          <w:rFonts w:ascii="微软雅黑" w:hAnsi="微软雅黑" w:eastAsia="微软雅黑" w:cs="微软雅黑"/>
          <w:b/>
          <w:color w:val="A0A0A0"/>
          <w:sz w:val="21"/>
        </w:rPr>
        <w:t>场景定位：</w:t>
      </w:r>
      <w:r>
        <w:rPr>
          <w:rFonts w:ascii="微软雅黑" w:hAnsi="微软雅黑" w:eastAsia="微软雅黑" w:cs="微软雅黑"/>
          <w:b w:val="0"/>
          <w:color w:val="A0A0A0"/>
          <w:sz w:val="21"/>
        </w:rPr>
        <w:t>境外地接采购 × 欧元应付 × 人民币本位币记录 × 付款汇率变化 × 银行手续费</w:t>
      </w:r>
      <w:r>
        <w:br/>
      </w:r>
      <w:r>
        <w:rPr>
          <w:rFonts w:ascii="微软雅黑" w:hAnsi="微软雅黑" w:eastAsia="微软雅黑" w:cs="微软雅黑"/>
          <w:b/>
          <w:color w:val="A0A0A0"/>
          <w:sz w:val="21"/>
        </w:rPr>
        <w:t>验证重点：</w:t>
      </w:r>
      <w:r>
        <w:rPr>
          <w:rFonts w:ascii="微软雅黑" w:hAnsi="微软雅黑" w:eastAsia="微软雅黑" w:cs="微软雅黑"/>
          <w:b w:val="0"/>
          <w:color w:val="A0A0A0"/>
          <w:sz w:val="21"/>
        </w:rPr>
        <w:t>原币、本位币、确认汇率和付款汇率必须同时保留；2,000汇兑差额不能混入供应商成本</w:t>
      </w:r>
      <w:r>
        <w:br/>
      </w:r>
      <w:r>
        <w:rPr>
          <w:rFonts w:ascii="微软雅黑" w:hAnsi="微软雅黑" w:eastAsia="微软雅黑" w:cs="微软雅黑"/>
          <w:b/>
          <w:color w:val="A0A0A0"/>
          <w:sz w:val="21"/>
        </w:rPr>
        <w:t>金额说明：</w:t>
      </w:r>
      <w:r>
        <w:rPr>
          <w:rFonts w:ascii="微软雅黑" w:hAnsi="微软雅黑" w:eastAsia="微软雅黑" w:cs="微软雅黑"/>
          <w:b w:val="0"/>
          <w:color w:val="A0A0A0"/>
          <w:sz w:val="21"/>
        </w:rPr>
        <w:t>以下均为含税业务金额；收入时点、税额、发票和正式会计科目以财务确认结论为准。</w:t>
      </w:r>
    </w:p>
    <w:p>
      <w:pPr>
        <w:pStyle w:val="dingding-heading3"/>
        <w:keepNext/>
        <w:keepLines/>
      </w:pPr>
      <w:r>
        <w:rPr>
          <w:rFonts w:ascii="微软雅黑" w:hAnsi="微软雅黑" w:eastAsia="微软雅黑" w:cs="微软雅黑"/>
        </w:rPr>
        <w:t>1. 业务场景设定</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2500"/>
        <w:gridCol w:w="8720"/>
      </w:tblGrid>
      <w:tr>
        <w:trPr>
          <w:tblHeader w:val="true"/>
        </w:trPr>
        <w:tc>
          <w:tcPr>
            <w:tcW w:type="dxa" w:w="2500"/>
            <w:shd w:val="clear" w:color="auto" w:fill="F5F6F7"/>
            <w:vAlign w:val="center"/>
          </w:tcPr>
          <w:p>
            <w:pPr>
              <w:spacing w:after="0"/>
              <w:jc w:val="center"/>
            </w:pPr>
            <w:r>
              <w:rPr>
                <w:rFonts w:ascii="微软雅黑" w:hAnsi="微软雅黑" w:eastAsia="微软雅黑" w:cs="微软雅黑"/>
                <w:b/>
                <w:sz w:val="19"/>
              </w:rPr>
              <w:t>项目</w:t>
            </w:r>
          </w:p>
        </w:tc>
        <w:tc>
          <w:tcPr>
            <w:tcW w:type="dxa" w:w="8720"/>
            <w:shd w:val="clear" w:color="auto" w:fill="F5F6F7"/>
            <w:vAlign w:val="center"/>
          </w:tcPr>
          <w:p>
            <w:pPr>
              <w:spacing w:after="0"/>
              <w:jc w:val="center"/>
            </w:pPr>
            <w:r>
              <w:rPr>
                <w:rFonts w:ascii="微软雅黑" w:hAnsi="微软雅黑" w:eastAsia="微软雅黑" w:cs="微软雅黑"/>
                <w:b/>
                <w:sz w:val="19"/>
              </w:rPr>
              <w:t>内容</w:t>
            </w:r>
          </w:p>
        </w:tc>
      </w:tr>
      <w:tr>
        <w:tc>
          <w:tcPr>
            <w:tcW w:type="dxa" w:w="25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9"/>
              </w:rPr>
              <w:t>采购公司</w:t>
            </w:r>
          </w:p>
        </w:tc>
        <w:tc>
          <w:tcPr>
            <w:tcW w:type="dxa" w:w="87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9"/>
              </w:rPr>
              <w:t>北京凯撒旅行社有限公司</w:t>
            </w:r>
          </w:p>
        </w:tc>
      </w:tr>
      <w:tr>
        <w:tc>
          <w:tcPr>
            <w:tcW w:type="dxa" w:w="25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9"/>
              </w:rPr>
              <w:t>供应商</w:t>
            </w:r>
          </w:p>
        </w:tc>
        <w:tc>
          <w:tcPr>
            <w:tcW w:type="dxa" w:w="87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9"/>
              </w:rPr>
              <w:t>境外地接社</w:t>
            </w:r>
          </w:p>
        </w:tc>
      </w:tr>
      <w:tr>
        <w:tc>
          <w:tcPr>
            <w:tcW w:type="dxa" w:w="25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9"/>
              </w:rPr>
              <w:t>采购金额</w:t>
            </w:r>
          </w:p>
        </w:tc>
        <w:tc>
          <w:tcPr>
            <w:tcW w:type="dxa" w:w="87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9"/>
              </w:rPr>
              <w:t>20,000欧元</w:t>
            </w:r>
          </w:p>
        </w:tc>
      </w:tr>
      <w:tr>
        <w:tc>
          <w:tcPr>
            <w:tcW w:type="dxa" w:w="25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9"/>
              </w:rPr>
              <w:t>应付确认汇率</w:t>
            </w:r>
          </w:p>
        </w:tc>
        <w:tc>
          <w:tcPr>
            <w:tcW w:type="dxa" w:w="872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9"/>
              </w:rPr>
              <w:t>1欧元=7.80元人民币，应付账面156,000元人民币</w:t>
            </w:r>
          </w:p>
        </w:tc>
      </w:tr>
      <w:tr>
        <w:tc>
          <w:tcPr>
            <w:tcW w:type="dxa" w:w="25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9"/>
              </w:rPr>
              <w:t>付款汇率</w:t>
            </w:r>
          </w:p>
        </w:tc>
        <w:tc>
          <w:tcPr>
            <w:tcW w:type="dxa" w:w="872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9"/>
              </w:rPr>
              <w:t>1欧元=7.90元人民币，银行实际扣款158,000元人民币</w:t>
            </w:r>
          </w:p>
        </w:tc>
      </w:tr>
      <w:tr>
        <w:tc>
          <w:tcPr>
            <w:tcW w:type="dxa" w:w="25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9"/>
              </w:rPr>
              <w:t>银行手续费</w:t>
            </w:r>
          </w:p>
        </w:tc>
        <w:tc>
          <w:tcPr>
            <w:tcW w:type="dxa" w:w="872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9"/>
              </w:rPr>
              <w:t>100欧元×7.90=790元人民币</w:t>
            </w:r>
          </w:p>
        </w:tc>
      </w:tr>
      <w:tr>
        <w:tc>
          <w:tcPr>
            <w:tcW w:type="dxa" w:w="25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9"/>
              </w:rPr>
              <w:t>案例假设</w:t>
            </w:r>
          </w:p>
        </w:tc>
        <w:tc>
          <w:tcPr>
            <w:tcW w:type="dxa" w:w="872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9"/>
              </w:rPr>
              <w:t>服务已完成后确认应付，随后一次性付款；不含期末跨月重估</w:t>
            </w:r>
          </w:p>
        </w:tc>
      </w:tr>
    </w:tbl>
    <w:p>
      <w:pPr>
        <w:spacing w:after="40"/>
      </w:pPr>
    </w:p>
    <w:p>
      <w:pPr>
        <w:pStyle w:val="dingding-heading3"/>
        <w:keepNext/>
        <w:keepLines/>
      </w:pPr>
      <w:r>
        <w:rPr>
          <w:rFonts w:ascii="微软雅黑" w:hAnsi="微软雅黑" w:eastAsia="微软雅黑" w:cs="微软雅黑"/>
        </w:rPr>
        <w:t>2. 参与方和财务责任</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2600"/>
        <w:gridCol w:w="3300"/>
        <w:gridCol w:w="5320"/>
      </w:tblGrid>
      <w:tr>
        <w:trPr>
          <w:tblHeader w:val="true"/>
        </w:trPr>
        <w:tc>
          <w:tcPr>
            <w:tcW w:type="dxa" w:w="2600"/>
            <w:shd w:val="clear" w:color="auto" w:fill="F5F6F7"/>
            <w:vAlign w:val="center"/>
          </w:tcPr>
          <w:p>
            <w:pPr>
              <w:spacing w:after="0"/>
              <w:jc w:val="center"/>
            </w:pPr>
            <w:r>
              <w:rPr>
                <w:rFonts w:ascii="微软雅黑" w:hAnsi="微软雅黑" w:eastAsia="微软雅黑" w:cs="微软雅黑"/>
                <w:b/>
                <w:sz w:val="17"/>
              </w:rPr>
              <w:t>责任</w:t>
            </w:r>
          </w:p>
        </w:tc>
        <w:tc>
          <w:tcPr>
            <w:tcW w:type="dxa" w:w="3300"/>
            <w:shd w:val="clear" w:color="auto" w:fill="F5F6F7"/>
            <w:vAlign w:val="center"/>
          </w:tcPr>
          <w:p>
            <w:pPr>
              <w:spacing w:after="0"/>
              <w:jc w:val="center"/>
            </w:pPr>
            <w:r>
              <w:rPr>
                <w:rFonts w:ascii="微软雅黑" w:hAnsi="微软雅黑" w:eastAsia="微软雅黑" w:cs="微软雅黑"/>
                <w:b/>
                <w:sz w:val="17"/>
              </w:rPr>
              <w:t>承担方</w:t>
            </w:r>
          </w:p>
        </w:tc>
        <w:tc>
          <w:tcPr>
            <w:tcW w:type="dxa" w:w="5320"/>
            <w:shd w:val="clear" w:color="auto" w:fill="F5F6F7"/>
            <w:vAlign w:val="center"/>
          </w:tcPr>
          <w:p>
            <w:pPr>
              <w:spacing w:after="0"/>
              <w:jc w:val="center"/>
            </w:pPr>
            <w:r>
              <w:rPr>
                <w:rFonts w:ascii="微软雅黑" w:hAnsi="微软雅黑" w:eastAsia="微软雅黑" w:cs="微软雅黑"/>
                <w:b/>
                <w:sz w:val="17"/>
              </w:rPr>
              <w:t>判断依据</w:t>
            </w:r>
          </w:p>
        </w:tc>
      </w:tr>
      <w:tr>
        <w:tc>
          <w:tcPr>
            <w:tcW w:type="dxa" w:w="26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境外采购和成本</w:t>
            </w:r>
          </w:p>
        </w:tc>
        <w:tc>
          <w:tcPr>
            <w:tcW w:type="dxa" w:w="33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北京公司</w:t>
            </w:r>
          </w:p>
        </w:tc>
        <w:tc>
          <w:tcPr>
            <w:tcW w:type="dxa" w:w="53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境外采购合同和服务完成证明</w:t>
            </w:r>
          </w:p>
        </w:tc>
      </w:tr>
      <w:tr>
        <w:tc>
          <w:tcPr>
            <w:tcW w:type="dxa" w:w="26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外币应付</w:t>
            </w:r>
          </w:p>
        </w:tc>
        <w:tc>
          <w:tcPr>
            <w:tcW w:type="dxa" w:w="33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北京公司</w:t>
            </w:r>
          </w:p>
        </w:tc>
        <w:tc>
          <w:tcPr>
            <w:tcW w:type="dxa" w:w="53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应付确认日汇率和原币金额</w:t>
            </w:r>
          </w:p>
        </w:tc>
      </w:tr>
      <w:tr>
        <w:tc>
          <w:tcPr>
            <w:tcW w:type="dxa" w:w="26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外币付款</w:t>
            </w:r>
          </w:p>
        </w:tc>
        <w:tc>
          <w:tcPr>
            <w:tcW w:type="dxa" w:w="33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北京公司出纳</w:t>
            </w:r>
          </w:p>
        </w:tc>
        <w:tc>
          <w:tcPr>
            <w:tcW w:type="dxa" w:w="53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银行扣款和付款汇率</w:t>
            </w:r>
          </w:p>
        </w:tc>
      </w:tr>
      <w:tr>
        <w:tc>
          <w:tcPr>
            <w:tcW w:type="dxa" w:w="26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汇兑差额与手续费</w:t>
            </w:r>
          </w:p>
        </w:tc>
        <w:tc>
          <w:tcPr>
            <w:tcW w:type="dxa" w:w="33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北京公司财务</w:t>
            </w:r>
          </w:p>
        </w:tc>
        <w:tc>
          <w:tcPr>
            <w:tcW w:type="dxa" w:w="53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应付账面额与实际扣款差额、银行费用</w:t>
            </w:r>
          </w:p>
        </w:tc>
      </w:tr>
      <w:tr>
        <w:tc>
          <w:tcPr>
            <w:tcW w:type="dxa" w:w="26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NC账簿</w:t>
            </w:r>
          </w:p>
        </w:tc>
        <w:tc>
          <w:tcPr>
            <w:tcW w:type="dxa" w:w="33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北京公司</w:t>
            </w:r>
          </w:p>
        </w:tc>
        <w:tc>
          <w:tcPr>
            <w:tcW w:type="dxa" w:w="53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原币、汇率、本位币和供应商辅助核对</w:t>
            </w:r>
          </w:p>
        </w:tc>
      </w:tr>
    </w:tbl>
    <w:p>
      <w:pPr>
        <w:spacing w:after="40"/>
      </w:pPr>
    </w:p>
    <w:p>
      <w:pPr>
        <w:pStyle w:val="dingding-heading3"/>
        <w:keepNext/>
        <w:keepLines/>
      </w:pPr>
      <w:r>
        <w:rPr>
          <w:rFonts w:ascii="微软雅黑" w:hAnsi="微软雅黑" w:eastAsia="微软雅黑" w:cs="微软雅黑"/>
        </w:rPr>
        <w:t>3. 完整价格和金额拆解</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3000"/>
        <w:gridCol w:w="3100"/>
        <w:gridCol w:w="1700"/>
        <w:gridCol w:w="3420"/>
      </w:tblGrid>
      <w:tr>
        <w:trPr>
          <w:tblHeader w:val="true"/>
        </w:trPr>
        <w:tc>
          <w:tcPr>
            <w:tcW w:type="dxa" w:w="3000"/>
            <w:shd w:val="clear" w:color="auto" w:fill="F5F6F7"/>
            <w:vAlign w:val="center"/>
          </w:tcPr>
          <w:p>
            <w:pPr>
              <w:spacing w:after="0"/>
              <w:jc w:val="center"/>
            </w:pPr>
            <w:r>
              <w:rPr>
                <w:rFonts w:ascii="微软雅黑" w:hAnsi="微软雅黑" w:eastAsia="微软雅黑" w:cs="微软雅黑"/>
                <w:b/>
                <w:sz w:val="17"/>
              </w:rPr>
              <w:t>金额项目</w:t>
            </w:r>
          </w:p>
        </w:tc>
        <w:tc>
          <w:tcPr>
            <w:tcW w:type="dxa" w:w="3100"/>
            <w:shd w:val="clear" w:color="auto" w:fill="F5F6F7"/>
            <w:vAlign w:val="center"/>
          </w:tcPr>
          <w:p>
            <w:pPr>
              <w:spacing w:after="0"/>
              <w:jc w:val="center"/>
            </w:pPr>
            <w:r>
              <w:rPr>
                <w:rFonts w:ascii="微软雅黑" w:hAnsi="微软雅黑" w:eastAsia="微软雅黑" w:cs="微软雅黑"/>
                <w:b/>
                <w:sz w:val="17"/>
              </w:rPr>
              <w:t>计算</w:t>
            </w:r>
          </w:p>
        </w:tc>
        <w:tc>
          <w:tcPr>
            <w:tcW w:type="dxa" w:w="1700"/>
            <w:shd w:val="clear" w:color="auto" w:fill="F5F6F7"/>
            <w:vAlign w:val="center"/>
          </w:tcPr>
          <w:p>
            <w:pPr>
              <w:spacing w:after="0"/>
              <w:jc w:val="center"/>
            </w:pPr>
            <w:r>
              <w:rPr>
                <w:rFonts w:ascii="微软雅黑" w:hAnsi="微软雅黑" w:eastAsia="微软雅黑" w:cs="微软雅黑"/>
                <w:b/>
                <w:sz w:val="17"/>
              </w:rPr>
              <w:t>金额</w:t>
            </w:r>
          </w:p>
        </w:tc>
        <w:tc>
          <w:tcPr>
            <w:tcW w:type="dxa" w:w="3420"/>
            <w:shd w:val="clear" w:color="auto" w:fill="F5F6F7"/>
            <w:vAlign w:val="center"/>
          </w:tcPr>
          <w:p>
            <w:pPr>
              <w:spacing w:after="0"/>
              <w:jc w:val="center"/>
            </w:pPr>
            <w:r>
              <w:rPr>
                <w:rFonts w:ascii="微软雅黑" w:hAnsi="微软雅黑" w:eastAsia="微软雅黑" w:cs="微软雅黑"/>
                <w:b/>
                <w:sz w:val="17"/>
              </w:rPr>
              <w:t>最终去向</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供应商原币应付</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合同金额</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20,000欧元</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外币往来</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应付本位币</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20,000×7.80</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156,000元</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成本和应付账面额</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实际付款本位币</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20,000×7.90</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158,000元</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银行扣款</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汇兑差额</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158,000－156,000</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2,000元</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汇兑损失</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银行手续费</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100×7.90</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790元</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财务费用</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总资金流出</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158,000＋790</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158,790元</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银行实际减少</w:t>
            </w:r>
          </w:p>
        </w:tc>
      </w:tr>
    </w:tbl>
    <w:p>
      <w:pPr>
        <w:spacing w:after="40"/>
      </w:pPr>
    </w:p>
    <w:p>
      <w:pPr>
        <w:pStyle w:val="dingding-heading3"/>
        <w:keepNext/>
        <w:keepLines/>
      </w:pPr>
      <w:r>
        <w:rPr>
          <w:rFonts w:ascii="微软雅黑" w:hAnsi="微软雅黑" w:eastAsia="微软雅黑" w:cs="微软雅黑"/>
        </w:rPr>
        <w:t>4. 交易、债权债务和实际资金</w:t>
      </w:r>
    </w:p>
    <w:p>
      <w:pPr>
        <w:pStyle w:val="dingding_code"/>
        <w:spacing w:before="80" w:after="200" w:lineRule="exact" w:line="252"/>
        <w:ind w:left="115" w:right="115"/>
        <w:shd w:val="clear" w:fill="F2F3F5"/>
      </w:pPr>
      <w:r>
        <w:rPr>
          <w:rFonts w:ascii="Menlo" w:hAnsi="Menlo" w:eastAsia="Menlo" w:cs="Menlo"/>
          <w:sz w:val="17"/>
        </w:rPr>
        <w:t>服务完成：北京公司确认20,000欧元应付，按7.80折算156,000元人民币</w:t>
        <w:br/>
        <w:t>付款日：北京公司支付20,000欧元，按7.90形成银行扣款158,000元人民币</w:t>
        <w:br/>
        <w:t>差额：158,000 - 156,000 = 汇兑损失2,000</w:t>
        <w:br/>
        <w:t>手续费：100欧元 × 7.90 = 790元人民币</w:t>
        <w:br/>
        <w:t>银行总流出：158,790</w:t>
      </w:r>
    </w:p>
    <w:p>
      <w:pPr>
        <w:pStyle w:val="dingding-heading3"/>
        <w:keepNext/>
        <w:keepLines/>
      </w:pPr>
      <w:r>
        <w:rPr>
          <w:rFonts w:ascii="微软雅黑" w:hAnsi="微软雅黑" w:eastAsia="微软雅黑" w:cs="微软雅黑"/>
        </w:rPr>
        <w:t>5. 分阶段业务与财务变化</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1550"/>
        <w:gridCol w:w="2600"/>
        <w:gridCol w:w="3200"/>
        <w:gridCol w:w="1600"/>
        <w:gridCol w:w="2270"/>
      </w:tblGrid>
      <w:tr>
        <w:trPr>
          <w:tblHeader w:val="true"/>
        </w:trPr>
        <w:tc>
          <w:tcPr>
            <w:tcW w:type="dxa" w:w="1550"/>
            <w:shd w:val="clear" w:color="auto" w:fill="F5F6F7"/>
            <w:vAlign w:val="center"/>
          </w:tcPr>
          <w:p>
            <w:pPr>
              <w:spacing w:after="0"/>
              <w:jc w:val="center"/>
            </w:pPr>
            <w:r>
              <w:rPr>
                <w:rFonts w:ascii="微软雅黑" w:hAnsi="微软雅黑" w:eastAsia="微软雅黑" w:cs="微软雅黑"/>
                <w:b/>
                <w:sz w:val="16"/>
              </w:rPr>
              <w:t>阶段</w:t>
            </w:r>
          </w:p>
        </w:tc>
        <w:tc>
          <w:tcPr>
            <w:tcW w:type="dxa" w:w="2600"/>
            <w:shd w:val="clear" w:color="auto" w:fill="F5F6F7"/>
            <w:vAlign w:val="center"/>
          </w:tcPr>
          <w:p>
            <w:pPr>
              <w:spacing w:after="0"/>
              <w:jc w:val="center"/>
            </w:pPr>
            <w:r>
              <w:rPr>
                <w:rFonts w:ascii="微软雅黑" w:hAnsi="微软雅黑" w:eastAsia="微软雅黑" w:cs="微软雅黑"/>
                <w:b/>
                <w:sz w:val="16"/>
              </w:rPr>
              <w:t>业务事实</w:t>
            </w:r>
          </w:p>
        </w:tc>
        <w:tc>
          <w:tcPr>
            <w:tcW w:type="dxa" w:w="3200"/>
            <w:shd w:val="clear" w:color="auto" w:fill="F5F6F7"/>
            <w:vAlign w:val="center"/>
          </w:tcPr>
          <w:p>
            <w:pPr>
              <w:spacing w:after="0"/>
              <w:jc w:val="center"/>
            </w:pPr>
            <w:r>
              <w:rPr>
                <w:rFonts w:ascii="微软雅黑" w:hAnsi="微软雅黑" w:eastAsia="微软雅黑" w:cs="微软雅黑"/>
                <w:b/>
                <w:sz w:val="16"/>
              </w:rPr>
              <w:t>记录和余额变化</w:t>
            </w:r>
          </w:p>
        </w:tc>
        <w:tc>
          <w:tcPr>
            <w:tcW w:type="dxa" w:w="1600"/>
            <w:shd w:val="clear" w:color="auto" w:fill="F5F6F7"/>
            <w:vAlign w:val="center"/>
          </w:tcPr>
          <w:p>
            <w:pPr>
              <w:spacing w:after="0"/>
              <w:jc w:val="center"/>
            </w:pPr>
            <w:r>
              <w:rPr>
                <w:rFonts w:ascii="微软雅黑" w:hAnsi="微软雅黑" w:eastAsia="微软雅黑" w:cs="微软雅黑"/>
                <w:b/>
                <w:sz w:val="16"/>
              </w:rPr>
              <w:t>实际资金</w:t>
            </w:r>
          </w:p>
        </w:tc>
        <w:tc>
          <w:tcPr>
            <w:tcW w:type="dxa" w:w="2270"/>
            <w:shd w:val="clear" w:color="auto" w:fill="F5F6F7"/>
            <w:vAlign w:val="center"/>
          </w:tcPr>
          <w:p>
            <w:pPr>
              <w:spacing w:after="0"/>
              <w:jc w:val="center"/>
            </w:pPr>
            <w:r>
              <w:rPr>
                <w:rFonts w:ascii="微软雅黑" w:hAnsi="微软雅黑" w:eastAsia="微软雅黑" w:cs="微软雅黑"/>
                <w:b/>
                <w:sz w:val="16"/>
              </w:rPr>
              <w:t>会计及NC状态</w:t>
            </w:r>
          </w:p>
        </w:tc>
      </w:tr>
      <w:tr>
        <w:tc>
          <w:tcPr>
            <w:tcW w:type="dxa" w:w="155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合同签订</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约定20,000欧元</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保存币种和结算条件</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0</w:t>
            </w:r>
          </w:p>
        </w:tc>
        <w:tc>
          <w:tcPr>
            <w:tcW w:type="dxa" w:w="227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合同本身通常不入账</w:t>
            </w:r>
          </w:p>
        </w:tc>
      </w:tr>
      <w:tr>
        <w:tc>
          <w:tcPr>
            <w:tcW w:type="dxa" w:w="155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服务完成</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境外地接履约</w:t>
            </w:r>
          </w:p>
        </w:tc>
        <w:tc>
          <w:tcPr>
            <w:tcW w:type="dxa" w:w="32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确认原币应付20,000和本位币156,000</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0</w:t>
            </w:r>
          </w:p>
        </w:tc>
        <w:tc>
          <w:tcPr>
            <w:tcW w:type="dxa" w:w="227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成本和应付事项</w:t>
            </w:r>
          </w:p>
        </w:tc>
      </w:tr>
      <w:tr>
        <w:tc>
          <w:tcPr>
            <w:tcW w:type="dxa" w:w="155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付款</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按7.90支付</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原币应付清零；本位币差额2,000</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－158,000</w:t>
            </w:r>
          </w:p>
        </w:tc>
        <w:tc>
          <w:tcPr>
            <w:tcW w:type="dxa" w:w="227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付款及汇兑事项</w:t>
            </w:r>
          </w:p>
        </w:tc>
      </w:tr>
      <w:tr>
        <w:tc>
          <w:tcPr>
            <w:tcW w:type="dxa" w:w="155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手续费</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银行另扣100欧元</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费用790</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－790</w:t>
            </w:r>
          </w:p>
        </w:tc>
        <w:tc>
          <w:tcPr>
            <w:tcW w:type="dxa" w:w="227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手续费事项</w:t>
            </w:r>
          </w:p>
        </w:tc>
      </w:tr>
      <w:tr>
        <w:tc>
          <w:tcPr>
            <w:tcW w:type="dxa" w:w="155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期末对账</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原币应付0</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供应商和银行对账无差异</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0</w:t>
            </w:r>
          </w:p>
        </w:tc>
        <w:tc>
          <w:tcPr>
            <w:tcW w:type="dxa" w:w="227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NC原币、本位币一致</w:t>
            </w:r>
          </w:p>
        </w:tc>
      </w:tr>
    </w:tbl>
    <w:p>
      <w:pPr>
        <w:spacing w:after="40"/>
      </w:pPr>
    </w:p>
    <w:p>
      <w:pPr>
        <w:pStyle w:val="dingding-heading3"/>
        <w:keepNext/>
        <w:keepLines/>
      </w:pPr>
      <w:r>
        <w:rPr>
          <w:rFonts w:ascii="微软雅黑" w:hAnsi="微软雅黑" w:eastAsia="微软雅黑" w:cs="微软雅黑"/>
        </w:rPr>
        <w:t>6. 余额、结果和反算</w:t>
      </w:r>
    </w:p>
    <w:p>
      <w:pPr>
        <w:pStyle w:val="dingding_code"/>
        <w:spacing w:before="80" w:after="200" w:lineRule="exact" w:line="254"/>
        <w:ind w:left="115" w:right="115"/>
        <w:shd w:val="clear" w:fill="F2F3F5"/>
      </w:pPr>
      <w:r>
        <w:rPr>
          <w:rFonts w:ascii="Menlo" w:hAnsi="Menlo" w:eastAsia="Menlo" w:cs="Menlo"/>
          <w:sz w:val="17"/>
        </w:rPr>
        <w:t>应付账面额：20,000欧元 × 7.80 = 156,000元人民币</w:t>
        <w:br/>
        <w:t>实际付款：20,000欧元 × 7.90 = 158,000元人民币</w:t>
        <w:br/>
        <w:t>汇兑损失：158,000 - 156,000 = 2,000</w:t>
        <w:br/>
        <w:t>手续费：100欧元 × 7.90 = 790元人民币</w:t>
        <w:br/>
        <w:t>银行总流出：158,000 + 790 = 158,790</w:t>
        <w:br/>
        <w:br/>
        <w:t>付款后：供应商原币应付0；汇兑差额2,000和手续费790各自有独立依据。</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2800"/>
        <w:gridCol w:w="2500"/>
        <w:gridCol w:w="3000"/>
        <w:gridCol w:w="2920"/>
      </w:tblGrid>
      <w:tr>
        <w:trPr>
          <w:tblHeader w:val="true"/>
        </w:trPr>
        <w:tc>
          <w:tcPr>
            <w:tcW w:type="dxa" w:w="2800"/>
            <w:shd w:val="clear" w:color="auto" w:fill="F5F6F7"/>
            <w:vAlign w:val="center"/>
          </w:tcPr>
          <w:p>
            <w:pPr>
              <w:spacing w:after="0"/>
              <w:jc w:val="center"/>
            </w:pPr>
            <w:r>
              <w:rPr>
                <w:rFonts w:ascii="微软雅黑" w:hAnsi="微软雅黑" w:eastAsia="微软雅黑" w:cs="微软雅黑"/>
                <w:b/>
                <w:sz w:val="17"/>
              </w:rPr>
              <w:t>观察层次</w:t>
            </w:r>
          </w:p>
        </w:tc>
        <w:tc>
          <w:tcPr>
            <w:tcW w:type="dxa" w:w="2500"/>
            <w:shd w:val="clear" w:color="auto" w:fill="F5F6F7"/>
            <w:vAlign w:val="center"/>
          </w:tcPr>
          <w:p>
            <w:pPr>
              <w:spacing w:after="0"/>
              <w:jc w:val="center"/>
            </w:pPr>
            <w:r>
              <w:rPr>
                <w:rFonts w:ascii="微软雅黑" w:hAnsi="微软雅黑" w:eastAsia="微软雅黑" w:cs="微软雅黑"/>
                <w:b/>
                <w:sz w:val="17"/>
              </w:rPr>
              <w:t>收入/流入</w:t>
            </w:r>
          </w:p>
        </w:tc>
        <w:tc>
          <w:tcPr>
            <w:tcW w:type="dxa" w:w="3000"/>
            <w:shd w:val="clear" w:color="auto" w:fill="F5F6F7"/>
            <w:vAlign w:val="center"/>
          </w:tcPr>
          <w:p>
            <w:pPr>
              <w:spacing w:after="0"/>
              <w:jc w:val="center"/>
            </w:pPr>
            <w:r>
              <w:rPr>
                <w:rFonts w:ascii="微软雅黑" w:hAnsi="微软雅黑" w:eastAsia="微软雅黑" w:cs="微软雅黑"/>
                <w:b/>
                <w:sz w:val="17"/>
              </w:rPr>
              <w:t>成本费用/流出</w:t>
            </w:r>
          </w:p>
        </w:tc>
        <w:tc>
          <w:tcPr>
            <w:tcW w:type="dxa" w:w="2920"/>
            <w:shd w:val="clear" w:color="auto" w:fill="F5F6F7"/>
            <w:vAlign w:val="center"/>
          </w:tcPr>
          <w:p>
            <w:pPr>
              <w:spacing w:after="0"/>
              <w:jc w:val="center"/>
            </w:pPr>
            <w:r>
              <w:rPr>
                <w:rFonts w:ascii="微软雅黑" w:hAnsi="微软雅黑" w:eastAsia="微软雅黑" w:cs="微软雅黑"/>
                <w:b/>
                <w:sz w:val="17"/>
              </w:rPr>
              <w:t>结果或余额</w:t>
            </w:r>
          </w:p>
        </w:tc>
      </w:tr>
      <w:tr>
        <w:tc>
          <w:tcPr>
            <w:tcW w:type="dxa" w:w="28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采购成本</w:t>
            </w:r>
          </w:p>
        </w:tc>
        <w:tc>
          <w:tcPr>
            <w:tcW w:type="dxa" w:w="2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无资金流入</w:t>
            </w:r>
          </w:p>
        </w:tc>
        <w:tc>
          <w:tcPr>
            <w:tcW w:type="dxa" w:w="30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按确认汇率156,000</w:t>
            </w:r>
          </w:p>
        </w:tc>
        <w:tc>
          <w:tcPr>
            <w:tcW w:type="dxa" w:w="29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供应商应付156,000</w:t>
            </w:r>
          </w:p>
        </w:tc>
      </w:tr>
      <w:tr>
        <w:tc>
          <w:tcPr>
            <w:tcW w:type="dxa" w:w="28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付款</w:t>
            </w:r>
          </w:p>
        </w:tc>
        <w:tc>
          <w:tcPr>
            <w:tcW w:type="dxa" w:w="2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应付核销156,000</w:t>
            </w:r>
          </w:p>
        </w:tc>
        <w:tc>
          <w:tcPr>
            <w:tcW w:type="dxa" w:w="30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银行158,000</w:t>
            </w:r>
          </w:p>
        </w:tc>
        <w:tc>
          <w:tcPr>
            <w:tcW w:type="dxa" w:w="29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汇兑损失2,000</w:t>
            </w:r>
          </w:p>
        </w:tc>
      </w:tr>
      <w:tr>
        <w:tc>
          <w:tcPr>
            <w:tcW w:type="dxa" w:w="28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银行费用</w:t>
            </w:r>
          </w:p>
        </w:tc>
        <w:tc>
          <w:tcPr>
            <w:tcW w:type="dxa" w:w="2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0</w:t>
            </w:r>
          </w:p>
        </w:tc>
        <w:tc>
          <w:tcPr>
            <w:tcW w:type="dxa" w:w="30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手续费790</w:t>
            </w:r>
          </w:p>
        </w:tc>
        <w:tc>
          <w:tcPr>
            <w:tcW w:type="dxa" w:w="29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当期财务费用790</w:t>
            </w:r>
          </w:p>
        </w:tc>
      </w:tr>
      <w:tr>
        <w:tc>
          <w:tcPr>
            <w:tcW w:type="dxa" w:w="28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外币余额</w:t>
            </w:r>
          </w:p>
        </w:tc>
        <w:tc>
          <w:tcPr>
            <w:tcW w:type="dxa" w:w="2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20,000欧元应付</w:t>
            </w:r>
          </w:p>
        </w:tc>
        <w:tc>
          <w:tcPr>
            <w:tcW w:type="dxa" w:w="30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付款20,000欧元</w:t>
            </w:r>
          </w:p>
        </w:tc>
        <w:tc>
          <w:tcPr>
            <w:tcW w:type="dxa" w:w="29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原币余额0</w:t>
            </w:r>
          </w:p>
        </w:tc>
      </w:tr>
    </w:tbl>
    <w:p>
      <w:pPr>
        <w:spacing w:after="40"/>
      </w:pPr>
    </w:p>
    <w:p>
      <w:pPr>
        <w:pStyle w:val="dingding-heading3"/>
        <w:keepNext/>
        <w:keepLines/>
      </w:pPr>
      <w:r>
        <w:rPr>
          <w:rFonts w:ascii="微软雅黑" w:hAnsi="微软雅黑" w:eastAsia="微软雅黑" w:cs="微软雅黑"/>
        </w:rPr>
        <w:t>7. 合同、业务、资金、发票和会计核对</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2300"/>
        <w:gridCol w:w="3200"/>
        <w:gridCol w:w="2700"/>
        <w:gridCol w:w="3020"/>
      </w:tblGrid>
      <w:tr>
        <w:trPr>
          <w:tblHeader w:val="true"/>
        </w:trPr>
        <w:tc>
          <w:tcPr>
            <w:tcW w:type="dxa" w:w="2300"/>
            <w:shd w:val="clear" w:color="auto" w:fill="F5F6F7"/>
            <w:vAlign w:val="center"/>
          </w:tcPr>
          <w:p>
            <w:pPr>
              <w:spacing w:after="0"/>
              <w:jc w:val="center"/>
            </w:pPr>
            <w:r>
              <w:rPr>
                <w:rFonts w:ascii="微软雅黑" w:hAnsi="微软雅黑" w:eastAsia="微软雅黑" w:cs="微软雅黑"/>
                <w:b/>
                <w:sz w:val="16"/>
              </w:rPr>
              <w:t>交易段</w:t>
            </w:r>
          </w:p>
        </w:tc>
        <w:tc>
          <w:tcPr>
            <w:tcW w:type="dxa" w:w="3200"/>
            <w:shd w:val="clear" w:color="auto" w:fill="F5F6F7"/>
            <w:vAlign w:val="center"/>
          </w:tcPr>
          <w:p>
            <w:pPr>
              <w:spacing w:after="0"/>
              <w:jc w:val="center"/>
            </w:pPr>
            <w:r>
              <w:rPr>
                <w:rFonts w:ascii="微软雅黑" w:hAnsi="微软雅黑" w:eastAsia="微软雅黑" w:cs="微软雅黑"/>
                <w:b/>
                <w:sz w:val="16"/>
              </w:rPr>
              <w:t>合同与业务</w:t>
            </w:r>
          </w:p>
        </w:tc>
        <w:tc>
          <w:tcPr>
            <w:tcW w:type="dxa" w:w="2700"/>
            <w:shd w:val="clear" w:color="auto" w:fill="F5F6F7"/>
            <w:vAlign w:val="center"/>
          </w:tcPr>
          <w:p>
            <w:pPr>
              <w:spacing w:after="0"/>
              <w:jc w:val="center"/>
            </w:pPr>
            <w:r>
              <w:rPr>
                <w:rFonts w:ascii="微软雅黑" w:hAnsi="微软雅黑" w:eastAsia="微软雅黑" w:cs="微软雅黑"/>
                <w:b/>
                <w:sz w:val="16"/>
              </w:rPr>
              <w:t>资金与发票</w:t>
            </w:r>
          </w:p>
        </w:tc>
        <w:tc>
          <w:tcPr>
            <w:tcW w:type="dxa" w:w="3020"/>
            <w:shd w:val="clear" w:color="auto" w:fill="F5F6F7"/>
            <w:vAlign w:val="center"/>
          </w:tcPr>
          <w:p>
            <w:pPr>
              <w:spacing w:after="0"/>
              <w:jc w:val="center"/>
            </w:pPr>
            <w:r>
              <w:rPr>
                <w:rFonts w:ascii="微软雅黑" w:hAnsi="微软雅黑" w:eastAsia="微软雅黑" w:cs="微软雅黑"/>
                <w:b/>
                <w:sz w:val="16"/>
              </w:rPr>
              <w:t>会计结果/差异解释</w:t>
            </w:r>
          </w:p>
        </w:tc>
      </w:tr>
      <w:tr>
        <w:tc>
          <w:tcPr>
            <w:tcW w:type="dxa" w:w="23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北京—境外供应商</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合同20,000欧元、服务完成</w:t>
            </w:r>
          </w:p>
        </w:tc>
        <w:tc>
          <w:tcPr>
            <w:tcW w:type="dxa" w:w="27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银行付20,000欧元；境外票据规则待确认</w:t>
            </w:r>
          </w:p>
        </w:tc>
        <w:tc>
          <w:tcPr>
            <w:tcW w:type="dxa" w:w="3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成本/应付156,000元人民币</w:t>
            </w:r>
          </w:p>
        </w:tc>
      </w:tr>
      <w:tr>
        <w:tc>
          <w:tcPr>
            <w:tcW w:type="dxa" w:w="23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北京—银行</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付款指令和费用规则</w:t>
            </w:r>
          </w:p>
        </w:tc>
        <w:tc>
          <w:tcPr>
            <w:tcW w:type="dxa" w:w="2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扣款158,000＋790</w:t>
            </w:r>
          </w:p>
        </w:tc>
        <w:tc>
          <w:tcPr>
            <w:tcW w:type="dxa" w:w="3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汇兑损失2,000、手续费790</w:t>
            </w:r>
          </w:p>
        </w:tc>
      </w:tr>
      <w:tr>
        <w:tc>
          <w:tcPr>
            <w:tcW w:type="dxa" w:w="23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NC核对</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原币和汇率来源完整</w:t>
            </w:r>
          </w:p>
        </w:tc>
        <w:tc>
          <w:tcPr>
            <w:tcW w:type="dxa" w:w="2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银行外币流水</w:t>
            </w:r>
          </w:p>
        </w:tc>
        <w:tc>
          <w:tcPr>
            <w:tcW w:type="dxa" w:w="3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原币余额0、本位币差额有解释</w:t>
            </w:r>
          </w:p>
        </w:tc>
      </w:tr>
    </w:tbl>
    <w:p>
      <w:pPr>
        <w:spacing w:after="40"/>
      </w:pPr>
    </w:p>
    <w:p>
      <w:pPr>
        <w:pStyle w:val="dingding-heading3"/>
        <w:keepNext/>
        <w:keepLines/>
      </w:pPr>
      <w:r>
        <w:rPr>
          <w:rFonts w:ascii="微软雅黑" w:hAnsi="微软雅黑" w:eastAsia="微软雅黑" w:cs="微软雅黑"/>
        </w:rPr>
        <w:t>8. 会计事项和NC承接</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2200"/>
        <w:gridCol w:w="1600"/>
        <w:gridCol w:w="3900"/>
        <w:gridCol w:w="1500"/>
        <w:gridCol w:w="2020"/>
      </w:tblGrid>
      <w:tr>
        <w:trPr>
          <w:tblHeader w:val="true"/>
        </w:trPr>
        <w:tc>
          <w:tcPr>
            <w:tcW w:type="dxa" w:w="2200"/>
            <w:shd w:val="clear" w:color="auto" w:fill="F5F6F7"/>
            <w:vAlign w:val="center"/>
          </w:tcPr>
          <w:p>
            <w:pPr>
              <w:spacing w:after="0"/>
              <w:jc w:val="center"/>
            </w:pPr>
            <w:r>
              <w:rPr>
                <w:rFonts w:ascii="微软雅黑" w:hAnsi="微软雅黑" w:eastAsia="微软雅黑" w:cs="微软雅黑"/>
                <w:b/>
                <w:sz w:val="16"/>
              </w:rPr>
              <w:t>生效时点</w:t>
            </w:r>
          </w:p>
        </w:tc>
        <w:tc>
          <w:tcPr>
            <w:tcW w:type="dxa" w:w="1600"/>
            <w:shd w:val="clear" w:color="auto" w:fill="F5F6F7"/>
            <w:vAlign w:val="center"/>
          </w:tcPr>
          <w:p>
            <w:pPr>
              <w:spacing w:after="0"/>
              <w:jc w:val="center"/>
            </w:pPr>
            <w:r>
              <w:rPr>
                <w:rFonts w:ascii="微软雅黑" w:hAnsi="微软雅黑" w:eastAsia="微软雅黑" w:cs="微软雅黑"/>
                <w:b/>
                <w:sz w:val="16"/>
              </w:rPr>
              <w:t>所属公司</w:t>
            </w:r>
          </w:p>
        </w:tc>
        <w:tc>
          <w:tcPr>
            <w:tcW w:type="dxa" w:w="3900"/>
            <w:shd w:val="clear" w:color="auto" w:fill="F5F6F7"/>
            <w:vAlign w:val="center"/>
          </w:tcPr>
          <w:p>
            <w:pPr>
              <w:spacing w:after="0"/>
              <w:jc w:val="center"/>
            </w:pPr>
            <w:r>
              <w:rPr>
                <w:rFonts w:ascii="微软雅黑" w:hAnsi="微软雅黑" w:eastAsia="微软雅黑" w:cs="微软雅黑"/>
                <w:b/>
                <w:sz w:val="16"/>
              </w:rPr>
              <w:t>经济事项</w:t>
            </w:r>
          </w:p>
        </w:tc>
        <w:tc>
          <w:tcPr>
            <w:tcW w:type="dxa" w:w="1500"/>
            <w:shd w:val="clear" w:color="auto" w:fill="F5F6F7"/>
            <w:vAlign w:val="center"/>
          </w:tcPr>
          <w:p>
            <w:pPr>
              <w:spacing w:after="0"/>
              <w:jc w:val="center"/>
            </w:pPr>
            <w:r>
              <w:rPr>
                <w:rFonts w:ascii="微软雅黑" w:hAnsi="微软雅黑" w:eastAsia="微软雅黑" w:cs="微软雅黑"/>
                <w:b/>
                <w:sz w:val="16"/>
              </w:rPr>
              <w:t>金额</w:t>
            </w:r>
          </w:p>
        </w:tc>
        <w:tc>
          <w:tcPr>
            <w:tcW w:type="dxa" w:w="2020"/>
            <w:shd w:val="clear" w:color="auto" w:fill="F5F6F7"/>
            <w:vAlign w:val="center"/>
          </w:tcPr>
          <w:p>
            <w:pPr>
              <w:spacing w:after="0"/>
              <w:jc w:val="center"/>
            </w:pPr>
            <w:r>
              <w:rPr>
                <w:rFonts w:ascii="微软雅黑" w:hAnsi="微软雅黑" w:eastAsia="微软雅黑" w:cs="微软雅黑"/>
                <w:b/>
                <w:sz w:val="16"/>
              </w:rPr>
              <w:t>反向处理</w:t>
            </w:r>
          </w:p>
        </w:tc>
      </w:tr>
      <w:tr>
        <w:tc>
          <w:tcPr>
            <w:tcW w:type="dxa" w:w="2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服务完成日</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北京</w:t>
            </w:r>
          </w:p>
        </w:tc>
        <w:tc>
          <w:tcPr>
            <w:tcW w:type="dxa" w:w="39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外币成本和应付</w:t>
            </w:r>
          </w:p>
        </w:tc>
        <w:tc>
          <w:tcPr>
            <w:tcW w:type="dxa" w:w="15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20,000欧元 / 156,000元人民币</w:t>
            </w:r>
          </w:p>
        </w:tc>
        <w:tc>
          <w:tcPr>
            <w:tcW w:type="dxa" w:w="2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成本/应付调整</w:t>
            </w:r>
          </w:p>
        </w:tc>
      </w:tr>
      <w:tr>
        <w:tc>
          <w:tcPr>
            <w:tcW w:type="dxa" w:w="2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付款日</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北京</w:t>
            </w:r>
          </w:p>
        </w:tc>
        <w:tc>
          <w:tcPr>
            <w:tcW w:type="dxa" w:w="39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应付核销、银行减少</w:t>
            </w:r>
          </w:p>
        </w:tc>
        <w:tc>
          <w:tcPr>
            <w:tcW w:type="dxa" w:w="15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20,000欧元 / 158,000元人民币</w:t>
            </w:r>
          </w:p>
        </w:tc>
        <w:tc>
          <w:tcPr>
            <w:tcW w:type="dxa" w:w="2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付款退回</w:t>
            </w:r>
          </w:p>
        </w:tc>
      </w:tr>
      <w:tr>
        <w:tc>
          <w:tcPr>
            <w:tcW w:type="dxa" w:w="2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付款日</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北京</w:t>
            </w:r>
          </w:p>
        </w:tc>
        <w:tc>
          <w:tcPr>
            <w:tcW w:type="dxa" w:w="39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汇兑损失</w:t>
            </w:r>
          </w:p>
        </w:tc>
        <w:tc>
          <w:tcPr>
            <w:tcW w:type="dxa" w:w="1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2,000元人民币</w:t>
            </w:r>
          </w:p>
        </w:tc>
        <w:tc>
          <w:tcPr>
            <w:tcW w:type="dxa" w:w="2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汇率更正</w:t>
            </w:r>
          </w:p>
        </w:tc>
      </w:tr>
      <w:tr>
        <w:tc>
          <w:tcPr>
            <w:tcW w:type="dxa" w:w="2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银行扣费日</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北京</w:t>
            </w:r>
          </w:p>
        </w:tc>
        <w:tc>
          <w:tcPr>
            <w:tcW w:type="dxa" w:w="39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银行手续费</w:t>
            </w:r>
          </w:p>
        </w:tc>
        <w:tc>
          <w:tcPr>
            <w:tcW w:type="dxa" w:w="1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100欧元 / 790元人民币</w:t>
            </w:r>
          </w:p>
        </w:tc>
        <w:tc>
          <w:tcPr>
            <w:tcW w:type="dxa" w:w="2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银行退费</w:t>
            </w:r>
          </w:p>
        </w:tc>
      </w:tr>
    </w:tbl>
    <w:p>
      <w:pPr>
        <w:spacing w:after="40"/>
      </w:pPr>
    </w:p>
    <w:p>
      <w:pPr>
        <w:spacing w:before="80" w:after="200" w:line="288" w:lineRule="auto"/>
        <w:ind w:left="115" w:right="115"/>
        <w:shd w:val="clear" w:fill="FFF4E5"/>
        <w:pBdr>
          <w:top w:val="single" w:sz="6" w:space="4" w:color="E6D8C8"/>
          <w:left w:val="single" w:sz="6" w:space="4" w:color="E6D8C8"/>
          <w:bottom w:val="single" w:sz="6" w:space="4" w:color="E6D8C8"/>
          <w:right w:val="single" w:sz="6" w:space="4" w:color="E6D8C8"/>
        </w:pBdr>
      </w:pPr>
      <w:r>
        <w:rPr>
          <w:rFonts w:ascii="微软雅黑" w:hAnsi="微软雅黑" w:eastAsia="微软雅黑" w:cs="微软雅黑"/>
          <w:b/>
          <w:sz w:val="20"/>
        </w:rPr>
        <w:t>本案例的核心判断：</w:t>
      </w:r>
      <w:r>
        <w:rPr>
          <w:rFonts w:ascii="微软雅黑" w:hAnsi="微软雅黑" w:eastAsia="微软雅黑" w:cs="微软雅黑"/>
          <w:sz w:val="20"/>
        </w:rPr>
        <w:t>业务系统必须保留原币金额、业务确认汇率、本位币金额、付款汇率、汇率来源和汇兑差额。只保存人民币158,000会丢失供应商真正应付20,000欧元和差额原因。</w:t>
      </w:r>
    </w:p>
    <w:p>
      <w:pPr>
        <w:pStyle w:val="dingding-heading3"/>
        <w:keepNext/>
        <w:keepLines/>
      </w:pPr>
      <w:r>
        <w:rPr>
          <w:rFonts w:ascii="微软雅黑" w:hAnsi="微软雅黑" w:eastAsia="微软雅黑" w:cs="微软雅黑"/>
        </w:rPr>
        <w:t>财务需要逐项确认</w:t>
      </w:r>
    </w:p>
    <w:p>
      <w:pPr>
        <w:spacing w:after="60"/>
        <w:ind w:left="418" w:hanging="418"/>
        <w:numPr>
          <w:ilvl w:val="0"/>
          <w:numId w:val="1"/>
        </w:numPr>
      </w:pPr>
      <w:r>
        <w:rPr>
          <w:rFonts w:ascii="微软雅黑" w:hAnsi="微软雅黑" w:eastAsia="微软雅黑" w:cs="微软雅黑"/>
          <w:sz w:val="21"/>
        </w:rPr>
        <w:t>应付确认汇率采用哪一来源、哪一时点，是否按日汇率或月度统一汇率？</w:t>
      </w:r>
    </w:p>
    <w:p>
      <w:pPr>
        <w:spacing w:after="60"/>
        <w:ind w:left="418" w:hanging="418"/>
        <w:numPr>
          <w:ilvl w:val="0"/>
          <w:numId w:val="1"/>
        </w:numPr>
      </w:pPr>
      <w:r>
        <w:rPr>
          <w:rFonts w:ascii="微软雅黑" w:hAnsi="微软雅黑" w:eastAsia="微软雅黑" w:cs="微软雅黑"/>
          <w:sz w:val="21"/>
        </w:rPr>
        <w:t>跨月未付外币应付如何期末重估，重估和实际付款差额如何衔接？</w:t>
      </w:r>
    </w:p>
    <w:p>
      <w:pPr>
        <w:spacing w:after="60"/>
        <w:ind w:left="418" w:hanging="418"/>
        <w:numPr>
          <w:ilvl w:val="0"/>
          <w:numId w:val="1"/>
        </w:numPr>
      </w:pPr>
      <w:r>
        <w:rPr>
          <w:rFonts w:ascii="微软雅黑" w:hAnsi="微软雅黑" w:eastAsia="微软雅黑" w:cs="微软雅黑"/>
          <w:sz w:val="21"/>
        </w:rPr>
        <w:t>供应商预付款的汇率和后续冲抵如何处理？</w:t>
      </w:r>
    </w:p>
    <w:p>
      <w:pPr>
        <w:spacing w:after="60"/>
        <w:ind w:left="418" w:hanging="418"/>
        <w:numPr>
          <w:ilvl w:val="0"/>
          <w:numId w:val="1"/>
        </w:numPr>
      </w:pPr>
      <w:r>
        <w:rPr>
          <w:rFonts w:ascii="微软雅黑" w:hAnsi="微软雅黑" w:eastAsia="微软雅黑" w:cs="微软雅黑"/>
          <w:sz w:val="21"/>
        </w:rPr>
        <w:t>银行手续费由采购项目承担还是财务部门承担，管理报表如何分配？</w:t>
      </w:r>
    </w:p>
    <w:p>
      <w:pPr>
        <w:spacing w:after="60"/>
        <w:ind w:left="418" w:hanging="418"/>
        <w:numPr>
          <w:ilvl w:val="0"/>
          <w:numId w:val="1"/>
        </w:numPr>
      </w:pPr>
      <w:r>
        <w:rPr>
          <w:rFonts w:ascii="微软雅黑" w:hAnsi="微软雅黑" w:eastAsia="微软雅黑" w:cs="微软雅黑"/>
          <w:sz w:val="21"/>
        </w:rPr>
        <w:t>NC是否能同时接收原币、汇率和本位币金额？</w:t>
      </w:r>
    </w:p>
    <w:p>
      <w:pPr/>
      <w:r>
        <w:br w:type="page"/>
      </w:r>
    </w:p>
    <w:p>
      <w:pPr>
        <w:pStyle w:val="dingding-heading2"/>
        <w:keepNext/>
        <w:keepLines/>
      </w:pPr>
      <w:r>
        <w:rPr>
          <w:rFonts w:ascii="微软雅黑" w:hAnsi="微软雅黑" w:eastAsia="微软雅黑" w:cs="微软雅黑"/>
        </w:rPr>
        <w:t>案例7：客户取消、退款、供应商退款不足和损失承担</w:t>
      </w:r>
    </w:p>
    <w:p>
      <w:pPr>
        <w:pStyle w:val="dingding_quote"/>
        <w:spacing w:before="80" w:after="200" w:line="288" w:lineRule="auto"/>
      </w:pPr>
      <w:r>
        <w:rPr>
          <w:rFonts w:ascii="微软雅黑" w:hAnsi="微软雅黑" w:eastAsia="微软雅黑" w:cs="微软雅黑"/>
          <w:b/>
          <w:color w:val="A0A0A0"/>
          <w:sz w:val="21"/>
        </w:rPr>
        <w:t>场景定位：</w:t>
      </w:r>
      <w:r>
        <w:rPr>
          <w:rFonts w:ascii="微软雅黑" w:hAnsi="微软雅黑" w:eastAsia="微软雅黑" w:cs="微软雅黑"/>
          <w:b w:val="0"/>
          <w:color w:val="A0A0A0"/>
          <w:sz w:val="21"/>
        </w:rPr>
        <w:t>出团前客户取消 × 公司已收全款 × 已付供应商定金 × 客户退款与供应商追回分别处理</w:t>
      </w:r>
      <w:r>
        <w:br/>
      </w:r>
      <w:r>
        <w:rPr>
          <w:rFonts w:ascii="微软雅黑" w:hAnsi="微软雅黑" w:eastAsia="微软雅黑" w:cs="微软雅黑"/>
          <w:b/>
          <w:color w:val="A0A0A0"/>
          <w:sz w:val="21"/>
        </w:rPr>
        <w:t>验证重点：</w:t>
      </w:r>
      <w:r>
        <w:rPr>
          <w:rFonts w:ascii="微软雅黑" w:hAnsi="微软雅黑" w:eastAsia="微软雅黑" w:cs="微软雅黑"/>
          <w:b w:val="0"/>
          <w:color w:val="A0A0A0"/>
          <w:sz w:val="21"/>
        </w:rPr>
        <w:t>客户侧和供应商侧不能用一张退款相互覆盖；现金净额与取消费收入、供应商损失应同时对平</w:t>
      </w:r>
      <w:r>
        <w:br/>
      </w:r>
      <w:r>
        <w:rPr>
          <w:rFonts w:ascii="微软雅黑" w:hAnsi="微软雅黑" w:eastAsia="微软雅黑" w:cs="微软雅黑"/>
          <w:b/>
          <w:color w:val="A0A0A0"/>
          <w:sz w:val="21"/>
        </w:rPr>
        <w:t>金额说明：</w:t>
      </w:r>
      <w:r>
        <w:rPr>
          <w:rFonts w:ascii="微软雅黑" w:hAnsi="微软雅黑" w:eastAsia="微软雅黑" w:cs="微软雅黑"/>
          <w:b w:val="0"/>
          <w:color w:val="A0A0A0"/>
          <w:sz w:val="21"/>
        </w:rPr>
        <w:t>以下均为含税业务金额；收入时点、税额、发票和正式会计科目以财务确认结论为准。</w:t>
      </w:r>
    </w:p>
    <w:p>
      <w:pPr>
        <w:pStyle w:val="dingding-heading3"/>
        <w:keepNext/>
        <w:keepLines/>
      </w:pPr>
      <w:r>
        <w:rPr>
          <w:rFonts w:ascii="微软雅黑" w:hAnsi="微软雅黑" w:eastAsia="微软雅黑" w:cs="微软雅黑"/>
        </w:rPr>
        <w:t>1. 业务场景设定</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2500"/>
        <w:gridCol w:w="8720"/>
      </w:tblGrid>
      <w:tr>
        <w:trPr>
          <w:tblHeader w:val="true"/>
        </w:trPr>
        <w:tc>
          <w:tcPr>
            <w:tcW w:type="dxa" w:w="2500"/>
            <w:shd w:val="clear" w:color="auto" w:fill="F5F6F7"/>
            <w:vAlign w:val="center"/>
          </w:tcPr>
          <w:p>
            <w:pPr>
              <w:spacing w:after="0"/>
              <w:jc w:val="center"/>
            </w:pPr>
            <w:r>
              <w:rPr>
                <w:rFonts w:ascii="微软雅黑" w:hAnsi="微软雅黑" w:eastAsia="微软雅黑" w:cs="微软雅黑"/>
                <w:b/>
                <w:sz w:val="19"/>
              </w:rPr>
              <w:t>项目</w:t>
            </w:r>
          </w:p>
        </w:tc>
        <w:tc>
          <w:tcPr>
            <w:tcW w:type="dxa" w:w="8720"/>
            <w:shd w:val="clear" w:color="auto" w:fill="F5F6F7"/>
            <w:vAlign w:val="center"/>
          </w:tcPr>
          <w:p>
            <w:pPr>
              <w:spacing w:after="0"/>
              <w:jc w:val="center"/>
            </w:pPr>
            <w:r>
              <w:rPr>
                <w:rFonts w:ascii="微软雅黑" w:hAnsi="微软雅黑" w:eastAsia="微软雅黑" w:cs="微软雅黑"/>
                <w:b/>
                <w:sz w:val="19"/>
              </w:rPr>
              <w:t>内容</w:t>
            </w:r>
          </w:p>
        </w:tc>
      </w:tr>
      <w:tr>
        <w:tc>
          <w:tcPr>
            <w:tcW w:type="dxa" w:w="25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9"/>
              </w:rPr>
              <w:t>销售公司</w:t>
            </w:r>
          </w:p>
        </w:tc>
        <w:tc>
          <w:tcPr>
            <w:tcW w:type="dxa" w:w="87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9"/>
              </w:rPr>
              <w:t>北京凯撒旅行社有限公司</w:t>
            </w:r>
          </w:p>
        </w:tc>
      </w:tr>
      <w:tr>
        <w:tc>
          <w:tcPr>
            <w:tcW w:type="dxa" w:w="25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9"/>
              </w:rPr>
              <w:t>原订单</w:t>
            </w:r>
          </w:p>
        </w:tc>
        <w:tc>
          <w:tcPr>
            <w:tcW w:type="dxa" w:w="87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9"/>
              </w:rPr>
              <w:t>客户合同20,000，已全额收款</w:t>
            </w:r>
          </w:p>
        </w:tc>
      </w:tr>
      <w:tr>
        <w:tc>
          <w:tcPr>
            <w:tcW w:type="dxa" w:w="25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9"/>
              </w:rPr>
              <w:t>取消结果</w:t>
            </w:r>
          </w:p>
        </w:tc>
        <w:tc>
          <w:tcPr>
            <w:tcW w:type="dxa" w:w="872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9"/>
              </w:rPr>
              <w:t>批准客户退款17,000，保留取消费3,000</w:t>
            </w:r>
          </w:p>
        </w:tc>
      </w:tr>
      <w:tr>
        <w:tc>
          <w:tcPr>
            <w:tcW w:type="dxa" w:w="25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9"/>
              </w:rPr>
              <w:t>供应商预付</w:t>
            </w:r>
          </w:p>
        </w:tc>
        <w:tc>
          <w:tcPr>
            <w:tcW w:type="dxa" w:w="87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9"/>
              </w:rPr>
              <w:t>已付12,000</w:t>
            </w:r>
          </w:p>
        </w:tc>
      </w:tr>
      <w:tr>
        <w:tc>
          <w:tcPr>
            <w:tcW w:type="dxa" w:w="25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9"/>
              </w:rPr>
              <w:t>供应商返还</w:t>
            </w:r>
          </w:p>
        </w:tc>
        <w:tc>
          <w:tcPr>
            <w:tcW w:type="dxa" w:w="87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9"/>
              </w:rPr>
              <w:t>退回9,000，未退3,000</w:t>
            </w:r>
          </w:p>
        </w:tc>
      </w:tr>
      <w:tr>
        <w:tc>
          <w:tcPr>
            <w:tcW w:type="dxa" w:w="25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9"/>
              </w:rPr>
              <w:t>履约情况</w:t>
            </w:r>
          </w:p>
        </w:tc>
        <w:tc>
          <w:tcPr>
            <w:tcW w:type="dxa" w:w="87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9"/>
              </w:rPr>
              <w:t>客户未出行；取消责任和金额均已审批</w:t>
            </w:r>
          </w:p>
        </w:tc>
      </w:tr>
    </w:tbl>
    <w:p>
      <w:pPr>
        <w:spacing w:after="40"/>
      </w:pPr>
    </w:p>
    <w:p>
      <w:pPr>
        <w:pStyle w:val="dingding-heading3"/>
        <w:keepNext/>
        <w:keepLines/>
      </w:pPr>
      <w:r>
        <w:rPr>
          <w:rFonts w:ascii="微软雅黑" w:hAnsi="微软雅黑" w:eastAsia="微软雅黑" w:cs="微软雅黑"/>
        </w:rPr>
        <w:t>2. 参与方和财务责任</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2600"/>
        <w:gridCol w:w="3300"/>
        <w:gridCol w:w="5320"/>
      </w:tblGrid>
      <w:tr>
        <w:trPr>
          <w:tblHeader w:val="true"/>
        </w:trPr>
        <w:tc>
          <w:tcPr>
            <w:tcW w:type="dxa" w:w="2600"/>
            <w:shd w:val="clear" w:color="auto" w:fill="F5F6F7"/>
            <w:vAlign w:val="center"/>
          </w:tcPr>
          <w:p>
            <w:pPr>
              <w:spacing w:after="0"/>
              <w:jc w:val="center"/>
            </w:pPr>
            <w:r>
              <w:rPr>
                <w:rFonts w:ascii="微软雅黑" w:hAnsi="微软雅黑" w:eastAsia="微软雅黑" w:cs="微软雅黑"/>
                <w:b/>
                <w:sz w:val="17"/>
              </w:rPr>
              <w:t>责任</w:t>
            </w:r>
          </w:p>
        </w:tc>
        <w:tc>
          <w:tcPr>
            <w:tcW w:type="dxa" w:w="3300"/>
            <w:shd w:val="clear" w:color="auto" w:fill="F5F6F7"/>
            <w:vAlign w:val="center"/>
          </w:tcPr>
          <w:p>
            <w:pPr>
              <w:spacing w:after="0"/>
              <w:jc w:val="center"/>
            </w:pPr>
            <w:r>
              <w:rPr>
                <w:rFonts w:ascii="微软雅黑" w:hAnsi="微软雅黑" w:eastAsia="微软雅黑" w:cs="微软雅黑"/>
                <w:b/>
                <w:sz w:val="17"/>
              </w:rPr>
              <w:t>承担方</w:t>
            </w:r>
          </w:p>
        </w:tc>
        <w:tc>
          <w:tcPr>
            <w:tcW w:type="dxa" w:w="5320"/>
            <w:shd w:val="clear" w:color="auto" w:fill="F5F6F7"/>
            <w:vAlign w:val="center"/>
          </w:tcPr>
          <w:p>
            <w:pPr>
              <w:spacing w:after="0"/>
              <w:jc w:val="center"/>
            </w:pPr>
            <w:r>
              <w:rPr>
                <w:rFonts w:ascii="微软雅黑" w:hAnsi="微软雅黑" w:eastAsia="微软雅黑" w:cs="微软雅黑"/>
                <w:b/>
                <w:sz w:val="17"/>
              </w:rPr>
              <w:t>判断依据</w:t>
            </w:r>
          </w:p>
        </w:tc>
      </w:tr>
      <w:tr>
        <w:tc>
          <w:tcPr>
            <w:tcW w:type="dxa" w:w="26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客户售后和退款责任</w:t>
            </w:r>
          </w:p>
        </w:tc>
        <w:tc>
          <w:tcPr>
            <w:tcW w:type="dxa" w:w="33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北京公司</w:t>
            </w:r>
          </w:p>
        </w:tc>
        <w:tc>
          <w:tcPr>
            <w:tcW w:type="dxa" w:w="53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旅游合同、退订规则和审批</w:t>
            </w:r>
          </w:p>
        </w:tc>
      </w:tr>
      <w:tr>
        <w:tc>
          <w:tcPr>
            <w:tcW w:type="dxa" w:w="26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供应商追回</w:t>
            </w:r>
          </w:p>
        </w:tc>
        <w:tc>
          <w:tcPr>
            <w:tcW w:type="dxa" w:w="33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北京采购/履约团队</w:t>
            </w:r>
          </w:p>
        </w:tc>
        <w:tc>
          <w:tcPr>
            <w:tcW w:type="dxa" w:w="53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采购取消条款和供应商确认</w:t>
            </w:r>
          </w:p>
        </w:tc>
      </w:tr>
      <w:tr>
        <w:tc>
          <w:tcPr>
            <w:tcW w:type="dxa" w:w="26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客户退款执行</w:t>
            </w:r>
          </w:p>
        </w:tc>
        <w:tc>
          <w:tcPr>
            <w:tcW w:type="dxa" w:w="33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北京出纳</w:t>
            </w:r>
          </w:p>
        </w:tc>
        <w:tc>
          <w:tcPr>
            <w:tcW w:type="dxa" w:w="53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退款审批和银行结果</w:t>
            </w:r>
          </w:p>
        </w:tc>
      </w:tr>
      <w:tr>
        <w:tc>
          <w:tcPr>
            <w:tcW w:type="dxa" w:w="26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供应商退款认领</w:t>
            </w:r>
          </w:p>
        </w:tc>
        <w:tc>
          <w:tcPr>
            <w:tcW w:type="dxa" w:w="33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北京财务</w:t>
            </w:r>
          </w:p>
        </w:tc>
        <w:tc>
          <w:tcPr>
            <w:tcW w:type="dxa" w:w="53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供应商回款流水</w:t>
            </w:r>
          </w:p>
        </w:tc>
      </w:tr>
      <w:tr>
        <w:tc>
          <w:tcPr>
            <w:tcW w:type="dxa" w:w="26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取消费和损失列报</w:t>
            </w:r>
          </w:p>
        </w:tc>
        <w:tc>
          <w:tcPr>
            <w:tcW w:type="dxa" w:w="33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北京财务</w:t>
            </w:r>
          </w:p>
        </w:tc>
        <w:tc>
          <w:tcPr>
            <w:tcW w:type="dxa" w:w="53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合同实质、税务和会计政策</w:t>
            </w:r>
          </w:p>
        </w:tc>
      </w:tr>
    </w:tbl>
    <w:p>
      <w:pPr>
        <w:spacing w:after="40"/>
      </w:pPr>
    </w:p>
    <w:p>
      <w:pPr>
        <w:pStyle w:val="dingding-heading3"/>
        <w:keepNext/>
        <w:keepLines/>
      </w:pPr>
      <w:r>
        <w:rPr>
          <w:rFonts w:ascii="微软雅黑" w:hAnsi="微软雅黑" w:eastAsia="微软雅黑" w:cs="微软雅黑"/>
        </w:rPr>
        <w:t>3. 完整价格和金额拆解</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3000"/>
        <w:gridCol w:w="3100"/>
        <w:gridCol w:w="1700"/>
        <w:gridCol w:w="3420"/>
      </w:tblGrid>
      <w:tr>
        <w:trPr>
          <w:tblHeader w:val="true"/>
        </w:trPr>
        <w:tc>
          <w:tcPr>
            <w:tcW w:type="dxa" w:w="3000"/>
            <w:shd w:val="clear" w:color="auto" w:fill="F5F6F7"/>
            <w:vAlign w:val="center"/>
          </w:tcPr>
          <w:p>
            <w:pPr>
              <w:spacing w:after="0"/>
              <w:jc w:val="center"/>
            </w:pPr>
            <w:r>
              <w:rPr>
                <w:rFonts w:ascii="微软雅黑" w:hAnsi="微软雅黑" w:eastAsia="微软雅黑" w:cs="微软雅黑"/>
                <w:b/>
                <w:sz w:val="17"/>
              </w:rPr>
              <w:t>金额项目</w:t>
            </w:r>
          </w:p>
        </w:tc>
        <w:tc>
          <w:tcPr>
            <w:tcW w:type="dxa" w:w="3100"/>
            <w:shd w:val="clear" w:color="auto" w:fill="F5F6F7"/>
            <w:vAlign w:val="center"/>
          </w:tcPr>
          <w:p>
            <w:pPr>
              <w:spacing w:after="0"/>
              <w:jc w:val="center"/>
            </w:pPr>
            <w:r>
              <w:rPr>
                <w:rFonts w:ascii="微软雅黑" w:hAnsi="微软雅黑" w:eastAsia="微软雅黑" w:cs="微软雅黑"/>
                <w:b/>
                <w:sz w:val="17"/>
              </w:rPr>
              <w:t>计算</w:t>
            </w:r>
          </w:p>
        </w:tc>
        <w:tc>
          <w:tcPr>
            <w:tcW w:type="dxa" w:w="1700"/>
            <w:shd w:val="clear" w:color="auto" w:fill="F5F6F7"/>
            <w:vAlign w:val="center"/>
          </w:tcPr>
          <w:p>
            <w:pPr>
              <w:spacing w:after="0"/>
              <w:jc w:val="center"/>
            </w:pPr>
            <w:r>
              <w:rPr>
                <w:rFonts w:ascii="微软雅黑" w:hAnsi="微软雅黑" w:eastAsia="微软雅黑" w:cs="微软雅黑"/>
                <w:b/>
                <w:sz w:val="17"/>
              </w:rPr>
              <w:t>金额</w:t>
            </w:r>
          </w:p>
        </w:tc>
        <w:tc>
          <w:tcPr>
            <w:tcW w:type="dxa" w:w="3420"/>
            <w:shd w:val="clear" w:color="auto" w:fill="F5F6F7"/>
            <w:vAlign w:val="center"/>
          </w:tcPr>
          <w:p>
            <w:pPr>
              <w:spacing w:after="0"/>
              <w:jc w:val="center"/>
            </w:pPr>
            <w:r>
              <w:rPr>
                <w:rFonts w:ascii="微软雅黑" w:hAnsi="微软雅黑" w:eastAsia="微软雅黑" w:cs="微软雅黑"/>
                <w:b/>
                <w:sz w:val="17"/>
              </w:rPr>
              <w:t>最终去向</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原客户收款</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已到账</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20,000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未履约客户款</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客户退款</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批准金额</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17,000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客户退款</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公司保留</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20,000－17,000</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3,000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取消费/赔偿，性质待确认</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供应商预付</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已实际支付</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12,000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供应商预付款</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供应商退回</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已实际到账</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9,000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冲减预付或供应商应收</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供应商未退</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12,000－9,000</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3,000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取消成本或损失</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本案例净结果</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保留3,000－未退3,000</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未计支付手续费</w:t>
            </w:r>
          </w:p>
        </w:tc>
      </w:tr>
    </w:tbl>
    <w:p>
      <w:pPr>
        <w:spacing w:after="40"/>
      </w:pPr>
    </w:p>
    <w:p>
      <w:pPr>
        <w:pStyle w:val="dingding-heading3"/>
        <w:keepNext/>
        <w:keepLines/>
      </w:pPr>
      <w:r>
        <w:rPr>
          <w:rFonts w:ascii="微软雅黑" w:hAnsi="微软雅黑" w:eastAsia="微软雅黑" w:cs="微软雅黑"/>
        </w:rPr>
        <w:t>4. 交易、债权债务和实际资金</w:t>
      </w:r>
    </w:p>
    <w:p>
      <w:pPr>
        <w:pStyle w:val="dingding_code"/>
        <w:spacing w:before="80" w:after="200" w:lineRule="exact" w:line="252"/>
        <w:ind w:left="115" w:right="115"/>
        <w:shd w:val="clear" w:fill="F2F3F5"/>
      </w:pPr>
      <w:r>
        <w:rPr>
          <w:rFonts w:ascii="Menlo" w:hAnsi="Menlo" w:eastAsia="Menlo" w:cs="Menlo"/>
          <w:sz w:val="17"/>
        </w:rPr>
        <w:t>原资金：客户 ─20,000→ 北京公司 ─12,000→ 供应商</w:t>
        <w:br/>
        <w:t>取消后：北京公司 ─17,000→ 客户</w:t>
        <w:br/>
        <w:t xml:space="preserve">        供应商 ─9,000→ 北京公司</w:t>
        <w:br/>
        <w:br/>
        <w:t>资金净变化：20,000 - 12,000 - 17,000 + 9,000 = 0</w:t>
        <w:br/>
        <w:t>经济结果：取消费/赔偿3,000 - 供应商未退损失3,000 = 0</w:t>
      </w:r>
    </w:p>
    <w:p>
      <w:pPr>
        <w:pStyle w:val="dingding-heading3"/>
        <w:keepNext/>
        <w:keepLines/>
      </w:pPr>
      <w:r>
        <w:rPr>
          <w:rFonts w:ascii="微软雅黑" w:hAnsi="微软雅黑" w:eastAsia="微软雅黑" w:cs="微软雅黑"/>
        </w:rPr>
        <w:t>5. 分阶段业务与财务变化</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1550"/>
        <w:gridCol w:w="2600"/>
        <w:gridCol w:w="3200"/>
        <w:gridCol w:w="1600"/>
        <w:gridCol w:w="2270"/>
      </w:tblGrid>
      <w:tr>
        <w:trPr>
          <w:tblHeader w:val="true"/>
        </w:trPr>
        <w:tc>
          <w:tcPr>
            <w:tcW w:type="dxa" w:w="1550"/>
            <w:shd w:val="clear" w:color="auto" w:fill="F5F6F7"/>
            <w:vAlign w:val="center"/>
          </w:tcPr>
          <w:p>
            <w:pPr>
              <w:spacing w:after="0"/>
              <w:jc w:val="center"/>
            </w:pPr>
            <w:r>
              <w:rPr>
                <w:rFonts w:ascii="微软雅黑" w:hAnsi="微软雅黑" w:eastAsia="微软雅黑" w:cs="微软雅黑"/>
                <w:b/>
                <w:sz w:val="16"/>
              </w:rPr>
              <w:t>阶段</w:t>
            </w:r>
          </w:p>
        </w:tc>
        <w:tc>
          <w:tcPr>
            <w:tcW w:type="dxa" w:w="2600"/>
            <w:shd w:val="clear" w:color="auto" w:fill="F5F6F7"/>
            <w:vAlign w:val="center"/>
          </w:tcPr>
          <w:p>
            <w:pPr>
              <w:spacing w:after="0"/>
              <w:jc w:val="center"/>
            </w:pPr>
            <w:r>
              <w:rPr>
                <w:rFonts w:ascii="微软雅黑" w:hAnsi="微软雅黑" w:eastAsia="微软雅黑" w:cs="微软雅黑"/>
                <w:b/>
                <w:sz w:val="16"/>
              </w:rPr>
              <w:t>业务事实</w:t>
            </w:r>
          </w:p>
        </w:tc>
        <w:tc>
          <w:tcPr>
            <w:tcW w:type="dxa" w:w="3200"/>
            <w:shd w:val="clear" w:color="auto" w:fill="F5F6F7"/>
            <w:vAlign w:val="center"/>
          </w:tcPr>
          <w:p>
            <w:pPr>
              <w:spacing w:after="0"/>
              <w:jc w:val="center"/>
            </w:pPr>
            <w:r>
              <w:rPr>
                <w:rFonts w:ascii="微软雅黑" w:hAnsi="微软雅黑" w:eastAsia="微软雅黑" w:cs="微软雅黑"/>
                <w:b/>
                <w:sz w:val="16"/>
              </w:rPr>
              <w:t>记录和余额变化</w:t>
            </w:r>
          </w:p>
        </w:tc>
        <w:tc>
          <w:tcPr>
            <w:tcW w:type="dxa" w:w="1600"/>
            <w:shd w:val="clear" w:color="auto" w:fill="F5F6F7"/>
            <w:vAlign w:val="center"/>
          </w:tcPr>
          <w:p>
            <w:pPr>
              <w:spacing w:after="0"/>
              <w:jc w:val="center"/>
            </w:pPr>
            <w:r>
              <w:rPr>
                <w:rFonts w:ascii="微软雅黑" w:hAnsi="微软雅黑" w:eastAsia="微软雅黑" w:cs="微软雅黑"/>
                <w:b/>
                <w:sz w:val="16"/>
              </w:rPr>
              <w:t>实际资金</w:t>
            </w:r>
          </w:p>
        </w:tc>
        <w:tc>
          <w:tcPr>
            <w:tcW w:type="dxa" w:w="2270"/>
            <w:shd w:val="clear" w:color="auto" w:fill="F5F6F7"/>
            <w:vAlign w:val="center"/>
          </w:tcPr>
          <w:p>
            <w:pPr>
              <w:spacing w:after="0"/>
              <w:jc w:val="center"/>
            </w:pPr>
            <w:r>
              <w:rPr>
                <w:rFonts w:ascii="微软雅黑" w:hAnsi="微软雅黑" w:eastAsia="微软雅黑" w:cs="微软雅黑"/>
                <w:b/>
                <w:sz w:val="16"/>
              </w:rPr>
              <w:t>会计及NC状态</w:t>
            </w:r>
          </w:p>
        </w:tc>
      </w:tr>
      <w:tr>
        <w:tc>
          <w:tcPr>
            <w:tcW w:type="dxa" w:w="155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原收款</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客户付20,000</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形成未履约客户款或核销应收</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+20,000</w:t>
            </w:r>
          </w:p>
        </w:tc>
        <w:tc>
          <w:tcPr>
            <w:tcW w:type="dxa" w:w="227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收款事项</w:t>
            </w:r>
          </w:p>
        </w:tc>
      </w:tr>
      <w:tr>
        <w:tc>
          <w:tcPr>
            <w:tcW w:type="dxa" w:w="155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供应商预付</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预付12,000</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供应商预付款增加</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－12,000</w:t>
            </w:r>
          </w:p>
        </w:tc>
        <w:tc>
          <w:tcPr>
            <w:tcW w:type="dxa" w:w="227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预付款事项</w:t>
            </w:r>
          </w:p>
        </w:tc>
      </w:tr>
      <w:tr>
        <w:tc>
          <w:tcPr>
            <w:tcW w:type="dxa" w:w="155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取消审批</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客户退17,000、保留3,000</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原交易调整；退款责任17,000</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0</w:t>
            </w:r>
          </w:p>
        </w:tc>
        <w:tc>
          <w:tcPr>
            <w:tcW w:type="dxa" w:w="227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审批不等于资金已退</w:t>
            </w:r>
          </w:p>
        </w:tc>
      </w:tr>
      <w:tr>
        <w:tc>
          <w:tcPr>
            <w:tcW w:type="dxa" w:w="155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客户退款</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银行成功退17,000</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退款责任清零</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－17,000</w:t>
            </w:r>
          </w:p>
        </w:tc>
        <w:tc>
          <w:tcPr>
            <w:tcW w:type="dxa" w:w="227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实际扣款日形成退款事项</w:t>
            </w:r>
          </w:p>
        </w:tc>
      </w:tr>
      <w:tr>
        <w:tc>
          <w:tcPr>
            <w:tcW w:type="dxa" w:w="155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供应商退款</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供应商退9,000</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预付减少9,000</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+9,000</w:t>
            </w:r>
          </w:p>
        </w:tc>
        <w:tc>
          <w:tcPr>
            <w:tcW w:type="dxa" w:w="227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实际到账日确认</w:t>
            </w:r>
          </w:p>
        </w:tc>
      </w:tr>
      <w:tr>
        <w:tc>
          <w:tcPr>
            <w:tcW w:type="dxa" w:w="155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损失确认</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3,000无法追回</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剩余预付转取消成本或损失</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0</w:t>
            </w:r>
          </w:p>
        </w:tc>
        <w:tc>
          <w:tcPr>
            <w:tcW w:type="dxa" w:w="227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责任确认日进入NC</w:t>
            </w:r>
          </w:p>
        </w:tc>
      </w:tr>
    </w:tbl>
    <w:p>
      <w:pPr>
        <w:spacing w:after="40"/>
      </w:pPr>
    </w:p>
    <w:p>
      <w:pPr>
        <w:pStyle w:val="dingding-heading3"/>
        <w:keepNext/>
        <w:keepLines/>
      </w:pPr>
      <w:r>
        <w:rPr>
          <w:rFonts w:ascii="微软雅黑" w:hAnsi="微软雅黑" w:eastAsia="微软雅黑" w:cs="微软雅黑"/>
        </w:rPr>
        <w:t>6. 余额、结果和反算</w:t>
      </w:r>
    </w:p>
    <w:p>
      <w:pPr>
        <w:pStyle w:val="dingding_code"/>
        <w:spacing w:before="80" w:after="200" w:lineRule="exact" w:line="254"/>
        <w:ind w:left="115" w:right="115"/>
        <w:shd w:val="clear" w:fill="F2F3F5"/>
      </w:pPr>
      <w:r>
        <w:rPr>
          <w:rFonts w:ascii="Menlo" w:hAnsi="Menlo" w:eastAsia="Menlo" w:cs="Menlo"/>
          <w:sz w:val="17"/>
        </w:rPr>
        <w:t>客户：原收20,000 = 已退17,000 + 保留3,000</w:t>
        <w:br/>
        <w:t>供应商：预付12,000 = 已退9,000 + 未退3,000</w:t>
        <w:br/>
        <w:t>经营结果：3,000 - 3,000 = 0</w:t>
        <w:br/>
        <w:t>资金反算：20,000 - 17,000 - 12,000 + 9,000 = 0</w:t>
        <w:br/>
        <w:br/>
        <w:t>客户退款不等待供应商退款；供应商能否追回也不自动改变对客户责任。</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2800"/>
        <w:gridCol w:w="2500"/>
        <w:gridCol w:w="3000"/>
        <w:gridCol w:w="2920"/>
      </w:tblGrid>
      <w:tr>
        <w:trPr>
          <w:tblHeader w:val="true"/>
        </w:trPr>
        <w:tc>
          <w:tcPr>
            <w:tcW w:type="dxa" w:w="2800"/>
            <w:shd w:val="clear" w:color="auto" w:fill="F5F6F7"/>
            <w:vAlign w:val="center"/>
          </w:tcPr>
          <w:p>
            <w:pPr>
              <w:spacing w:after="0"/>
              <w:jc w:val="center"/>
            </w:pPr>
            <w:r>
              <w:rPr>
                <w:rFonts w:ascii="微软雅黑" w:hAnsi="微软雅黑" w:eastAsia="微软雅黑" w:cs="微软雅黑"/>
                <w:b/>
                <w:sz w:val="17"/>
              </w:rPr>
              <w:t>观察层次</w:t>
            </w:r>
          </w:p>
        </w:tc>
        <w:tc>
          <w:tcPr>
            <w:tcW w:type="dxa" w:w="2500"/>
            <w:shd w:val="clear" w:color="auto" w:fill="F5F6F7"/>
            <w:vAlign w:val="center"/>
          </w:tcPr>
          <w:p>
            <w:pPr>
              <w:spacing w:after="0"/>
              <w:jc w:val="center"/>
            </w:pPr>
            <w:r>
              <w:rPr>
                <w:rFonts w:ascii="微软雅黑" w:hAnsi="微软雅黑" w:eastAsia="微软雅黑" w:cs="微软雅黑"/>
                <w:b/>
                <w:sz w:val="17"/>
              </w:rPr>
              <w:t>收入/流入</w:t>
            </w:r>
          </w:p>
        </w:tc>
        <w:tc>
          <w:tcPr>
            <w:tcW w:type="dxa" w:w="3000"/>
            <w:shd w:val="clear" w:color="auto" w:fill="F5F6F7"/>
            <w:vAlign w:val="center"/>
          </w:tcPr>
          <w:p>
            <w:pPr>
              <w:spacing w:after="0"/>
              <w:jc w:val="center"/>
            </w:pPr>
            <w:r>
              <w:rPr>
                <w:rFonts w:ascii="微软雅黑" w:hAnsi="微软雅黑" w:eastAsia="微软雅黑" w:cs="微软雅黑"/>
                <w:b/>
                <w:sz w:val="17"/>
              </w:rPr>
              <w:t>成本费用/流出</w:t>
            </w:r>
          </w:p>
        </w:tc>
        <w:tc>
          <w:tcPr>
            <w:tcW w:type="dxa" w:w="2920"/>
            <w:shd w:val="clear" w:color="auto" w:fill="F5F6F7"/>
            <w:vAlign w:val="center"/>
          </w:tcPr>
          <w:p>
            <w:pPr>
              <w:spacing w:after="0"/>
              <w:jc w:val="center"/>
            </w:pPr>
            <w:r>
              <w:rPr>
                <w:rFonts w:ascii="微软雅黑" w:hAnsi="微软雅黑" w:eastAsia="微软雅黑" w:cs="微软雅黑"/>
                <w:b/>
                <w:sz w:val="17"/>
              </w:rPr>
              <w:t>结果或余额</w:t>
            </w:r>
          </w:p>
        </w:tc>
      </w:tr>
      <w:tr>
        <w:tc>
          <w:tcPr>
            <w:tcW w:type="dxa" w:w="28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客户侧</w:t>
            </w:r>
          </w:p>
        </w:tc>
        <w:tc>
          <w:tcPr>
            <w:tcW w:type="dxa" w:w="2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原收20,000</w:t>
            </w:r>
          </w:p>
        </w:tc>
        <w:tc>
          <w:tcPr>
            <w:tcW w:type="dxa" w:w="30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退款17,000</w:t>
            </w:r>
          </w:p>
        </w:tc>
        <w:tc>
          <w:tcPr>
            <w:tcW w:type="dxa" w:w="29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保留3,000</w:t>
            </w:r>
          </w:p>
        </w:tc>
      </w:tr>
      <w:tr>
        <w:tc>
          <w:tcPr>
            <w:tcW w:type="dxa" w:w="28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供应商侧</w:t>
            </w:r>
          </w:p>
        </w:tc>
        <w:tc>
          <w:tcPr>
            <w:tcW w:type="dxa" w:w="2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退款流入9,000</w:t>
            </w:r>
          </w:p>
        </w:tc>
        <w:tc>
          <w:tcPr>
            <w:tcW w:type="dxa" w:w="30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原预付12,000</w:t>
            </w:r>
          </w:p>
        </w:tc>
        <w:tc>
          <w:tcPr>
            <w:tcW w:type="dxa" w:w="29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损失3,000</w:t>
            </w:r>
          </w:p>
        </w:tc>
      </w:tr>
      <w:tr>
        <w:tc>
          <w:tcPr>
            <w:tcW w:type="dxa" w:w="28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公司经营</w:t>
            </w:r>
          </w:p>
        </w:tc>
        <w:tc>
          <w:tcPr>
            <w:tcW w:type="dxa" w:w="2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取消费/赔偿3,000</w:t>
            </w:r>
          </w:p>
        </w:tc>
        <w:tc>
          <w:tcPr>
            <w:tcW w:type="dxa" w:w="30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取消成本/损失3,000</w:t>
            </w:r>
          </w:p>
        </w:tc>
        <w:tc>
          <w:tcPr>
            <w:tcW w:type="dxa" w:w="29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0</w:t>
            </w:r>
          </w:p>
        </w:tc>
      </w:tr>
      <w:tr>
        <w:tc>
          <w:tcPr>
            <w:tcW w:type="dxa" w:w="28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资金</w:t>
            </w:r>
          </w:p>
        </w:tc>
        <w:tc>
          <w:tcPr>
            <w:tcW w:type="dxa" w:w="2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客户20,000＋供应商9,000</w:t>
            </w:r>
          </w:p>
        </w:tc>
        <w:tc>
          <w:tcPr>
            <w:tcW w:type="dxa" w:w="30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7"/>
              </w:rPr>
              <w:t>供应商12,000＋客户17,000</w:t>
            </w:r>
          </w:p>
        </w:tc>
        <w:tc>
          <w:tcPr>
            <w:tcW w:type="dxa" w:w="29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净变化0</w:t>
            </w:r>
          </w:p>
        </w:tc>
      </w:tr>
    </w:tbl>
    <w:p>
      <w:pPr>
        <w:spacing w:after="40"/>
      </w:pPr>
    </w:p>
    <w:p>
      <w:pPr>
        <w:pStyle w:val="dingding-heading3"/>
        <w:keepNext/>
        <w:keepLines/>
      </w:pPr>
      <w:r>
        <w:rPr>
          <w:rFonts w:ascii="微软雅黑" w:hAnsi="微软雅黑" w:eastAsia="微软雅黑" w:cs="微软雅黑"/>
        </w:rPr>
        <w:t>7. 合同、业务、资金、发票和会计核对</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2300"/>
        <w:gridCol w:w="3200"/>
        <w:gridCol w:w="2700"/>
        <w:gridCol w:w="3020"/>
      </w:tblGrid>
      <w:tr>
        <w:trPr>
          <w:tblHeader w:val="true"/>
        </w:trPr>
        <w:tc>
          <w:tcPr>
            <w:tcW w:type="dxa" w:w="2300"/>
            <w:shd w:val="clear" w:color="auto" w:fill="F5F6F7"/>
            <w:vAlign w:val="center"/>
          </w:tcPr>
          <w:p>
            <w:pPr>
              <w:spacing w:after="0"/>
              <w:jc w:val="center"/>
            </w:pPr>
            <w:r>
              <w:rPr>
                <w:rFonts w:ascii="微软雅黑" w:hAnsi="微软雅黑" w:eastAsia="微软雅黑" w:cs="微软雅黑"/>
                <w:b/>
                <w:sz w:val="16"/>
              </w:rPr>
              <w:t>交易段</w:t>
            </w:r>
          </w:p>
        </w:tc>
        <w:tc>
          <w:tcPr>
            <w:tcW w:type="dxa" w:w="3200"/>
            <w:shd w:val="clear" w:color="auto" w:fill="F5F6F7"/>
            <w:vAlign w:val="center"/>
          </w:tcPr>
          <w:p>
            <w:pPr>
              <w:spacing w:after="0"/>
              <w:jc w:val="center"/>
            </w:pPr>
            <w:r>
              <w:rPr>
                <w:rFonts w:ascii="微软雅黑" w:hAnsi="微软雅黑" w:eastAsia="微软雅黑" w:cs="微软雅黑"/>
                <w:b/>
                <w:sz w:val="16"/>
              </w:rPr>
              <w:t>合同与业务</w:t>
            </w:r>
          </w:p>
        </w:tc>
        <w:tc>
          <w:tcPr>
            <w:tcW w:type="dxa" w:w="2700"/>
            <w:shd w:val="clear" w:color="auto" w:fill="F5F6F7"/>
            <w:vAlign w:val="center"/>
          </w:tcPr>
          <w:p>
            <w:pPr>
              <w:spacing w:after="0"/>
              <w:jc w:val="center"/>
            </w:pPr>
            <w:r>
              <w:rPr>
                <w:rFonts w:ascii="微软雅黑" w:hAnsi="微软雅黑" w:eastAsia="微软雅黑" w:cs="微软雅黑"/>
                <w:b/>
                <w:sz w:val="16"/>
              </w:rPr>
              <w:t>资金与发票</w:t>
            </w:r>
          </w:p>
        </w:tc>
        <w:tc>
          <w:tcPr>
            <w:tcW w:type="dxa" w:w="3020"/>
            <w:shd w:val="clear" w:color="auto" w:fill="F5F6F7"/>
            <w:vAlign w:val="center"/>
          </w:tcPr>
          <w:p>
            <w:pPr>
              <w:spacing w:after="0"/>
              <w:jc w:val="center"/>
            </w:pPr>
            <w:r>
              <w:rPr>
                <w:rFonts w:ascii="微软雅黑" w:hAnsi="微软雅黑" w:eastAsia="微软雅黑" w:cs="微软雅黑"/>
                <w:b/>
                <w:sz w:val="16"/>
              </w:rPr>
              <w:t>会计结果/差异解释</w:t>
            </w:r>
          </w:p>
        </w:tc>
      </w:tr>
      <w:tr>
        <w:tc>
          <w:tcPr>
            <w:tcW w:type="dxa" w:w="23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客户—北京</w:t>
            </w:r>
          </w:p>
        </w:tc>
        <w:tc>
          <w:tcPr>
            <w:tcW w:type="dxa" w:w="32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取消协议确认退17,000、留3,000</w:t>
            </w:r>
          </w:p>
        </w:tc>
        <w:tc>
          <w:tcPr>
            <w:tcW w:type="dxa" w:w="27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北京实际退17,000；红字发票规则待确认</w:t>
            </w:r>
          </w:p>
        </w:tc>
        <w:tc>
          <w:tcPr>
            <w:tcW w:type="dxa" w:w="3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原收入/负债调整；保留款性质待确认</w:t>
            </w:r>
          </w:p>
        </w:tc>
      </w:tr>
      <w:tr>
        <w:tc>
          <w:tcPr>
            <w:tcW w:type="dxa" w:w="23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北京—供应商</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取消条款决定退9,000</w:t>
            </w:r>
          </w:p>
        </w:tc>
        <w:tc>
          <w:tcPr>
            <w:tcW w:type="dxa" w:w="2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供应商实际回款9,000</w:t>
            </w:r>
          </w:p>
        </w:tc>
        <w:tc>
          <w:tcPr>
            <w:tcW w:type="dxa" w:w="302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预付减少，未退3,000转损失或成本</w:t>
            </w:r>
          </w:p>
        </w:tc>
      </w:tr>
      <w:tr>
        <w:tc>
          <w:tcPr>
            <w:tcW w:type="dxa" w:w="23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资金</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两条退款独立</w:t>
            </w:r>
          </w:p>
        </w:tc>
        <w:tc>
          <w:tcPr>
            <w:tcW w:type="dxa" w:w="2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客户退款和供应商回款分别匹配</w:t>
            </w:r>
          </w:p>
        </w:tc>
        <w:tc>
          <w:tcPr>
            <w:tcW w:type="dxa" w:w="3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不得用供应商未退作为拒付客户依据</w:t>
            </w:r>
          </w:p>
        </w:tc>
      </w:tr>
      <w:tr>
        <w:tc>
          <w:tcPr>
            <w:tcW w:type="dxa" w:w="23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NC</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原事项可追溯</w:t>
            </w:r>
          </w:p>
        </w:tc>
        <w:tc>
          <w:tcPr>
            <w:tcW w:type="dxa" w:w="2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不删除原收付</w:t>
            </w:r>
          </w:p>
        </w:tc>
        <w:tc>
          <w:tcPr>
            <w:tcW w:type="dxa" w:w="3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以退款、回款和损失事项反向承接</w:t>
            </w:r>
          </w:p>
        </w:tc>
      </w:tr>
    </w:tbl>
    <w:p>
      <w:pPr>
        <w:spacing w:after="40"/>
      </w:pPr>
    </w:p>
    <w:p>
      <w:pPr>
        <w:pStyle w:val="dingding-heading3"/>
        <w:keepNext/>
        <w:keepLines/>
      </w:pPr>
      <w:r>
        <w:rPr>
          <w:rFonts w:ascii="微软雅黑" w:hAnsi="微软雅黑" w:eastAsia="微软雅黑" w:cs="微软雅黑"/>
        </w:rPr>
        <w:t>8. 会计事项和NC承接</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2200"/>
        <w:gridCol w:w="1600"/>
        <w:gridCol w:w="3900"/>
        <w:gridCol w:w="1500"/>
        <w:gridCol w:w="2020"/>
      </w:tblGrid>
      <w:tr>
        <w:trPr>
          <w:tblHeader w:val="true"/>
        </w:trPr>
        <w:tc>
          <w:tcPr>
            <w:tcW w:type="dxa" w:w="2200"/>
            <w:shd w:val="clear" w:color="auto" w:fill="F5F6F7"/>
            <w:vAlign w:val="center"/>
          </w:tcPr>
          <w:p>
            <w:pPr>
              <w:spacing w:after="0"/>
              <w:jc w:val="center"/>
            </w:pPr>
            <w:r>
              <w:rPr>
                <w:rFonts w:ascii="微软雅黑" w:hAnsi="微软雅黑" w:eastAsia="微软雅黑" w:cs="微软雅黑"/>
                <w:b/>
                <w:sz w:val="16"/>
              </w:rPr>
              <w:t>生效时点</w:t>
            </w:r>
          </w:p>
        </w:tc>
        <w:tc>
          <w:tcPr>
            <w:tcW w:type="dxa" w:w="1600"/>
            <w:shd w:val="clear" w:color="auto" w:fill="F5F6F7"/>
            <w:vAlign w:val="center"/>
          </w:tcPr>
          <w:p>
            <w:pPr>
              <w:spacing w:after="0"/>
              <w:jc w:val="center"/>
            </w:pPr>
            <w:r>
              <w:rPr>
                <w:rFonts w:ascii="微软雅黑" w:hAnsi="微软雅黑" w:eastAsia="微软雅黑" w:cs="微软雅黑"/>
                <w:b/>
                <w:sz w:val="16"/>
              </w:rPr>
              <w:t>所属公司</w:t>
            </w:r>
          </w:p>
        </w:tc>
        <w:tc>
          <w:tcPr>
            <w:tcW w:type="dxa" w:w="3900"/>
            <w:shd w:val="clear" w:color="auto" w:fill="F5F6F7"/>
            <w:vAlign w:val="center"/>
          </w:tcPr>
          <w:p>
            <w:pPr>
              <w:spacing w:after="0"/>
              <w:jc w:val="center"/>
            </w:pPr>
            <w:r>
              <w:rPr>
                <w:rFonts w:ascii="微软雅黑" w:hAnsi="微软雅黑" w:eastAsia="微软雅黑" w:cs="微软雅黑"/>
                <w:b/>
                <w:sz w:val="16"/>
              </w:rPr>
              <w:t>经济事项</w:t>
            </w:r>
          </w:p>
        </w:tc>
        <w:tc>
          <w:tcPr>
            <w:tcW w:type="dxa" w:w="1500"/>
            <w:shd w:val="clear" w:color="auto" w:fill="F5F6F7"/>
            <w:vAlign w:val="center"/>
          </w:tcPr>
          <w:p>
            <w:pPr>
              <w:spacing w:after="0"/>
              <w:jc w:val="center"/>
            </w:pPr>
            <w:r>
              <w:rPr>
                <w:rFonts w:ascii="微软雅黑" w:hAnsi="微软雅黑" w:eastAsia="微软雅黑" w:cs="微软雅黑"/>
                <w:b/>
                <w:sz w:val="16"/>
              </w:rPr>
              <w:t>金额</w:t>
            </w:r>
          </w:p>
        </w:tc>
        <w:tc>
          <w:tcPr>
            <w:tcW w:type="dxa" w:w="2020"/>
            <w:shd w:val="clear" w:color="auto" w:fill="F5F6F7"/>
            <w:vAlign w:val="center"/>
          </w:tcPr>
          <w:p>
            <w:pPr>
              <w:spacing w:after="0"/>
              <w:jc w:val="center"/>
            </w:pPr>
            <w:r>
              <w:rPr>
                <w:rFonts w:ascii="微软雅黑" w:hAnsi="微软雅黑" w:eastAsia="微软雅黑" w:cs="微软雅黑"/>
                <w:b/>
                <w:sz w:val="16"/>
              </w:rPr>
              <w:t>反向处理</w:t>
            </w:r>
          </w:p>
        </w:tc>
      </w:tr>
      <w:tr>
        <w:tc>
          <w:tcPr>
            <w:tcW w:type="dxa" w:w="2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客户退款责任批准</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北京</w:t>
            </w:r>
          </w:p>
        </w:tc>
        <w:tc>
          <w:tcPr>
            <w:tcW w:type="dxa" w:w="39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原交易调整和退款责任</w:t>
            </w:r>
          </w:p>
        </w:tc>
        <w:tc>
          <w:tcPr>
            <w:tcW w:type="dxa" w:w="1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17,000/3,000</w:t>
            </w:r>
          </w:p>
        </w:tc>
        <w:tc>
          <w:tcPr>
            <w:tcW w:type="dxa" w:w="2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售后撤销</w:t>
            </w:r>
          </w:p>
        </w:tc>
      </w:tr>
      <w:tr>
        <w:tc>
          <w:tcPr>
            <w:tcW w:type="dxa" w:w="2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客户退款成功</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北京</w:t>
            </w:r>
          </w:p>
        </w:tc>
        <w:tc>
          <w:tcPr>
            <w:tcW w:type="dxa" w:w="39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退款责任减少、银行减少</w:t>
            </w:r>
          </w:p>
        </w:tc>
        <w:tc>
          <w:tcPr>
            <w:tcW w:type="dxa" w:w="1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17,000</w:t>
            </w:r>
          </w:p>
        </w:tc>
        <w:tc>
          <w:tcPr>
            <w:tcW w:type="dxa" w:w="2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退款银行退回</w:t>
            </w:r>
          </w:p>
        </w:tc>
      </w:tr>
      <w:tr>
        <w:tc>
          <w:tcPr>
            <w:tcW w:type="dxa" w:w="2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供应商退款到账</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北京</w:t>
            </w:r>
          </w:p>
        </w:tc>
        <w:tc>
          <w:tcPr>
            <w:tcW w:type="dxa" w:w="39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银行增加、供应商预付减少</w:t>
            </w:r>
          </w:p>
        </w:tc>
        <w:tc>
          <w:tcPr>
            <w:tcW w:type="dxa" w:w="1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9,000</w:t>
            </w:r>
          </w:p>
        </w:tc>
        <w:tc>
          <w:tcPr>
            <w:tcW w:type="dxa" w:w="2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回款冲销</w:t>
            </w:r>
          </w:p>
        </w:tc>
      </w:tr>
      <w:tr>
        <w:tc>
          <w:tcPr>
            <w:tcW w:type="dxa" w:w="2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不可追回确认</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北京</w:t>
            </w:r>
          </w:p>
        </w:tc>
        <w:tc>
          <w:tcPr>
            <w:tcW w:type="dxa" w:w="39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取消成本或损失、预付减少</w:t>
            </w:r>
          </w:p>
        </w:tc>
        <w:tc>
          <w:tcPr>
            <w:tcW w:type="dxa" w:w="1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3,000</w:t>
            </w:r>
          </w:p>
        </w:tc>
        <w:tc>
          <w:tcPr>
            <w:tcW w:type="dxa" w:w="2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后续追回形成回款/损失转回</w:t>
            </w:r>
          </w:p>
        </w:tc>
      </w:tr>
      <w:tr>
        <w:tc>
          <w:tcPr>
            <w:tcW w:type="dxa" w:w="2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保留款条件成立</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北京</w:t>
            </w:r>
          </w:p>
        </w:tc>
        <w:tc>
          <w:tcPr>
            <w:tcW w:type="dxa" w:w="39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取消费或赔偿相关事项</w:t>
            </w:r>
          </w:p>
        </w:tc>
        <w:tc>
          <w:tcPr>
            <w:tcW w:type="dxa" w:w="1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3,000</w:t>
            </w:r>
          </w:p>
        </w:tc>
        <w:tc>
          <w:tcPr>
            <w:tcW w:type="dxa" w:w="2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客户争议调整</w:t>
            </w:r>
          </w:p>
        </w:tc>
      </w:tr>
    </w:tbl>
    <w:p>
      <w:pPr>
        <w:spacing w:after="40"/>
      </w:pPr>
    </w:p>
    <w:p>
      <w:pPr>
        <w:spacing w:before="80" w:after="200" w:line="288" w:lineRule="auto"/>
        <w:ind w:left="115" w:right="115"/>
        <w:shd w:val="clear" w:fill="FFF4E5"/>
        <w:pBdr>
          <w:top w:val="single" w:sz="6" w:space="4" w:color="E6D8C8"/>
          <w:left w:val="single" w:sz="6" w:space="4" w:color="E6D8C8"/>
          <w:bottom w:val="single" w:sz="6" w:space="4" w:color="E6D8C8"/>
          <w:right w:val="single" w:sz="6" w:space="4" w:color="E6D8C8"/>
        </w:pBdr>
      </w:pPr>
      <w:r>
        <w:rPr>
          <w:rFonts w:ascii="微软雅黑" w:hAnsi="微软雅黑" w:eastAsia="微软雅黑" w:cs="微软雅黑"/>
          <w:b/>
          <w:sz w:val="20"/>
        </w:rPr>
        <w:t>本案例的核心判断：</w:t>
      </w:r>
      <w:r>
        <w:rPr>
          <w:rFonts w:ascii="微软雅黑" w:hAnsi="微软雅黑" w:eastAsia="微软雅黑" w:cs="微软雅黑"/>
          <w:sz w:val="20"/>
        </w:rPr>
        <w:t>系统必须保留原收款、客户退款、供应商预付、供应商退回和未退损失五条独立记录。任何一条发生时间变化，都不能重写其余四条。</w:t>
      </w:r>
    </w:p>
    <w:p>
      <w:pPr>
        <w:pStyle w:val="dingding-heading3"/>
        <w:keepNext/>
        <w:keepLines/>
      </w:pPr>
      <w:r>
        <w:rPr>
          <w:rFonts w:ascii="微软雅黑" w:hAnsi="微软雅黑" w:eastAsia="微软雅黑" w:cs="微软雅黑"/>
        </w:rPr>
        <w:t>财务需要逐项确认</w:t>
      </w:r>
    </w:p>
    <w:p>
      <w:pPr>
        <w:spacing w:after="60"/>
        <w:ind w:left="418" w:hanging="418"/>
        <w:numPr>
          <w:ilvl w:val="0"/>
          <w:numId w:val="1"/>
        </w:numPr>
      </w:pPr>
      <w:r>
        <w:rPr>
          <w:rFonts w:ascii="微软雅黑" w:hAnsi="微软雅黑" w:eastAsia="微软雅黑" w:cs="微软雅黑"/>
          <w:sz w:val="21"/>
        </w:rPr>
        <w:t>保留3,000属于取消服务收入、违约赔偿还是原收入调整，税务和发票如何处理？</w:t>
      </w:r>
    </w:p>
    <w:p>
      <w:pPr>
        <w:spacing w:after="60"/>
        <w:ind w:left="418" w:hanging="418"/>
        <w:numPr>
          <w:ilvl w:val="0"/>
          <w:numId w:val="1"/>
        </w:numPr>
      </w:pPr>
      <w:r>
        <w:rPr>
          <w:rFonts w:ascii="微软雅黑" w:hAnsi="微软雅黑" w:eastAsia="微软雅黑" w:cs="微软雅黑"/>
          <w:sz w:val="21"/>
        </w:rPr>
        <w:t>供应商未退3,000属于正常履约成本、销售成本还是损失？</w:t>
      </w:r>
    </w:p>
    <w:p>
      <w:pPr>
        <w:spacing w:after="60"/>
        <w:ind w:left="418" w:hanging="418"/>
        <w:numPr>
          <w:ilvl w:val="0"/>
          <w:numId w:val="1"/>
        </w:numPr>
      </w:pPr>
      <w:r>
        <w:rPr>
          <w:rFonts w:ascii="微软雅黑" w:hAnsi="微软雅黑" w:eastAsia="微软雅黑" w:cs="微软雅黑"/>
          <w:sz w:val="21"/>
        </w:rPr>
        <w:t>客户退款审批通过后多久形成退款责任，银行失败时如何恢复？</w:t>
      </w:r>
    </w:p>
    <w:p>
      <w:pPr>
        <w:spacing w:after="60"/>
        <w:ind w:left="418" w:hanging="418"/>
        <w:numPr>
          <w:ilvl w:val="0"/>
          <w:numId w:val="1"/>
        </w:numPr>
      </w:pPr>
      <w:r>
        <w:rPr>
          <w:rFonts w:ascii="微软雅黑" w:hAnsi="微软雅黑" w:eastAsia="微软雅黑" w:cs="微软雅黑"/>
          <w:sz w:val="21"/>
        </w:rPr>
        <w:t>供应商后续又追回1,000时，如何冲回原损失并跨期处理？</w:t>
      </w:r>
    </w:p>
    <w:p>
      <w:pPr>
        <w:spacing w:after="60"/>
        <w:ind w:left="418" w:hanging="418"/>
        <w:numPr>
          <w:ilvl w:val="0"/>
          <w:numId w:val="1"/>
        </w:numPr>
      </w:pPr>
      <w:r>
        <w:rPr>
          <w:rFonts w:ascii="微软雅黑" w:hAnsi="微软雅黑" w:eastAsia="微软雅黑" w:cs="微软雅黑"/>
          <w:sz w:val="21"/>
        </w:rPr>
        <w:t>已开票订单取消时红字发票是否为退款放款前置条件？</w:t>
      </w:r>
    </w:p>
    <w:p>
      <w:pPr/>
      <w:r>
        <w:br w:type="page"/>
      </w:r>
    </w:p>
    <w:p>
      <w:pPr>
        <w:pStyle w:val="dingding-heading2"/>
        <w:keepNext/>
        <w:keepLines/>
      </w:pPr>
      <w:r>
        <w:rPr>
          <w:rFonts w:ascii="微软雅黑" w:hAnsi="微软雅黑" w:eastAsia="微软雅黑" w:cs="微软雅黑"/>
        </w:rPr>
        <w:t>案例8：集团资金集中代收、代付与内部资金清算</w:t>
      </w:r>
    </w:p>
    <w:p>
      <w:pPr>
        <w:pStyle w:val="dingding_quote"/>
        <w:spacing w:before="80" w:after="200" w:line="288" w:lineRule="auto"/>
      </w:pPr>
      <w:r>
        <w:rPr>
          <w:rFonts w:ascii="微软雅黑" w:hAnsi="微软雅黑" w:eastAsia="微软雅黑" w:cs="微软雅黑"/>
          <w:b/>
          <w:color w:val="A0A0A0"/>
          <w:sz w:val="21"/>
        </w:rPr>
        <w:t>场景定位：</w:t>
      </w:r>
      <w:r>
        <w:rPr>
          <w:rFonts w:ascii="微软雅黑" w:hAnsi="微软雅黑" w:eastAsia="微软雅黑" w:cs="微软雅黑"/>
          <w:b w:val="0"/>
          <w:color w:val="A0A0A0"/>
          <w:sz w:val="21"/>
        </w:rPr>
        <w:t>上海A对客销售 × 北京B提供产品 × 集团资金主体F代收客户款并代付供应商</w:t>
      </w:r>
      <w:r>
        <w:br/>
      </w:r>
      <w:r>
        <w:rPr>
          <w:rFonts w:ascii="微软雅黑" w:hAnsi="微软雅黑" w:eastAsia="微软雅黑" w:cs="微软雅黑"/>
          <w:b/>
          <w:color w:val="A0A0A0"/>
          <w:sz w:val="21"/>
        </w:rPr>
        <w:t>验证重点：</w:t>
      </w:r>
      <w:r>
        <w:rPr>
          <w:rFonts w:ascii="微软雅黑" w:hAnsi="微软雅黑" w:eastAsia="微软雅黑" w:cs="微软雅黑"/>
          <w:b w:val="0"/>
          <w:color w:val="A0A0A0"/>
          <w:sz w:val="21"/>
        </w:rPr>
        <w:t>资金放在F不改变A的客户债权和B的供应商债务；10,000资金如何分解为A余额2,000和B余额240</w:t>
      </w:r>
      <w:r>
        <w:br/>
      </w:r>
      <w:r>
        <w:rPr>
          <w:rFonts w:ascii="微软雅黑" w:hAnsi="微软雅黑" w:eastAsia="微软雅黑" w:cs="微软雅黑"/>
          <w:b/>
          <w:color w:val="A0A0A0"/>
          <w:sz w:val="21"/>
        </w:rPr>
        <w:t>金额说明：</w:t>
      </w:r>
      <w:r>
        <w:rPr>
          <w:rFonts w:ascii="微软雅黑" w:hAnsi="微软雅黑" w:eastAsia="微软雅黑" w:cs="微软雅黑"/>
          <w:b w:val="0"/>
          <w:color w:val="A0A0A0"/>
          <w:sz w:val="21"/>
        </w:rPr>
        <w:t>以下均为含税业务金额；收入时点、税额、发票和正式会计科目以财务确认结论为准。</w:t>
      </w:r>
    </w:p>
    <w:p>
      <w:pPr>
        <w:pStyle w:val="dingding-heading3"/>
        <w:keepNext/>
        <w:keepLines/>
      </w:pPr>
      <w:r>
        <w:rPr>
          <w:rFonts w:ascii="微软雅黑" w:hAnsi="微软雅黑" w:eastAsia="微软雅黑" w:cs="微软雅黑"/>
        </w:rPr>
        <w:t>1. 业务场景设定</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2500"/>
        <w:gridCol w:w="8720"/>
      </w:tblGrid>
      <w:tr>
        <w:trPr>
          <w:tblHeader w:val="true"/>
        </w:trPr>
        <w:tc>
          <w:tcPr>
            <w:tcW w:type="dxa" w:w="2500"/>
            <w:shd w:val="clear" w:color="auto" w:fill="F5F6F7"/>
            <w:vAlign w:val="center"/>
          </w:tcPr>
          <w:p>
            <w:pPr>
              <w:spacing w:after="0"/>
              <w:jc w:val="center"/>
            </w:pPr>
            <w:r>
              <w:rPr>
                <w:rFonts w:ascii="微软雅黑" w:hAnsi="微软雅黑" w:eastAsia="微软雅黑" w:cs="微软雅黑"/>
                <w:b/>
                <w:sz w:val="19"/>
              </w:rPr>
              <w:t>项目</w:t>
            </w:r>
          </w:p>
        </w:tc>
        <w:tc>
          <w:tcPr>
            <w:tcW w:type="dxa" w:w="8720"/>
            <w:shd w:val="clear" w:color="auto" w:fill="F5F6F7"/>
            <w:vAlign w:val="center"/>
          </w:tcPr>
          <w:p>
            <w:pPr>
              <w:spacing w:after="0"/>
              <w:jc w:val="center"/>
            </w:pPr>
            <w:r>
              <w:rPr>
                <w:rFonts w:ascii="微软雅黑" w:hAnsi="微软雅黑" w:eastAsia="微软雅黑" w:cs="微软雅黑"/>
                <w:b/>
                <w:sz w:val="19"/>
              </w:rPr>
              <w:t>内容</w:t>
            </w:r>
          </w:p>
        </w:tc>
      </w:tr>
      <w:tr>
        <w:tc>
          <w:tcPr>
            <w:tcW w:type="dxa" w:w="25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9"/>
              </w:rPr>
              <w:t>销售公司A</w:t>
            </w:r>
          </w:p>
        </w:tc>
        <w:tc>
          <w:tcPr>
            <w:tcW w:type="dxa" w:w="872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9"/>
              </w:rPr>
              <w:t>上海公司，对客合同10,000，内部采购北京产品8,000</w:t>
            </w:r>
          </w:p>
        </w:tc>
      </w:tr>
      <w:tr>
        <w:tc>
          <w:tcPr>
            <w:tcW w:type="dxa" w:w="25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9"/>
              </w:rPr>
              <w:t>产品公司B</w:t>
            </w:r>
          </w:p>
        </w:tc>
        <w:tc>
          <w:tcPr>
            <w:tcW w:type="dxa" w:w="87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9"/>
              </w:rPr>
              <w:t>北京公司，外部供应商应付7,760</w:t>
            </w:r>
          </w:p>
        </w:tc>
      </w:tr>
      <w:tr>
        <w:tc>
          <w:tcPr>
            <w:tcW w:type="dxa" w:w="25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9"/>
              </w:rPr>
              <w:t>资金主体F</w:t>
            </w:r>
          </w:p>
        </w:tc>
        <w:tc>
          <w:tcPr>
            <w:tcW w:type="dxa" w:w="872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9"/>
              </w:rPr>
              <w:t>集团资金管理主体，代收客户10,000并代付供应商7,760</w:t>
            </w:r>
          </w:p>
        </w:tc>
      </w:tr>
      <w:tr>
        <w:tc>
          <w:tcPr>
            <w:tcW w:type="dxa" w:w="25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9"/>
              </w:rPr>
              <w:t>客户与供应商</w:t>
            </w:r>
          </w:p>
        </w:tc>
        <w:tc>
          <w:tcPr>
            <w:tcW w:type="dxa" w:w="872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9"/>
              </w:rPr>
              <w:t>客户向F付款；F根据指令向B的供应商付款</w:t>
            </w:r>
          </w:p>
        </w:tc>
      </w:tr>
      <w:tr>
        <w:tc>
          <w:tcPr>
            <w:tcW w:type="dxa" w:w="25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9"/>
              </w:rPr>
              <w:t>结算结果</w:t>
            </w:r>
          </w:p>
        </w:tc>
        <w:tc>
          <w:tcPr>
            <w:tcW w:type="dxa" w:w="872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9"/>
              </w:rPr>
              <w:t>A单体毛利2,000；B单体毛利240；F不取得业务利润</w:t>
            </w:r>
          </w:p>
        </w:tc>
      </w:tr>
      <w:tr>
        <w:tc>
          <w:tcPr>
            <w:tcW w:type="dxa" w:w="25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9"/>
              </w:rPr>
              <w:t>案例假设</w:t>
            </w:r>
          </w:p>
        </w:tc>
        <w:tc>
          <w:tcPr>
            <w:tcW w:type="dxa" w:w="87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9"/>
              </w:rPr>
              <w:t>三方代收代付及内部清算协议有效</w:t>
            </w:r>
          </w:p>
        </w:tc>
      </w:tr>
    </w:tbl>
    <w:p>
      <w:pPr>
        <w:spacing w:after="40"/>
      </w:pPr>
    </w:p>
    <w:p>
      <w:pPr>
        <w:pStyle w:val="dingding-heading3"/>
        <w:keepNext/>
        <w:keepLines/>
      </w:pPr>
      <w:r>
        <w:rPr>
          <w:rFonts w:ascii="微软雅黑" w:hAnsi="微软雅黑" w:eastAsia="微软雅黑" w:cs="微软雅黑"/>
        </w:rPr>
        <w:t>2. 参与方和财务责任</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2600"/>
        <w:gridCol w:w="3300"/>
        <w:gridCol w:w="5320"/>
      </w:tblGrid>
      <w:tr>
        <w:trPr>
          <w:tblHeader w:val="true"/>
        </w:trPr>
        <w:tc>
          <w:tcPr>
            <w:tcW w:type="dxa" w:w="2600"/>
            <w:shd w:val="clear" w:color="auto" w:fill="F5F6F7"/>
            <w:vAlign w:val="center"/>
          </w:tcPr>
          <w:p>
            <w:pPr>
              <w:spacing w:after="0"/>
              <w:jc w:val="center"/>
            </w:pPr>
            <w:r>
              <w:rPr>
                <w:rFonts w:ascii="微软雅黑" w:hAnsi="微软雅黑" w:eastAsia="微软雅黑" w:cs="微软雅黑"/>
                <w:b/>
                <w:sz w:val="17"/>
              </w:rPr>
              <w:t>责任</w:t>
            </w:r>
          </w:p>
        </w:tc>
        <w:tc>
          <w:tcPr>
            <w:tcW w:type="dxa" w:w="3300"/>
            <w:shd w:val="clear" w:color="auto" w:fill="F5F6F7"/>
            <w:vAlign w:val="center"/>
          </w:tcPr>
          <w:p>
            <w:pPr>
              <w:spacing w:after="0"/>
              <w:jc w:val="center"/>
            </w:pPr>
            <w:r>
              <w:rPr>
                <w:rFonts w:ascii="微软雅黑" w:hAnsi="微软雅黑" w:eastAsia="微软雅黑" w:cs="微软雅黑"/>
                <w:b/>
                <w:sz w:val="17"/>
              </w:rPr>
              <w:t>承担方</w:t>
            </w:r>
          </w:p>
        </w:tc>
        <w:tc>
          <w:tcPr>
            <w:tcW w:type="dxa" w:w="5320"/>
            <w:shd w:val="clear" w:color="auto" w:fill="F5F6F7"/>
            <w:vAlign w:val="center"/>
          </w:tcPr>
          <w:p>
            <w:pPr>
              <w:spacing w:after="0"/>
              <w:jc w:val="center"/>
            </w:pPr>
            <w:r>
              <w:rPr>
                <w:rFonts w:ascii="微软雅黑" w:hAnsi="微软雅黑" w:eastAsia="微软雅黑" w:cs="微软雅黑"/>
                <w:b/>
                <w:sz w:val="17"/>
              </w:rPr>
              <w:t>判断依据</w:t>
            </w:r>
          </w:p>
        </w:tc>
      </w:tr>
      <w:tr>
        <w:tc>
          <w:tcPr>
            <w:tcW w:type="dxa" w:w="26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客户合同、应收和收入</w:t>
            </w:r>
          </w:p>
        </w:tc>
        <w:tc>
          <w:tcPr>
            <w:tcW w:type="dxa" w:w="33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上海A</w:t>
            </w:r>
          </w:p>
        </w:tc>
        <w:tc>
          <w:tcPr>
            <w:tcW w:type="dxa" w:w="53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对客合同</w:t>
            </w:r>
          </w:p>
        </w:tc>
      </w:tr>
      <w:tr>
        <w:tc>
          <w:tcPr>
            <w:tcW w:type="dxa" w:w="26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内部产品结算</w:t>
            </w:r>
          </w:p>
        </w:tc>
        <w:tc>
          <w:tcPr>
            <w:tcW w:type="dxa" w:w="33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上海A与北京B</w:t>
            </w:r>
          </w:p>
        </w:tc>
        <w:tc>
          <w:tcPr>
            <w:tcW w:type="dxa" w:w="53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内部供给协议8,000</w:t>
            </w:r>
          </w:p>
        </w:tc>
      </w:tr>
      <w:tr>
        <w:tc>
          <w:tcPr>
            <w:tcW w:type="dxa" w:w="26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外部采购和应付</w:t>
            </w:r>
          </w:p>
        </w:tc>
        <w:tc>
          <w:tcPr>
            <w:tcW w:type="dxa" w:w="33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北京B</w:t>
            </w:r>
          </w:p>
        </w:tc>
        <w:tc>
          <w:tcPr>
            <w:tcW w:type="dxa" w:w="53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B与供应商合同7,760</w:t>
            </w:r>
          </w:p>
        </w:tc>
      </w:tr>
      <w:tr>
        <w:tc>
          <w:tcPr>
            <w:tcW w:type="dxa" w:w="26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银行收付款</w:t>
            </w:r>
          </w:p>
        </w:tc>
        <w:tc>
          <w:tcPr>
            <w:tcW w:type="dxa" w:w="33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资金主体F</w:t>
            </w:r>
          </w:p>
        </w:tc>
        <w:tc>
          <w:tcPr>
            <w:tcW w:type="dxa" w:w="53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代收代付协议和业务指令</w:t>
            </w:r>
          </w:p>
        </w:tc>
      </w:tr>
      <w:tr>
        <w:tc>
          <w:tcPr>
            <w:tcW w:type="dxa" w:w="26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资金清算和NC</w:t>
            </w:r>
          </w:p>
        </w:tc>
        <w:tc>
          <w:tcPr>
            <w:tcW w:type="dxa" w:w="33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A、B、F各自</w:t>
            </w:r>
          </w:p>
        </w:tc>
        <w:tc>
          <w:tcPr>
            <w:tcW w:type="dxa" w:w="53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同一资金清算关联信息和各自账簿</w:t>
            </w:r>
          </w:p>
        </w:tc>
      </w:tr>
    </w:tbl>
    <w:p>
      <w:pPr>
        <w:spacing w:after="40"/>
      </w:pPr>
    </w:p>
    <w:p>
      <w:pPr>
        <w:pStyle w:val="dingding-heading3"/>
        <w:keepNext/>
        <w:keepLines/>
      </w:pPr>
      <w:r>
        <w:rPr>
          <w:rFonts w:ascii="微软雅黑" w:hAnsi="微软雅黑" w:eastAsia="微软雅黑" w:cs="微软雅黑"/>
        </w:rPr>
        <w:t>3. 完整价格和金额拆解</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3000"/>
        <w:gridCol w:w="3100"/>
        <w:gridCol w:w="1700"/>
        <w:gridCol w:w="3420"/>
      </w:tblGrid>
      <w:tr>
        <w:trPr>
          <w:tblHeader w:val="true"/>
        </w:trPr>
        <w:tc>
          <w:tcPr>
            <w:tcW w:type="dxa" w:w="3000"/>
            <w:shd w:val="clear" w:color="auto" w:fill="F5F6F7"/>
            <w:vAlign w:val="center"/>
          </w:tcPr>
          <w:p>
            <w:pPr>
              <w:spacing w:after="0"/>
              <w:jc w:val="center"/>
            </w:pPr>
            <w:r>
              <w:rPr>
                <w:rFonts w:ascii="微软雅黑" w:hAnsi="微软雅黑" w:eastAsia="微软雅黑" w:cs="微软雅黑"/>
                <w:b/>
                <w:sz w:val="17"/>
              </w:rPr>
              <w:t>金额项目</w:t>
            </w:r>
          </w:p>
        </w:tc>
        <w:tc>
          <w:tcPr>
            <w:tcW w:type="dxa" w:w="3100"/>
            <w:shd w:val="clear" w:color="auto" w:fill="F5F6F7"/>
            <w:vAlign w:val="center"/>
          </w:tcPr>
          <w:p>
            <w:pPr>
              <w:spacing w:after="0"/>
              <w:jc w:val="center"/>
            </w:pPr>
            <w:r>
              <w:rPr>
                <w:rFonts w:ascii="微软雅黑" w:hAnsi="微软雅黑" w:eastAsia="微软雅黑" w:cs="微软雅黑"/>
                <w:b/>
                <w:sz w:val="17"/>
              </w:rPr>
              <w:t>计算</w:t>
            </w:r>
          </w:p>
        </w:tc>
        <w:tc>
          <w:tcPr>
            <w:tcW w:type="dxa" w:w="1700"/>
            <w:shd w:val="clear" w:color="auto" w:fill="F5F6F7"/>
            <w:vAlign w:val="center"/>
          </w:tcPr>
          <w:p>
            <w:pPr>
              <w:spacing w:after="0"/>
              <w:jc w:val="center"/>
            </w:pPr>
            <w:r>
              <w:rPr>
                <w:rFonts w:ascii="微软雅黑" w:hAnsi="微软雅黑" w:eastAsia="微软雅黑" w:cs="微软雅黑"/>
                <w:b/>
                <w:sz w:val="17"/>
              </w:rPr>
              <w:t>金额</w:t>
            </w:r>
          </w:p>
        </w:tc>
        <w:tc>
          <w:tcPr>
            <w:tcW w:type="dxa" w:w="3420"/>
            <w:shd w:val="clear" w:color="auto" w:fill="F5F6F7"/>
            <w:vAlign w:val="center"/>
          </w:tcPr>
          <w:p>
            <w:pPr>
              <w:spacing w:after="0"/>
              <w:jc w:val="center"/>
            </w:pPr>
            <w:r>
              <w:rPr>
                <w:rFonts w:ascii="微软雅黑" w:hAnsi="微软雅黑" w:eastAsia="微软雅黑" w:cs="微软雅黑"/>
                <w:b/>
                <w:sz w:val="17"/>
              </w:rPr>
              <w:t>最终去向</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客户合同</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A对客</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10,000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A客户交易</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A-B内部结算</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内部价格</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8,000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A应付B、B应收A</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外部供应商应付</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B采购净额</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7,760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B对供应商应付</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A单体毛利</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10,000－8,000</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2,000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A经营结果</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B单体毛利</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8,000－7,760</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240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B经营结果</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F代收</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客户实际付款</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10,000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F银行、对A代收应付</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F代付</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替B付供应商</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7,760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F银行、对B代付应收/结算</w:t>
            </w:r>
          </w:p>
        </w:tc>
      </w:tr>
      <w:tr>
        <w:tc>
          <w:tcPr>
            <w:tcW w:type="dxa" w:w="30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F期末保留资金</w:t>
            </w:r>
          </w:p>
        </w:tc>
        <w:tc>
          <w:tcPr>
            <w:tcW w:type="dxa" w:w="3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10,000－7,760</w:t>
            </w:r>
          </w:p>
        </w:tc>
        <w:tc>
          <w:tcPr>
            <w:tcW w:type="dxa" w:w="1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2,240</w:t>
            </w:r>
          </w:p>
        </w:tc>
        <w:tc>
          <w:tcPr>
            <w:tcW w:type="dxa" w:w="34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应归A 2,000＋应归B 240</w:t>
            </w:r>
          </w:p>
        </w:tc>
      </w:tr>
    </w:tbl>
    <w:p>
      <w:pPr>
        <w:spacing w:after="40"/>
      </w:pPr>
    </w:p>
    <w:p>
      <w:pPr>
        <w:pStyle w:val="dingding-heading3"/>
        <w:keepNext/>
        <w:keepLines/>
      </w:pPr>
      <w:r>
        <w:rPr>
          <w:rFonts w:ascii="微软雅黑" w:hAnsi="微软雅黑" w:eastAsia="微软雅黑" w:cs="微软雅黑"/>
        </w:rPr>
        <w:t>4. 交易、债权债务和实际资金</w:t>
      </w:r>
    </w:p>
    <w:p>
      <w:pPr>
        <w:pStyle w:val="dingding_code"/>
        <w:spacing w:before="80" w:after="200" w:lineRule="exact" w:line="252"/>
        <w:ind w:left="115" w:right="115"/>
        <w:shd w:val="clear" w:fill="F2F3F5"/>
      </w:pPr>
      <w:r>
        <w:rPr>
          <w:rFonts w:ascii="Menlo" w:hAnsi="Menlo" w:eastAsia="Menlo" w:cs="Menlo"/>
          <w:sz w:val="17"/>
        </w:rPr>
        <w:t>业务债务：客户 →10,000→ A；A →8,000→ B；B →7,760→ 供应商</w:t>
        <w:br/>
        <w:br/>
        <w:t>资金：客户 ─10,000→ F银行 ─7,760→ 供应商</w:t>
        <w:br/>
        <w:br/>
        <w:t>内部资金清算：</w:t>
        <w:br/>
        <w:t>F先确认对A代收应付10,000；A确认对F内部应收10,000并核销客户应收。</w:t>
        <w:br/>
        <w:t>A用其中8,000结算B：F对A应付减8,000，转为对B应付8,000。</w:t>
        <w:br/>
        <w:t>F代B付供应商7,760后，对B应付剩240；F对A应付剩2,000。</w:t>
        <w:br/>
        <w:t>F银行余额2,240 = 应付A 2,000 + 应付B 240。</w:t>
      </w:r>
    </w:p>
    <w:p>
      <w:pPr>
        <w:pStyle w:val="dingding-heading3"/>
        <w:keepNext/>
        <w:keepLines/>
      </w:pPr>
      <w:r>
        <w:rPr>
          <w:rFonts w:ascii="微软雅黑" w:hAnsi="微软雅黑" w:eastAsia="微软雅黑" w:cs="微软雅黑"/>
        </w:rPr>
        <w:t>5. 分阶段业务与财务变化</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1550"/>
        <w:gridCol w:w="2600"/>
        <w:gridCol w:w="3200"/>
        <w:gridCol w:w="1600"/>
        <w:gridCol w:w="2270"/>
      </w:tblGrid>
      <w:tr>
        <w:trPr>
          <w:tblHeader w:val="true"/>
        </w:trPr>
        <w:tc>
          <w:tcPr>
            <w:tcW w:type="dxa" w:w="1550"/>
            <w:shd w:val="clear" w:color="auto" w:fill="F5F6F7"/>
            <w:vAlign w:val="center"/>
          </w:tcPr>
          <w:p>
            <w:pPr>
              <w:spacing w:after="0"/>
              <w:jc w:val="center"/>
            </w:pPr>
            <w:r>
              <w:rPr>
                <w:rFonts w:ascii="微软雅黑" w:hAnsi="微软雅黑" w:eastAsia="微软雅黑" w:cs="微软雅黑"/>
                <w:b/>
                <w:sz w:val="16"/>
              </w:rPr>
              <w:t>阶段</w:t>
            </w:r>
          </w:p>
        </w:tc>
        <w:tc>
          <w:tcPr>
            <w:tcW w:type="dxa" w:w="2600"/>
            <w:shd w:val="clear" w:color="auto" w:fill="F5F6F7"/>
            <w:vAlign w:val="center"/>
          </w:tcPr>
          <w:p>
            <w:pPr>
              <w:spacing w:after="0"/>
              <w:jc w:val="center"/>
            </w:pPr>
            <w:r>
              <w:rPr>
                <w:rFonts w:ascii="微软雅黑" w:hAnsi="微软雅黑" w:eastAsia="微软雅黑" w:cs="微软雅黑"/>
                <w:b/>
                <w:sz w:val="16"/>
              </w:rPr>
              <w:t>业务事实</w:t>
            </w:r>
          </w:p>
        </w:tc>
        <w:tc>
          <w:tcPr>
            <w:tcW w:type="dxa" w:w="3200"/>
            <w:shd w:val="clear" w:color="auto" w:fill="F5F6F7"/>
            <w:vAlign w:val="center"/>
          </w:tcPr>
          <w:p>
            <w:pPr>
              <w:spacing w:after="0"/>
              <w:jc w:val="center"/>
            </w:pPr>
            <w:r>
              <w:rPr>
                <w:rFonts w:ascii="微软雅黑" w:hAnsi="微软雅黑" w:eastAsia="微软雅黑" w:cs="微软雅黑"/>
                <w:b/>
                <w:sz w:val="16"/>
              </w:rPr>
              <w:t>记录和余额变化</w:t>
            </w:r>
          </w:p>
        </w:tc>
        <w:tc>
          <w:tcPr>
            <w:tcW w:type="dxa" w:w="1600"/>
            <w:shd w:val="clear" w:color="auto" w:fill="F5F6F7"/>
            <w:vAlign w:val="center"/>
          </w:tcPr>
          <w:p>
            <w:pPr>
              <w:spacing w:after="0"/>
              <w:jc w:val="center"/>
            </w:pPr>
            <w:r>
              <w:rPr>
                <w:rFonts w:ascii="微软雅黑" w:hAnsi="微软雅黑" w:eastAsia="微软雅黑" w:cs="微软雅黑"/>
                <w:b/>
                <w:sz w:val="16"/>
              </w:rPr>
              <w:t>实际资金</w:t>
            </w:r>
          </w:p>
        </w:tc>
        <w:tc>
          <w:tcPr>
            <w:tcW w:type="dxa" w:w="2270"/>
            <w:shd w:val="clear" w:color="auto" w:fill="F5F6F7"/>
            <w:vAlign w:val="center"/>
          </w:tcPr>
          <w:p>
            <w:pPr>
              <w:spacing w:after="0"/>
              <w:jc w:val="center"/>
            </w:pPr>
            <w:r>
              <w:rPr>
                <w:rFonts w:ascii="微软雅黑" w:hAnsi="微软雅黑" w:eastAsia="微软雅黑" w:cs="微软雅黑"/>
                <w:b/>
                <w:sz w:val="16"/>
              </w:rPr>
              <w:t>会计及NC状态</w:t>
            </w:r>
          </w:p>
        </w:tc>
      </w:tr>
      <w:tr>
        <w:tc>
          <w:tcPr>
            <w:tcW w:type="dxa" w:w="155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客户付款</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客户向F付10,000</w:t>
            </w:r>
          </w:p>
        </w:tc>
        <w:tc>
          <w:tcPr>
            <w:tcW w:type="dxa" w:w="32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A客户应收核销；A对F应收10,000；F对A应付10,000</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+10,000（F）</w:t>
            </w:r>
          </w:p>
        </w:tc>
        <w:tc>
          <w:tcPr>
            <w:tcW w:type="dxa" w:w="227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A和F分别形成代收事项</w:t>
            </w:r>
          </w:p>
        </w:tc>
      </w:tr>
      <w:tr>
        <w:tc>
          <w:tcPr>
            <w:tcW w:type="dxa" w:w="155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A-B结算</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内部结算8,000</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A应付B、B应收A各8,000</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0</w:t>
            </w:r>
          </w:p>
        </w:tc>
        <w:tc>
          <w:tcPr>
            <w:tcW w:type="dxa" w:w="227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双方内部事项</w:t>
            </w:r>
          </w:p>
        </w:tc>
      </w:tr>
      <w:tr>
        <w:tc>
          <w:tcPr>
            <w:tcW w:type="dxa" w:w="155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资金划转指令</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A以F代收余额结算B</w:t>
            </w:r>
          </w:p>
        </w:tc>
        <w:tc>
          <w:tcPr>
            <w:tcW w:type="dxa" w:w="32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A-B往来清零；F对A应付减8,000、对B应付增8,000</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0</w:t>
            </w:r>
          </w:p>
        </w:tc>
        <w:tc>
          <w:tcPr>
            <w:tcW w:type="dxa" w:w="227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内部资金清算事项</w:t>
            </w:r>
          </w:p>
        </w:tc>
      </w:tr>
      <w:tr>
        <w:tc>
          <w:tcPr>
            <w:tcW w:type="dxa" w:w="155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F代付供应商</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F替B付7,760</w:t>
            </w:r>
          </w:p>
        </w:tc>
        <w:tc>
          <w:tcPr>
            <w:tcW w:type="dxa" w:w="32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B供应商应付清零；F对B应付剩240</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－7,760（F）</w:t>
            </w:r>
          </w:p>
        </w:tc>
        <w:tc>
          <w:tcPr>
            <w:tcW w:type="dxa" w:w="227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F资金付款、B代付核销</w:t>
            </w:r>
          </w:p>
        </w:tc>
      </w:tr>
      <w:tr>
        <w:tc>
          <w:tcPr>
            <w:tcW w:type="dxa" w:w="155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期末</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F尚持资金2,240</w:t>
            </w:r>
          </w:p>
        </w:tc>
        <w:tc>
          <w:tcPr>
            <w:tcW w:type="dxa" w:w="32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F对A应付2,000、对B应付240</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F余额2,240</w:t>
            </w:r>
          </w:p>
        </w:tc>
        <w:tc>
          <w:tcPr>
            <w:tcW w:type="dxa" w:w="227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三主体对账差异0</w:t>
            </w:r>
          </w:p>
        </w:tc>
      </w:tr>
    </w:tbl>
    <w:p>
      <w:pPr>
        <w:spacing w:after="40"/>
      </w:pPr>
    </w:p>
    <w:p>
      <w:pPr>
        <w:pStyle w:val="dingding-heading3"/>
        <w:keepNext/>
        <w:keepLines/>
      </w:pPr>
      <w:r>
        <w:rPr>
          <w:rFonts w:ascii="微软雅黑" w:hAnsi="微软雅黑" w:eastAsia="微软雅黑" w:cs="微软雅黑"/>
        </w:rPr>
        <w:t>6. 余额、结果和反算</w:t>
      </w:r>
    </w:p>
    <w:p>
      <w:pPr>
        <w:pStyle w:val="dingding_code"/>
        <w:spacing w:before="80" w:after="200" w:lineRule="exact" w:line="254"/>
        <w:ind w:left="115" w:right="115"/>
        <w:shd w:val="clear" w:fill="F2F3F5"/>
      </w:pPr>
      <w:r>
        <w:rPr>
          <w:rFonts w:ascii="Menlo" w:hAnsi="Menlo" w:eastAsia="Menlo" w:cs="Menlo"/>
          <w:sz w:val="17"/>
        </w:rPr>
        <w:t>业务结果：A毛利2,000 + B毛利240 = 集团毛利2,240</w:t>
        <w:br/>
        <w:t>F银行：10,000 - 7,760 = 2,240</w:t>
        <w:br/>
        <w:t>F资金负债：应付A 2,000 + 应付B 240 = 2,240</w:t>
        <w:br/>
        <w:t>内部业务往来：A应付B8,000 = B应收A8,000，清算后0</w:t>
        <w:br/>
        <w:br/>
        <w:t>F不因持有2,240资金确认业务收入；该余额仍分别归属于A和B。</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2800"/>
        <w:gridCol w:w="2500"/>
        <w:gridCol w:w="3000"/>
        <w:gridCol w:w="2920"/>
      </w:tblGrid>
      <w:tr>
        <w:trPr>
          <w:tblHeader w:val="true"/>
        </w:trPr>
        <w:tc>
          <w:tcPr>
            <w:tcW w:type="dxa" w:w="2800"/>
            <w:shd w:val="clear" w:color="auto" w:fill="F5F6F7"/>
            <w:vAlign w:val="center"/>
          </w:tcPr>
          <w:p>
            <w:pPr>
              <w:spacing w:after="0"/>
              <w:jc w:val="center"/>
            </w:pPr>
            <w:r>
              <w:rPr>
                <w:rFonts w:ascii="微软雅黑" w:hAnsi="微软雅黑" w:eastAsia="微软雅黑" w:cs="微软雅黑"/>
                <w:b/>
                <w:sz w:val="17"/>
              </w:rPr>
              <w:t>观察层次</w:t>
            </w:r>
          </w:p>
        </w:tc>
        <w:tc>
          <w:tcPr>
            <w:tcW w:type="dxa" w:w="2500"/>
            <w:shd w:val="clear" w:color="auto" w:fill="F5F6F7"/>
            <w:vAlign w:val="center"/>
          </w:tcPr>
          <w:p>
            <w:pPr>
              <w:spacing w:after="0"/>
              <w:jc w:val="center"/>
            </w:pPr>
            <w:r>
              <w:rPr>
                <w:rFonts w:ascii="微软雅黑" w:hAnsi="微软雅黑" w:eastAsia="微软雅黑" w:cs="微软雅黑"/>
                <w:b/>
                <w:sz w:val="17"/>
              </w:rPr>
              <w:t>收入/流入</w:t>
            </w:r>
          </w:p>
        </w:tc>
        <w:tc>
          <w:tcPr>
            <w:tcW w:type="dxa" w:w="3000"/>
            <w:shd w:val="clear" w:color="auto" w:fill="F5F6F7"/>
            <w:vAlign w:val="center"/>
          </w:tcPr>
          <w:p>
            <w:pPr>
              <w:spacing w:after="0"/>
              <w:jc w:val="center"/>
            </w:pPr>
            <w:r>
              <w:rPr>
                <w:rFonts w:ascii="微软雅黑" w:hAnsi="微软雅黑" w:eastAsia="微软雅黑" w:cs="微软雅黑"/>
                <w:b/>
                <w:sz w:val="17"/>
              </w:rPr>
              <w:t>成本费用/流出</w:t>
            </w:r>
          </w:p>
        </w:tc>
        <w:tc>
          <w:tcPr>
            <w:tcW w:type="dxa" w:w="2920"/>
            <w:shd w:val="clear" w:color="auto" w:fill="F5F6F7"/>
            <w:vAlign w:val="center"/>
          </w:tcPr>
          <w:p>
            <w:pPr>
              <w:spacing w:after="0"/>
              <w:jc w:val="center"/>
            </w:pPr>
            <w:r>
              <w:rPr>
                <w:rFonts w:ascii="微软雅黑" w:hAnsi="微软雅黑" w:eastAsia="微软雅黑" w:cs="微软雅黑"/>
                <w:b/>
                <w:sz w:val="17"/>
              </w:rPr>
              <w:t>结果或余额</w:t>
            </w:r>
          </w:p>
        </w:tc>
      </w:tr>
      <w:tr>
        <w:tc>
          <w:tcPr>
            <w:tcW w:type="dxa" w:w="28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上海A</w:t>
            </w:r>
          </w:p>
        </w:tc>
        <w:tc>
          <w:tcPr>
            <w:tcW w:type="dxa" w:w="2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对外收入10,000</w:t>
            </w:r>
          </w:p>
        </w:tc>
        <w:tc>
          <w:tcPr>
            <w:tcW w:type="dxa" w:w="30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内部成本8,000</w:t>
            </w:r>
          </w:p>
        </w:tc>
        <w:tc>
          <w:tcPr>
            <w:tcW w:type="dxa" w:w="29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毛利2,000；对F应收2,000</w:t>
            </w:r>
          </w:p>
        </w:tc>
      </w:tr>
      <w:tr>
        <w:tc>
          <w:tcPr>
            <w:tcW w:type="dxa" w:w="28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北京B</w:t>
            </w:r>
          </w:p>
        </w:tc>
        <w:tc>
          <w:tcPr>
            <w:tcW w:type="dxa" w:w="2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内部收入8,000</w:t>
            </w:r>
          </w:p>
        </w:tc>
        <w:tc>
          <w:tcPr>
            <w:tcW w:type="dxa" w:w="30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外部成本7,760</w:t>
            </w:r>
          </w:p>
        </w:tc>
        <w:tc>
          <w:tcPr>
            <w:tcW w:type="dxa" w:w="29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毛利240；对F应收240</w:t>
            </w:r>
          </w:p>
        </w:tc>
      </w:tr>
      <w:tr>
        <w:tc>
          <w:tcPr>
            <w:tcW w:type="dxa" w:w="28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资金主体F</w:t>
            </w:r>
          </w:p>
        </w:tc>
        <w:tc>
          <w:tcPr>
            <w:tcW w:type="dxa" w:w="2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代收10,000</w:t>
            </w:r>
          </w:p>
        </w:tc>
        <w:tc>
          <w:tcPr>
            <w:tcW w:type="dxa" w:w="30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代付7,760</w:t>
            </w:r>
          </w:p>
        </w:tc>
        <w:tc>
          <w:tcPr>
            <w:tcW w:type="dxa" w:w="292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7"/>
              </w:rPr>
              <w:t>银行2,240；对A/B应付2,240；利润0</w:t>
            </w:r>
          </w:p>
        </w:tc>
      </w:tr>
      <w:tr>
        <w:tc>
          <w:tcPr>
            <w:tcW w:type="dxa" w:w="28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集团</w:t>
            </w:r>
          </w:p>
        </w:tc>
        <w:tc>
          <w:tcPr>
            <w:tcW w:type="dxa" w:w="2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对外收入10,000</w:t>
            </w:r>
          </w:p>
        </w:tc>
        <w:tc>
          <w:tcPr>
            <w:tcW w:type="dxa" w:w="30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对外成本7,760</w:t>
            </w:r>
          </w:p>
        </w:tc>
        <w:tc>
          <w:tcPr>
            <w:tcW w:type="dxa" w:w="29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毛利与资金余额2,240</w:t>
            </w:r>
          </w:p>
        </w:tc>
      </w:tr>
    </w:tbl>
    <w:p>
      <w:pPr>
        <w:spacing w:after="40"/>
      </w:pPr>
    </w:p>
    <w:p>
      <w:pPr>
        <w:pStyle w:val="dingding-heading3"/>
        <w:keepNext/>
        <w:keepLines/>
      </w:pPr>
      <w:r>
        <w:rPr>
          <w:rFonts w:ascii="微软雅黑" w:hAnsi="微软雅黑" w:eastAsia="微软雅黑" w:cs="微软雅黑"/>
        </w:rPr>
        <w:t>7. 合同、业务、资金、发票和会计核对</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2300"/>
        <w:gridCol w:w="3200"/>
        <w:gridCol w:w="2700"/>
        <w:gridCol w:w="3020"/>
      </w:tblGrid>
      <w:tr>
        <w:trPr>
          <w:tblHeader w:val="true"/>
        </w:trPr>
        <w:tc>
          <w:tcPr>
            <w:tcW w:type="dxa" w:w="2300"/>
            <w:shd w:val="clear" w:color="auto" w:fill="F5F6F7"/>
            <w:vAlign w:val="center"/>
          </w:tcPr>
          <w:p>
            <w:pPr>
              <w:spacing w:after="0"/>
              <w:jc w:val="center"/>
            </w:pPr>
            <w:r>
              <w:rPr>
                <w:rFonts w:ascii="微软雅黑" w:hAnsi="微软雅黑" w:eastAsia="微软雅黑" w:cs="微软雅黑"/>
                <w:b/>
                <w:sz w:val="16"/>
              </w:rPr>
              <w:t>交易段</w:t>
            </w:r>
          </w:p>
        </w:tc>
        <w:tc>
          <w:tcPr>
            <w:tcW w:type="dxa" w:w="3200"/>
            <w:shd w:val="clear" w:color="auto" w:fill="F5F6F7"/>
            <w:vAlign w:val="center"/>
          </w:tcPr>
          <w:p>
            <w:pPr>
              <w:spacing w:after="0"/>
              <w:jc w:val="center"/>
            </w:pPr>
            <w:r>
              <w:rPr>
                <w:rFonts w:ascii="微软雅黑" w:hAnsi="微软雅黑" w:eastAsia="微软雅黑" w:cs="微软雅黑"/>
                <w:b/>
                <w:sz w:val="16"/>
              </w:rPr>
              <w:t>合同与业务</w:t>
            </w:r>
          </w:p>
        </w:tc>
        <w:tc>
          <w:tcPr>
            <w:tcW w:type="dxa" w:w="2700"/>
            <w:shd w:val="clear" w:color="auto" w:fill="F5F6F7"/>
            <w:vAlign w:val="center"/>
          </w:tcPr>
          <w:p>
            <w:pPr>
              <w:spacing w:after="0"/>
              <w:jc w:val="center"/>
            </w:pPr>
            <w:r>
              <w:rPr>
                <w:rFonts w:ascii="微软雅黑" w:hAnsi="微软雅黑" w:eastAsia="微软雅黑" w:cs="微软雅黑"/>
                <w:b/>
                <w:sz w:val="16"/>
              </w:rPr>
              <w:t>资金与发票</w:t>
            </w:r>
          </w:p>
        </w:tc>
        <w:tc>
          <w:tcPr>
            <w:tcW w:type="dxa" w:w="3020"/>
            <w:shd w:val="clear" w:color="auto" w:fill="F5F6F7"/>
            <w:vAlign w:val="center"/>
          </w:tcPr>
          <w:p>
            <w:pPr>
              <w:spacing w:after="0"/>
              <w:jc w:val="center"/>
            </w:pPr>
            <w:r>
              <w:rPr>
                <w:rFonts w:ascii="微软雅黑" w:hAnsi="微软雅黑" w:eastAsia="微软雅黑" w:cs="微软雅黑"/>
                <w:b/>
                <w:sz w:val="16"/>
              </w:rPr>
              <w:t>会计结果/差异解释</w:t>
            </w:r>
          </w:p>
        </w:tc>
      </w:tr>
      <w:tr>
        <w:tc>
          <w:tcPr>
            <w:tcW w:type="dxa" w:w="23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客户—上海A</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A签客户合同</w:t>
            </w:r>
          </w:p>
        </w:tc>
        <w:tc>
          <w:tcPr>
            <w:tcW w:type="dxa" w:w="2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客户向F付款</w:t>
            </w:r>
          </w:p>
        </w:tc>
        <w:tc>
          <w:tcPr>
            <w:tcW w:type="dxa" w:w="3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A客户债权不转给F</w:t>
            </w:r>
          </w:p>
        </w:tc>
      </w:tr>
      <w:tr>
        <w:tc>
          <w:tcPr>
            <w:tcW w:type="dxa" w:w="23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A—B</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内部供给8,000</w:t>
            </w:r>
          </w:p>
        </w:tc>
        <w:tc>
          <w:tcPr>
            <w:tcW w:type="dxa" w:w="2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通过F内部资金清算</w:t>
            </w:r>
          </w:p>
        </w:tc>
        <w:tc>
          <w:tcPr>
            <w:tcW w:type="dxa" w:w="3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双方内部往来仍成对</w:t>
            </w:r>
          </w:p>
        </w:tc>
      </w:tr>
      <w:tr>
        <w:tc>
          <w:tcPr>
            <w:tcW w:type="dxa" w:w="23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B—供应商</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B采购7,760</w:t>
            </w:r>
          </w:p>
        </w:tc>
        <w:tc>
          <w:tcPr>
            <w:tcW w:type="dxa" w:w="2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F代B付款</w:t>
            </w:r>
          </w:p>
        </w:tc>
        <w:tc>
          <w:tcPr>
            <w:tcW w:type="dxa" w:w="3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供应商债务仍属于B</w:t>
            </w:r>
          </w:p>
        </w:tc>
      </w:tr>
      <w:tr>
        <w:tc>
          <w:tcPr>
            <w:tcW w:type="dxa" w:w="23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F—A/B</w:t>
            </w:r>
          </w:p>
        </w:tc>
        <w:tc>
          <w:tcPr>
            <w:tcW w:type="dxa" w:w="32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代收代付及清算协议</w:t>
            </w:r>
          </w:p>
        </w:tc>
        <w:tc>
          <w:tcPr>
            <w:tcW w:type="dxa" w:w="27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F持有2,240</w:t>
            </w:r>
          </w:p>
        </w:tc>
        <w:tc>
          <w:tcPr>
            <w:tcW w:type="dxa" w:w="3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F形成内部资金应付，不形成业务收入</w:t>
            </w:r>
          </w:p>
        </w:tc>
      </w:tr>
    </w:tbl>
    <w:p>
      <w:pPr>
        <w:spacing w:after="40"/>
      </w:pPr>
    </w:p>
    <w:p>
      <w:pPr>
        <w:pStyle w:val="dingding-heading3"/>
        <w:keepNext/>
        <w:keepLines/>
      </w:pPr>
      <w:r>
        <w:rPr>
          <w:rFonts w:ascii="微软雅黑" w:hAnsi="微软雅黑" w:eastAsia="微软雅黑" w:cs="微软雅黑"/>
        </w:rPr>
        <w:t>8. 会计事项和NC承接</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2200"/>
        <w:gridCol w:w="1600"/>
        <w:gridCol w:w="3900"/>
        <w:gridCol w:w="1500"/>
        <w:gridCol w:w="2020"/>
      </w:tblGrid>
      <w:tr>
        <w:trPr>
          <w:tblHeader w:val="true"/>
        </w:trPr>
        <w:tc>
          <w:tcPr>
            <w:tcW w:type="dxa" w:w="2200"/>
            <w:shd w:val="clear" w:color="auto" w:fill="F5F6F7"/>
            <w:vAlign w:val="center"/>
          </w:tcPr>
          <w:p>
            <w:pPr>
              <w:spacing w:after="0"/>
              <w:jc w:val="center"/>
            </w:pPr>
            <w:r>
              <w:rPr>
                <w:rFonts w:ascii="微软雅黑" w:hAnsi="微软雅黑" w:eastAsia="微软雅黑" w:cs="微软雅黑"/>
                <w:b/>
                <w:sz w:val="16"/>
              </w:rPr>
              <w:t>生效时点</w:t>
            </w:r>
          </w:p>
        </w:tc>
        <w:tc>
          <w:tcPr>
            <w:tcW w:type="dxa" w:w="1600"/>
            <w:shd w:val="clear" w:color="auto" w:fill="F5F6F7"/>
            <w:vAlign w:val="center"/>
          </w:tcPr>
          <w:p>
            <w:pPr>
              <w:spacing w:after="0"/>
              <w:jc w:val="center"/>
            </w:pPr>
            <w:r>
              <w:rPr>
                <w:rFonts w:ascii="微软雅黑" w:hAnsi="微软雅黑" w:eastAsia="微软雅黑" w:cs="微软雅黑"/>
                <w:b/>
                <w:sz w:val="16"/>
              </w:rPr>
              <w:t>所属公司</w:t>
            </w:r>
          </w:p>
        </w:tc>
        <w:tc>
          <w:tcPr>
            <w:tcW w:type="dxa" w:w="3900"/>
            <w:shd w:val="clear" w:color="auto" w:fill="F5F6F7"/>
            <w:vAlign w:val="center"/>
          </w:tcPr>
          <w:p>
            <w:pPr>
              <w:spacing w:after="0"/>
              <w:jc w:val="center"/>
            </w:pPr>
            <w:r>
              <w:rPr>
                <w:rFonts w:ascii="微软雅黑" w:hAnsi="微软雅黑" w:eastAsia="微软雅黑" w:cs="微软雅黑"/>
                <w:b/>
                <w:sz w:val="16"/>
              </w:rPr>
              <w:t>经济事项</w:t>
            </w:r>
          </w:p>
        </w:tc>
        <w:tc>
          <w:tcPr>
            <w:tcW w:type="dxa" w:w="1500"/>
            <w:shd w:val="clear" w:color="auto" w:fill="F5F6F7"/>
            <w:vAlign w:val="center"/>
          </w:tcPr>
          <w:p>
            <w:pPr>
              <w:spacing w:after="0"/>
              <w:jc w:val="center"/>
            </w:pPr>
            <w:r>
              <w:rPr>
                <w:rFonts w:ascii="微软雅黑" w:hAnsi="微软雅黑" w:eastAsia="微软雅黑" w:cs="微软雅黑"/>
                <w:b/>
                <w:sz w:val="16"/>
              </w:rPr>
              <w:t>金额</w:t>
            </w:r>
          </w:p>
        </w:tc>
        <w:tc>
          <w:tcPr>
            <w:tcW w:type="dxa" w:w="2020"/>
            <w:shd w:val="clear" w:color="auto" w:fill="F5F6F7"/>
            <w:vAlign w:val="center"/>
          </w:tcPr>
          <w:p>
            <w:pPr>
              <w:spacing w:after="0"/>
              <w:jc w:val="center"/>
            </w:pPr>
            <w:r>
              <w:rPr>
                <w:rFonts w:ascii="微软雅黑" w:hAnsi="微软雅黑" w:eastAsia="微软雅黑" w:cs="微软雅黑"/>
                <w:b/>
                <w:sz w:val="16"/>
              </w:rPr>
              <w:t>反向处理</w:t>
            </w:r>
          </w:p>
        </w:tc>
      </w:tr>
      <w:tr>
        <w:tc>
          <w:tcPr>
            <w:tcW w:type="dxa" w:w="2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客户到账日</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F</w:t>
            </w:r>
          </w:p>
        </w:tc>
        <w:tc>
          <w:tcPr>
            <w:tcW w:type="dxa" w:w="39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银行增加、对A代收应付增加</w:t>
            </w:r>
          </w:p>
        </w:tc>
        <w:tc>
          <w:tcPr>
            <w:tcW w:type="dxa" w:w="1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10,000</w:t>
            </w:r>
          </w:p>
        </w:tc>
        <w:tc>
          <w:tcPr>
            <w:tcW w:type="dxa" w:w="2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收款退回</w:t>
            </w:r>
          </w:p>
        </w:tc>
      </w:tr>
      <w:tr>
        <w:tc>
          <w:tcPr>
            <w:tcW w:type="dxa" w:w="2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同日/确认日</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A</w:t>
            </w:r>
          </w:p>
        </w:tc>
        <w:tc>
          <w:tcPr>
            <w:tcW w:type="dxa" w:w="39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对F内部应收增加、客户应收减少</w:t>
            </w:r>
          </w:p>
        </w:tc>
        <w:tc>
          <w:tcPr>
            <w:tcW w:type="dxa" w:w="1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10,000</w:t>
            </w:r>
          </w:p>
        </w:tc>
        <w:tc>
          <w:tcPr>
            <w:tcW w:type="dxa" w:w="2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代收冲销</w:t>
            </w:r>
          </w:p>
        </w:tc>
      </w:tr>
      <w:tr>
        <w:tc>
          <w:tcPr>
            <w:tcW w:type="dxa" w:w="2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内部结算日</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A/B</w:t>
            </w:r>
          </w:p>
        </w:tc>
        <w:tc>
          <w:tcPr>
            <w:tcW w:type="dxa" w:w="39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内部成本应付/收入应收</w:t>
            </w:r>
          </w:p>
        </w:tc>
        <w:tc>
          <w:tcPr>
            <w:tcW w:type="dxa" w:w="1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8,000</w:t>
            </w:r>
          </w:p>
        </w:tc>
        <w:tc>
          <w:tcPr>
            <w:tcW w:type="dxa" w:w="2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成对反向</w:t>
            </w:r>
          </w:p>
        </w:tc>
      </w:tr>
      <w:tr>
        <w:tc>
          <w:tcPr>
            <w:tcW w:type="dxa" w:w="2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资金清算日</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A/B/F</w:t>
            </w:r>
          </w:p>
        </w:tc>
        <w:tc>
          <w:tcPr>
            <w:tcW w:type="dxa" w:w="39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内部往来和资金往来转列</w:t>
            </w:r>
          </w:p>
        </w:tc>
        <w:tc>
          <w:tcPr>
            <w:tcW w:type="dxa" w:w="1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8,000</w:t>
            </w:r>
          </w:p>
        </w:tc>
        <w:tc>
          <w:tcPr>
            <w:tcW w:type="dxa" w:w="2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清算冲销</w:t>
            </w:r>
          </w:p>
        </w:tc>
      </w:tr>
      <w:tr>
        <w:tc>
          <w:tcPr>
            <w:tcW w:type="dxa" w:w="2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供应商付款日</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F/B</w:t>
            </w:r>
          </w:p>
        </w:tc>
        <w:tc>
          <w:tcPr>
            <w:tcW w:type="dxa" w:w="39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F银行减少；B供应商应付核销</w:t>
            </w:r>
          </w:p>
        </w:tc>
        <w:tc>
          <w:tcPr>
            <w:tcW w:type="dxa" w:w="1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7,760</w:t>
            </w:r>
          </w:p>
        </w:tc>
        <w:tc>
          <w:tcPr>
            <w:tcW w:type="dxa" w:w="2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付款退回</w:t>
            </w:r>
          </w:p>
        </w:tc>
      </w:tr>
      <w:tr>
        <w:tc>
          <w:tcPr>
            <w:tcW w:type="dxa" w:w="2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期末</w:t>
            </w:r>
          </w:p>
        </w:tc>
        <w:tc>
          <w:tcPr>
            <w:tcW w:type="dxa" w:w="1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F</w:t>
            </w:r>
          </w:p>
        </w:tc>
        <w:tc>
          <w:tcPr>
            <w:tcW w:type="dxa" w:w="39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对A、B资金应付</w:t>
            </w:r>
          </w:p>
        </w:tc>
        <w:tc>
          <w:tcPr>
            <w:tcW w:type="dxa" w:w="15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2,000/240</w:t>
            </w:r>
          </w:p>
        </w:tc>
        <w:tc>
          <w:tcPr>
            <w:tcW w:type="dxa" w:w="20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后续真实清算</w:t>
            </w:r>
          </w:p>
        </w:tc>
      </w:tr>
    </w:tbl>
    <w:p>
      <w:pPr>
        <w:spacing w:after="40"/>
      </w:pPr>
    </w:p>
    <w:p>
      <w:pPr>
        <w:spacing w:before="80" w:after="200" w:line="288" w:lineRule="auto"/>
        <w:ind w:left="115" w:right="115"/>
        <w:shd w:val="clear" w:fill="FFF4E5"/>
        <w:pBdr>
          <w:top w:val="single" w:sz="6" w:space="4" w:color="E6D8C8"/>
          <w:left w:val="single" w:sz="6" w:space="4" w:color="E6D8C8"/>
          <w:bottom w:val="single" w:sz="6" w:space="4" w:color="E6D8C8"/>
          <w:right w:val="single" w:sz="6" w:space="4" w:color="E6D8C8"/>
        </w:pBdr>
      </w:pPr>
      <w:r>
        <w:rPr>
          <w:rFonts w:ascii="微软雅黑" w:hAnsi="微软雅黑" w:eastAsia="微软雅黑" w:cs="微软雅黑"/>
          <w:b/>
          <w:sz w:val="20"/>
        </w:rPr>
        <w:t>本案例的核心判断：</w:t>
      </w:r>
      <w:r>
        <w:rPr>
          <w:rFonts w:ascii="微软雅黑" w:hAnsi="微软雅黑" w:eastAsia="微软雅黑" w:cs="微软雅黑"/>
          <w:sz w:val="20"/>
        </w:rPr>
        <w:t>集中资金只改变“钱在哪里”，不改变“谁欠谁、谁取得收入、谁承担成本”。系统必须把业务结算和资金清算分成两条可互相核对的关系。</w:t>
      </w:r>
    </w:p>
    <w:p>
      <w:pPr>
        <w:pStyle w:val="dingding-heading3"/>
        <w:keepNext/>
        <w:keepLines/>
      </w:pPr>
      <w:r>
        <w:rPr>
          <w:rFonts w:ascii="微软雅黑" w:hAnsi="微软雅黑" w:eastAsia="微软雅黑" w:cs="微软雅黑"/>
        </w:rPr>
        <w:t>财务需要逐项确认</w:t>
      </w:r>
    </w:p>
    <w:p>
      <w:pPr>
        <w:spacing w:after="60"/>
        <w:ind w:left="418" w:hanging="418"/>
        <w:numPr>
          <w:ilvl w:val="0"/>
          <w:numId w:val="1"/>
        </w:numPr>
      </w:pPr>
      <w:r>
        <w:rPr>
          <w:rFonts w:ascii="微软雅黑" w:hAnsi="微软雅黑" w:eastAsia="微软雅黑" w:cs="微软雅黑"/>
          <w:sz w:val="21"/>
        </w:rPr>
        <w:t>资金主体F是独立法人、财务中心还是各公司共管账户；法律和银行账户性质是什么？</w:t>
      </w:r>
    </w:p>
    <w:p>
      <w:pPr>
        <w:spacing w:after="60"/>
        <w:ind w:left="418" w:hanging="418"/>
        <w:numPr>
          <w:ilvl w:val="0"/>
          <w:numId w:val="1"/>
        </w:numPr>
      </w:pPr>
      <w:r>
        <w:rPr>
          <w:rFonts w:ascii="微软雅黑" w:hAnsi="微软雅黑" w:eastAsia="微软雅黑" w:cs="微软雅黑"/>
          <w:sz w:val="21"/>
        </w:rPr>
        <w:t>客户付款给F能否直接核销A客户应收，所需代收协议和客户告知是什么？</w:t>
      </w:r>
    </w:p>
    <w:p>
      <w:pPr>
        <w:spacing w:after="60"/>
        <w:ind w:left="418" w:hanging="418"/>
        <w:numPr>
          <w:ilvl w:val="0"/>
          <w:numId w:val="1"/>
        </w:numPr>
      </w:pPr>
      <w:r>
        <w:rPr>
          <w:rFonts w:ascii="微软雅黑" w:hAnsi="微软雅黑" w:eastAsia="微软雅黑" w:cs="微软雅黑"/>
          <w:sz w:val="21"/>
        </w:rPr>
        <w:t>F代付B供应商时，B的付款完成日以F银行扣款还是内部确认日为准？</w:t>
      </w:r>
    </w:p>
    <w:p>
      <w:pPr>
        <w:spacing w:after="60"/>
        <w:ind w:left="418" w:hanging="418"/>
        <w:numPr>
          <w:ilvl w:val="0"/>
          <w:numId w:val="1"/>
        </w:numPr>
      </w:pPr>
      <w:r>
        <w:rPr>
          <w:rFonts w:ascii="微软雅黑" w:hAnsi="微软雅黑" w:eastAsia="微软雅黑" w:cs="微软雅黑"/>
          <w:sz w:val="21"/>
        </w:rPr>
        <w:t>A、B、F在NC中分别使用哪些内部往来辅助核算，如何按同一日期对账？</w:t>
      </w:r>
    </w:p>
    <w:p>
      <w:pPr>
        <w:spacing w:after="60"/>
        <w:ind w:left="418" w:hanging="418"/>
        <w:numPr>
          <w:ilvl w:val="0"/>
          <w:numId w:val="1"/>
        </w:numPr>
      </w:pPr>
      <w:r>
        <w:rPr>
          <w:rFonts w:ascii="微软雅黑" w:hAnsi="微软雅黑" w:eastAsia="微软雅黑" w:cs="微软雅黑"/>
          <w:sz w:val="21"/>
        </w:rPr>
        <w:t>期末F持有的2,240是否自动清算，还是允许作为内部资金余额滚存？</w:t>
      </w:r>
    </w:p>
    <w:p>
      <w:pPr/>
      <w:r>
        <w:br w:type="page"/>
      </w:r>
    </w:p>
    <w:p>
      <w:pPr>
        <w:pStyle w:val="dingding-heading2"/>
        <w:keepNext/>
        <w:keepLines/>
      </w:pPr>
      <w:r>
        <w:rPr>
          <w:rFonts w:ascii="微软雅黑" w:hAnsi="微软雅黑" w:eastAsia="微软雅黑" w:cs="微软雅黑"/>
        </w:rPr>
        <w:t>四、其他必须纳入财务会议的高风险场景</w:t>
      </w:r>
    </w:p>
    <w:p>
      <w:pPr>
        <w:spacing w:after="100" w:line="307" w:lineRule="auto"/>
      </w:pPr>
      <w:r>
        <w:rPr>
          <w:rFonts w:ascii="微软雅黑" w:hAnsi="微软雅黑" w:eastAsia="微软雅黑" w:cs="微软雅黑"/>
          <w:sz w:val="22"/>
        </w:rPr>
        <w:t>下列场景未在本稿逐一展开成完整案例，但它们会改变同一套余额和会计判断。建议在上述八个主案例确认后，按优先级继续补充数字样本。</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1200"/>
        <w:gridCol w:w="2600"/>
        <w:gridCol w:w="4100"/>
        <w:gridCol w:w="3320"/>
      </w:tblGrid>
      <w:tr>
        <w:trPr>
          <w:tblHeader w:val="true"/>
        </w:trPr>
        <w:tc>
          <w:tcPr>
            <w:tcW w:type="dxa" w:w="1200"/>
            <w:shd w:val="clear" w:color="auto" w:fill="F5F6F7"/>
            <w:vAlign w:val="center"/>
          </w:tcPr>
          <w:p>
            <w:pPr>
              <w:spacing w:after="0"/>
              <w:jc w:val="center"/>
            </w:pPr>
            <w:r>
              <w:rPr>
                <w:rFonts w:ascii="微软雅黑" w:hAnsi="微软雅黑" w:eastAsia="微软雅黑" w:cs="微软雅黑"/>
                <w:b/>
                <w:sz w:val="16"/>
              </w:rPr>
              <w:t>优先级</w:t>
            </w:r>
          </w:p>
        </w:tc>
        <w:tc>
          <w:tcPr>
            <w:tcW w:type="dxa" w:w="2600"/>
            <w:shd w:val="clear" w:color="auto" w:fill="F5F6F7"/>
            <w:vAlign w:val="center"/>
          </w:tcPr>
          <w:p>
            <w:pPr>
              <w:spacing w:after="0"/>
              <w:jc w:val="center"/>
            </w:pPr>
            <w:r>
              <w:rPr>
                <w:rFonts w:ascii="微软雅黑" w:hAnsi="微软雅黑" w:eastAsia="微软雅黑" w:cs="微软雅黑"/>
                <w:b/>
                <w:sz w:val="16"/>
              </w:rPr>
              <w:t>场景</w:t>
            </w:r>
          </w:p>
        </w:tc>
        <w:tc>
          <w:tcPr>
            <w:tcW w:type="dxa" w:w="4100"/>
            <w:shd w:val="clear" w:color="auto" w:fill="F5F6F7"/>
            <w:vAlign w:val="center"/>
          </w:tcPr>
          <w:p>
            <w:pPr>
              <w:spacing w:after="0"/>
              <w:jc w:val="center"/>
            </w:pPr>
            <w:r>
              <w:rPr>
                <w:rFonts w:ascii="微软雅黑" w:hAnsi="微软雅黑" w:eastAsia="微软雅黑" w:cs="微软雅黑"/>
                <w:b/>
                <w:sz w:val="16"/>
              </w:rPr>
              <w:t>系统必须算清</w:t>
            </w:r>
          </w:p>
        </w:tc>
        <w:tc>
          <w:tcPr>
            <w:tcW w:type="dxa" w:w="3320"/>
            <w:shd w:val="clear" w:color="auto" w:fill="F5F6F7"/>
            <w:vAlign w:val="center"/>
          </w:tcPr>
          <w:p>
            <w:pPr>
              <w:spacing w:after="0"/>
              <w:jc w:val="center"/>
            </w:pPr>
            <w:r>
              <w:rPr>
                <w:rFonts w:ascii="微软雅黑" w:hAnsi="微软雅黑" w:eastAsia="微软雅黑" w:cs="微软雅黑"/>
                <w:b/>
                <w:sz w:val="16"/>
              </w:rPr>
              <w:t>财务必须确认</w:t>
            </w:r>
          </w:p>
        </w:tc>
      </w:tr>
      <w:tr>
        <w:tc>
          <w:tcPr>
            <w:tcW w:type="dxa" w:w="1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高</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静态码、现金、无流水先做收款</w:t>
            </w:r>
          </w:p>
        </w:tc>
        <w:tc>
          <w:tcPr>
            <w:tcW w:type="dxa" w:w="41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真实到账、待核对、可认余额、现金实缴</w:t>
            </w:r>
          </w:p>
        </w:tc>
        <w:tc>
          <w:tcPr>
            <w:tcW w:type="dxa" w:w="33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何时核销应收、何时允许合同放行</w:t>
            </w:r>
          </w:p>
        </w:tc>
      </w:tr>
      <w:tr>
        <w:tc>
          <w:tcPr>
            <w:tcW w:type="dxa" w:w="1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高</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客户预收、预存和跨订单使用</w:t>
            </w:r>
          </w:p>
        </w:tc>
        <w:tc>
          <w:tcPr>
            <w:tcW w:type="dxa" w:w="41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钱已到但未核销、可用/冻结/退款余额</w:t>
            </w:r>
          </w:p>
        </w:tc>
        <w:tc>
          <w:tcPr>
            <w:tcW w:type="dxa" w:w="33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预收转预存条件、能否跨主体使用</w:t>
            </w:r>
          </w:p>
        </w:tc>
      </w:tr>
      <w:tr>
        <w:tc>
          <w:tcPr>
            <w:tcW w:type="dxa" w:w="1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高</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邮轮/专列/包机固定资源损耗</w:t>
            </w:r>
          </w:p>
        </w:tc>
        <w:tc>
          <w:tcPr>
            <w:tcW w:type="dxa" w:w="41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固定采购、已售使用、可退、未售损耗和责任方</w:t>
            </w:r>
          </w:p>
        </w:tc>
        <w:tc>
          <w:tcPr>
            <w:tcW w:type="dxa" w:w="33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正常成本与非正常损失划分、分摊方法</w:t>
            </w:r>
          </w:p>
        </w:tc>
      </w:tr>
      <w:tr>
        <w:tc>
          <w:tcPr>
            <w:tcW w:type="dxa" w:w="1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高</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供应商预付、账单后到和暂估</w:t>
            </w:r>
          </w:p>
        </w:tc>
        <w:tc>
          <w:tcPr>
            <w:tcW w:type="dxa" w:w="41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预付、实际成本、暂估应付、正式应付不重复</w:t>
            </w:r>
          </w:p>
        </w:tc>
        <w:tc>
          <w:tcPr>
            <w:tcW w:type="dxa" w:w="33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暂估时点、冲回或差额调整政策</w:t>
            </w:r>
          </w:p>
        </w:tc>
      </w:tr>
      <w:tr>
        <w:tc>
          <w:tcPr>
            <w:tcW w:type="dxa" w:w="1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高</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已结算并已推NC后的退款或补成本</w:t>
            </w:r>
          </w:p>
        </w:tc>
        <w:tc>
          <w:tcPr>
            <w:tcW w:type="dxa" w:w="41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原事项不删除，形成补充结算和反向事项</w:t>
            </w:r>
          </w:p>
        </w:tc>
        <w:tc>
          <w:tcPr>
            <w:tcW w:type="dxa" w:w="33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开放期间、跨期日期和审批权限</w:t>
            </w:r>
          </w:p>
        </w:tc>
      </w:tr>
      <w:tr>
        <w:tc>
          <w:tcPr>
            <w:tcW w:type="dxa" w:w="1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中</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平台拒付、强制退款、保证金滚存</w:t>
            </w:r>
          </w:p>
        </w:tc>
        <w:tc>
          <w:tcPr>
            <w:tcW w:type="dxa" w:w="4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平台扣款、客户应收恢复、保证金余额</w:t>
            </w:r>
          </w:p>
        </w:tc>
        <w:tc>
          <w:tcPr>
            <w:tcW w:type="dxa" w:w="33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损失承担和减值政策</w:t>
            </w:r>
          </w:p>
        </w:tc>
      </w:tr>
      <w:tr>
        <w:tc>
          <w:tcPr>
            <w:tcW w:type="dxa" w:w="1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中</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员工借款、领队备用金和现场报销</w:t>
            </w:r>
          </w:p>
        </w:tc>
        <w:tc>
          <w:tcPr>
            <w:tcW w:type="dxa" w:w="41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借款、实付、报销、余款退回、单据归属</w:t>
            </w:r>
          </w:p>
        </w:tc>
        <w:tc>
          <w:tcPr>
            <w:tcW w:type="dxa" w:w="33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费用确认和超期处理</w:t>
            </w:r>
          </w:p>
        </w:tc>
      </w:tr>
      <w:tr>
        <w:tc>
          <w:tcPr>
            <w:tcW w:type="dxa" w:w="1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中</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主责方与代理方</w:t>
            </w:r>
          </w:p>
        </w:tc>
        <w:tc>
          <w:tcPr>
            <w:tcW w:type="dxa" w:w="41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客户全额资金、对外结算和佣金分别保留</w:t>
            </w:r>
          </w:p>
        </w:tc>
        <w:tc>
          <w:tcPr>
            <w:tcW w:type="dxa" w:w="33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各产品合同的全额或净额收入判断</w:t>
            </w:r>
          </w:p>
        </w:tc>
      </w:tr>
      <w:tr>
        <w:tc>
          <w:tcPr>
            <w:tcW w:type="dxa" w:w="1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中</w:t>
            </w:r>
          </w:p>
        </w:tc>
        <w:tc>
          <w:tcPr>
            <w:tcW w:type="dxa" w:w="26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押金和保证金</w:t>
            </w:r>
          </w:p>
        </w:tc>
        <w:tc>
          <w:tcPr>
            <w:tcW w:type="dxa" w:w="4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收取/缴纳、冻结、返还和没收</w:t>
            </w:r>
          </w:p>
        </w:tc>
        <w:tc>
          <w:tcPr>
            <w:tcW w:type="dxa" w:w="33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资产负债分类和收入成本转化条件</w:t>
            </w:r>
          </w:p>
        </w:tc>
      </w:tr>
    </w:tbl>
    <w:p>
      <w:pPr>
        <w:spacing w:after="40"/>
      </w:pPr>
    </w:p>
    <w:p>
      <w:pPr>
        <w:pStyle w:val="dingding-heading2"/>
        <w:keepNext/>
        <w:keepLines/>
      </w:pPr>
      <w:r>
        <w:rPr>
          <w:rFonts w:ascii="微软雅黑" w:hAnsi="微软雅黑" w:eastAsia="微软雅黑" w:cs="微软雅黑"/>
        </w:rPr>
        <w:t>五、系统统一计算与核对流程</w:t>
      </w:r>
    </w:p>
    <w:p>
      <w:pPr>
        <w:pStyle w:val="dingding_code"/>
        <w:spacing w:before="80" w:after="200" w:lineRule="exact" w:line="260"/>
        <w:ind w:left="115" w:right="115"/>
        <w:shd w:val="clear" w:fill="F2F3F5"/>
      </w:pPr>
      <w:r>
        <w:rPr>
          <w:rFonts w:ascii="Menlo" w:hAnsi="Menlo" w:eastAsia="Menlo" w:cs="Menlo"/>
          <w:sz w:val="18"/>
        </w:rPr>
        <w:t>第一步  识别合同与法人责任：谁销售、谁收款、谁履约、谁采购、谁付款、谁记账</w:t>
        <w:br/>
        <w:t>第二步  保存完整金额：展示价、合同价、客户实付、优惠、佣金、内部结算、采购基础、扣款、实付</w:t>
        <w:br/>
        <w:t>第三步  分别形成余额：客户应收/预收，渠道往来，内部应收应付，供应商预付/应付</w:t>
        <w:br/>
        <w:t>第四步  以真实收付款核销余额：审批通过不等于资金完成</w:t>
        <w:br/>
        <w:t>第五步  以履约和财务政策确认收入、成本及损失：不以收清、开票或回团状态单独代替</w:t>
        <w:br/>
        <w:t>第六步  完成团期、项目、供应商、渠道和内部公司结算：不同结算不混成一个动作</w:t>
        <w:br/>
        <w:t>第七步  形成各法人会计事项并推送NC：同一经济影响只推送一次</w:t>
        <w:br/>
        <w:t>第八步  用客户、供应商、内部往来、经营结果和资金五组等式反算</w:t>
        <w:br/>
        <w:t>第九步  发生退款、退回、补价或跨期时，以反向事项承接，不删除原事实</w:t>
      </w:r>
    </w:p>
    <w:p>
      <w:pPr>
        <w:pStyle w:val="dingding-heading3"/>
        <w:keepNext/>
        <w:keepLines/>
      </w:pPr>
      <w:r>
        <w:rPr>
          <w:rFonts w:ascii="微软雅黑" w:hAnsi="微软雅黑" w:eastAsia="微软雅黑" w:cs="微软雅黑"/>
        </w:rPr>
        <w:t>5.1 财务验算的五组强制等式</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2200"/>
        <w:gridCol w:w="5400"/>
        <w:gridCol w:w="3620"/>
      </w:tblGrid>
      <w:tr>
        <w:trPr>
          <w:tblHeader w:val="true"/>
        </w:trPr>
        <w:tc>
          <w:tcPr>
            <w:tcW w:type="dxa" w:w="2200"/>
            <w:shd w:val="clear" w:color="auto" w:fill="F5F6F7"/>
            <w:vAlign w:val="center"/>
          </w:tcPr>
          <w:p>
            <w:pPr>
              <w:spacing w:after="0"/>
              <w:jc w:val="center"/>
            </w:pPr>
            <w:r>
              <w:rPr>
                <w:rFonts w:ascii="微软雅黑" w:hAnsi="微软雅黑" w:eastAsia="微软雅黑" w:cs="微软雅黑"/>
                <w:b/>
                <w:sz w:val="17"/>
              </w:rPr>
              <w:t>核对对象</w:t>
            </w:r>
          </w:p>
        </w:tc>
        <w:tc>
          <w:tcPr>
            <w:tcW w:type="dxa" w:w="5400"/>
            <w:shd w:val="clear" w:color="auto" w:fill="F5F6F7"/>
            <w:vAlign w:val="center"/>
          </w:tcPr>
          <w:p>
            <w:pPr>
              <w:spacing w:after="0"/>
              <w:jc w:val="center"/>
            </w:pPr>
            <w:r>
              <w:rPr>
                <w:rFonts w:ascii="微软雅黑" w:hAnsi="微软雅黑" w:eastAsia="微软雅黑" w:cs="微软雅黑"/>
                <w:b/>
                <w:sz w:val="17"/>
              </w:rPr>
              <w:t>必须成立的关系</w:t>
            </w:r>
          </w:p>
        </w:tc>
        <w:tc>
          <w:tcPr>
            <w:tcW w:type="dxa" w:w="3620"/>
            <w:shd w:val="clear" w:color="auto" w:fill="F5F6F7"/>
            <w:vAlign w:val="center"/>
          </w:tcPr>
          <w:p>
            <w:pPr>
              <w:spacing w:after="0"/>
              <w:jc w:val="center"/>
            </w:pPr>
            <w:r>
              <w:rPr>
                <w:rFonts w:ascii="微软雅黑" w:hAnsi="微软雅黑" w:eastAsia="微软雅黑" w:cs="微软雅黑"/>
                <w:b/>
                <w:sz w:val="17"/>
              </w:rPr>
              <w:t>不相等时先查什么</w:t>
            </w:r>
          </w:p>
        </w:tc>
      </w:tr>
      <w:tr>
        <w:tc>
          <w:tcPr>
            <w:tcW w:type="dxa" w:w="2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客户</w:t>
            </w:r>
          </w:p>
        </w:tc>
        <w:tc>
          <w:tcPr>
            <w:tcW w:type="dxa" w:w="54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7"/>
              </w:rPr>
              <w:t>有效应收＝已核销收款＋预收/预存核销＋批准抵销＋期末待收</w:t>
            </w:r>
          </w:p>
        </w:tc>
        <w:tc>
          <w:tcPr>
            <w:tcW w:type="dxa" w:w="36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优惠承担、代收、退款、重复认款</w:t>
            </w:r>
          </w:p>
        </w:tc>
      </w:tr>
      <w:tr>
        <w:tc>
          <w:tcPr>
            <w:tcW w:type="dxa" w:w="2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供应商</w:t>
            </w:r>
          </w:p>
        </w:tc>
        <w:tc>
          <w:tcPr>
            <w:tcW w:type="dxa" w:w="54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7"/>
              </w:rPr>
              <w:t>有效应付＝已付款＋预付冲抵＋批准抵销＋期末待付</w:t>
            </w:r>
          </w:p>
        </w:tc>
        <w:tc>
          <w:tcPr>
            <w:tcW w:type="dxa" w:w="36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账单差异、扣款、付款退回、重复成本</w:t>
            </w:r>
          </w:p>
        </w:tc>
      </w:tr>
      <w:tr>
        <w:tc>
          <w:tcPr>
            <w:tcW w:type="dxa" w:w="2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内部公司</w:t>
            </w:r>
          </w:p>
        </w:tc>
        <w:tc>
          <w:tcPr>
            <w:tcW w:type="dxa" w:w="54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提供方内部应收＝接收方内部应付</w:t>
            </w:r>
          </w:p>
        </w:tc>
        <w:tc>
          <w:tcPr>
            <w:tcW w:type="dxa" w:w="36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主体、币种、期间、内部关联信息</w:t>
            </w:r>
          </w:p>
        </w:tc>
      </w:tr>
      <w:tr>
        <w:tc>
          <w:tcPr>
            <w:tcW w:type="dxa" w:w="2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经营结果</w:t>
            </w:r>
          </w:p>
        </w:tc>
        <w:tc>
          <w:tcPr>
            <w:tcW w:type="dxa" w:w="54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收入－成本－费用/损失＝公司结果</w:t>
            </w:r>
          </w:p>
        </w:tc>
        <w:tc>
          <w:tcPr>
            <w:tcW w:type="dxa" w:w="36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返佣、扣点和部门贡献是否重复</w:t>
            </w:r>
          </w:p>
        </w:tc>
      </w:tr>
      <w:tr>
        <w:tc>
          <w:tcPr>
            <w:tcW w:type="dxa" w:w="2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资金</w:t>
            </w:r>
          </w:p>
        </w:tc>
        <w:tc>
          <w:tcPr>
            <w:tcW w:type="dxa" w:w="54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期初＋实际流入－实际流出＝期末资金</w:t>
            </w:r>
          </w:p>
        </w:tc>
        <w:tc>
          <w:tcPr>
            <w:tcW w:type="dxa" w:w="362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7"/>
              </w:rPr>
              <w:t>未收应收、未付应付、预收、预付和跨期</w:t>
            </w:r>
          </w:p>
        </w:tc>
      </w:tr>
    </w:tbl>
    <w:p>
      <w:pPr>
        <w:spacing w:after="40"/>
      </w:pPr>
    </w:p>
    <w:p>
      <w:pPr/>
      <w:r>
        <w:br w:type="page"/>
      </w:r>
    </w:p>
    <w:p>
      <w:pPr>
        <w:pStyle w:val="dingding-heading2"/>
        <w:keepNext/>
        <w:keepLines/>
      </w:pPr>
      <w:r>
        <w:rPr>
          <w:rFonts w:ascii="微软雅黑" w:hAnsi="微软雅黑" w:eastAsia="微软雅黑" w:cs="微软雅黑"/>
        </w:rPr>
        <w:t>六、需要财务正式签结论的事项</w:t>
      </w:r>
    </w:p>
    <w:p>
      <w:pPr>
        <w:spacing w:after="100" w:line="307" w:lineRule="auto"/>
      </w:pPr>
      <w:r>
        <w:rPr>
          <w:rFonts w:ascii="微软雅黑" w:hAnsi="微软雅黑" w:eastAsia="微软雅黑" w:cs="微软雅黑"/>
          <w:sz w:val="22"/>
        </w:rPr>
        <w:t>以下事项一旦确认，将直接决定系统计算、财务复核、NC推送和测试验收口径。建议财务在“最终口径”栏填写明确结论，不能只写原则同意。</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900"/>
        <w:gridCol w:w="2100"/>
        <w:gridCol w:w="5000"/>
        <w:gridCol w:w="1100"/>
        <w:gridCol w:w="2120"/>
      </w:tblGrid>
      <w:tr>
        <w:trPr>
          <w:tblHeader w:val="true"/>
        </w:trPr>
        <w:tc>
          <w:tcPr>
            <w:tcW w:type="dxa" w:w="900"/>
            <w:shd w:val="clear" w:color="auto" w:fill="F5F6F7"/>
            <w:vAlign w:val="center"/>
          </w:tcPr>
          <w:p>
            <w:pPr>
              <w:spacing w:after="0"/>
              <w:jc w:val="center"/>
            </w:pPr>
            <w:r>
              <w:rPr>
                <w:rFonts w:ascii="微软雅黑" w:hAnsi="微软雅黑" w:eastAsia="微软雅黑" w:cs="微软雅黑"/>
                <w:b/>
                <w:sz w:val="16"/>
              </w:rPr>
              <w:t>编号</w:t>
            </w:r>
          </w:p>
        </w:tc>
        <w:tc>
          <w:tcPr>
            <w:tcW w:type="dxa" w:w="2100"/>
            <w:shd w:val="clear" w:color="auto" w:fill="F5F6F7"/>
            <w:vAlign w:val="center"/>
          </w:tcPr>
          <w:p>
            <w:pPr>
              <w:spacing w:after="0"/>
              <w:jc w:val="center"/>
            </w:pPr>
            <w:r>
              <w:rPr>
                <w:rFonts w:ascii="微软雅黑" w:hAnsi="微软雅黑" w:eastAsia="微软雅黑" w:cs="微软雅黑"/>
                <w:b/>
                <w:sz w:val="16"/>
              </w:rPr>
              <w:t>确认主题</w:t>
            </w:r>
          </w:p>
        </w:tc>
        <w:tc>
          <w:tcPr>
            <w:tcW w:type="dxa" w:w="5000"/>
            <w:shd w:val="clear" w:color="auto" w:fill="F5F6F7"/>
            <w:vAlign w:val="center"/>
          </w:tcPr>
          <w:p>
            <w:pPr>
              <w:spacing w:after="0"/>
              <w:jc w:val="center"/>
            </w:pPr>
            <w:r>
              <w:rPr>
                <w:rFonts w:ascii="微软雅黑" w:hAnsi="微软雅黑" w:eastAsia="微软雅黑" w:cs="微软雅黑"/>
                <w:b/>
                <w:sz w:val="16"/>
              </w:rPr>
              <w:t>需要形成的明确结论</w:t>
            </w:r>
          </w:p>
        </w:tc>
        <w:tc>
          <w:tcPr>
            <w:tcW w:type="dxa" w:w="1100"/>
            <w:shd w:val="clear" w:color="auto" w:fill="F5F6F7"/>
            <w:vAlign w:val="center"/>
          </w:tcPr>
          <w:p>
            <w:pPr>
              <w:spacing w:after="0"/>
              <w:jc w:val="center"/>
            </w:pPr>
            <w:r>
              <w:rPr>
                <w:rFonts w:ascii="微软雅黑" w:hAnsi="微软雅黑" w:eastAsia="微软雅黑" w:cs="微软雅黑"/>
                <w:b/>
                <w:sz w:val="16"/>
              </w:rPr>
              <w:t>优先级</w:t>
            </w:r>
          </w:p>
        </w:tc>
        <w:tc>
          <w:tcPr>
            <w:tcW w:type="dxa" w:w="2120"/>
            <w:shd w:val="clear" w:color="auto" w:fill="F5F6F7"/>
            <w:vAlign w:val="center"/>
          </w:tcPr>
          <w:p>
            <w:pPr>
              <w:spacing w:after="0"/>
              <w:jc w:val="center"/>
            </w:pPr>
            <w:r>
              <w:rPr>
                <w:rFonts w:ascii="微软雅黑" w:hAnsi="微软雅黑" w:eastAsia="微软雅黑" w:cs="微软雅黑"/>
                <w:b/>
                <w:sz w:val="16"/>
              </w:rPr>
              <w:t>最终口径/确认人</w:t>
            </w:r>
          </w:p>
        </w:tc>
      </w:tr>
      <w:tr>
        <w:tc>
          <w:tcPr>
            <w:tcW w:type="dxa" w:w="9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P01</w:t>
            </w:r>
          </w:p>
        </w:tc>
        <w:tc>
          <w:tcPr>
            <w:tcW w:type="dxa" w:w="2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客户优惠</w:t>
            </w:r>
          </w:p>
        </w:tc>
        <w:tc>
          <w:tcPr>
            <w:tcW w:type="dxa" w:w="50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价格折减、营销费用或第三方补偿分别采用什么条件</w:t>
            </w:r>
          </w:p>
        </w:tc>
        <w:tc>
          <w:tcPr>
            <w:tcW w:type="dxa" w:w="1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高</w:t>
            </w:r>
          </w:p>
        </w:tc>
        <w:tc>
          <w:tcPr>
            <w:tcW w:type="dxa" w:w="21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r>
          </w:p>
        </w:tc>
      </w:tr>
      <w:tr>
        <w:tc>
          <w:tcPr>
            <w:tcW w:type="dxa" w:w="9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P02</w:t>
            </w:r>
          </w:p>
        </w:tc>
        <w:tc>
          <w:tcPr>
            <w:tcW w:type="dxa" w:w="2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供应商扣款/返还</w:t>
            </w:r>
          </w:p>
        </w:tc>
        <w:tc>
          <w:tcPr>
            <w:tcW w:type="dxa" w:w="50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冲减采购价还是独立收入；发票与税额怎样处理</w:t>
            </w:r>
          </w:p>
        </w:tc>
        <w:tc>
          <w:tcPr>
            <w:tcW w:type="dxa" w:w="1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高</w:t>
            </w:r>
          </w:p>
        </w:tc>
        <w:tc>
          <w:tcPr>
            <w:tcW w:type="dxa" w:w="21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r>
          </w:p>
        </w:tc>
      </w:tr>
      <w:tr>
        <w:tc>
          <w:tcPr>
            <w:tcW w:type="dxa" w:w="9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P03</w:t>
            </w:r>
          </w:p>
        </w:tc>
        <w:tc>
          <w:tcPr>
            <w:tcW w:type="dxa" w:w="2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收入确认</w:t>
            </w:r>
          </w:p>
        </w:tc>
        <w:tc>
          <w:tcPr>
            <w:tcW w:type="dxa" w:w="50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跟团、邮轮、专列、MICE、自由行分别按什么履约依据和日期</w:t>
            </w:r>
          </w:p>
        </w:tc>
        <w:tc>
          <w:tcPr>
            <w:tcW w:type="dxa" w:w="1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高</w:t>
            </w:r>
          </w:p>
        </w:tc>
        <w:tc>
          <w:tcPr>
            <w:tcW w:type="dxa" w:w="21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r>
          </w:p>
        </w:tc>
      </w:tr>
      <w:tr>
        <w:tc>
          <w:tcPr>
            <w:tcW w:type="dxa" w:w="9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P04</w:t>
            </w:r>
          </w:p>
        </w:tc>
        <w:tc>
          <w:tcPr>
            <w:tcW w:type="dxa" w:w="2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业务应收与会计应收</w:t>
            </w:r>
          </w:p>
        </w:tc>
        <w:tc>
          <w:tcPr>
            <w:tcW w:type="dxa" w:w="50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付款计划何时成为无条件收款权</w:t>
            </w:r>
          </w:p>
        </w:tc>
        <w:tc>
          <w:tcPr>
            <w:tcW w:type="dxa" w:w="1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高</w:t>
            </w:r>
          </w:p>
        </w:tc>
        <w:tc>
          <w:tcPr>
            <w:tcW w:type="dxa" w:w="21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r>
          </w:p>
        </w:tc>
      </w:tr>
      <w:tr>
        <w:tc>
          <w:tcPr>
            <w:tcW w:type="dxa" w:w="9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P05</w:t>
            </w:r>
          </w:p>
        </w:tc>
        <w:tc>
          <w:tcPr>
            <w:tcW w:type="dxa" w:w="2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加盟门店净额上缴</w:t>
            </w:r>
          </w:p>
        </w:tc>
        <w:tc>
          <w:tcPr>
            <w:tcW w:type="dxa" w:w="50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是否允许佣金抵销客户应收，所需协议和票据</w:t>
            </w:r>
          </w:p>
        </w:tc>
        <w:tc>
          <w:tcPr>
            <w:tcW w:type="dxa" w:w="1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高</w:t>
            </w:r>
          </w:p>
        </w:tc>
        <w:tc>
          <w:tcPr>
            <w:tcW w:type="dxa" w:w="21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r>
          </w:p>
        </w:tc>
      </w:tr>
      <w:tr>
        <w:tc>
          <w:tcPr>
            <w:tcW w:type="dxa" w:w="9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P06</w:t>
            </w:r>
          </w:p>
        </w:tc>
        <w:tc>
          <w:tcPr>
            <w:tcW w:type="dxa" w:w="2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直营门店和部门贡献</w:t>
            </w:r>
          </w:p>
        </w:tc>
        <w:tc>
          <w:tcPr>
            <w:tcW w:type="dxa" w:w="50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只做管理核算，不形成法人间应收应付</w:t>
            </w:r>
          </w:p>
        </w:tc>
        <w:tc>
          <w:tcPr>
            <w:tcW w:type="dxa" w:w="1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高</w:t>
            </w:r>
          </w:p>
        </w:tc>
        <w:tc>
          <w:tcPr>
            <w:tcW w:type="dxa" w:w="21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r>
          </w:p>
        </w:tc>
      </w:tr>
      <w:tr>
        <w:tc>
          <w:tcPr>
            <w:tcW w:type="dxa" w:w="9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P07</w:t>
            </w:r>
          </w:p>
        </w:tc>
        <w:tc>
          <w:tcPr>
            <w:tcW w:type="dxa" w:w="2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集团内部结算</w:t>
            </w:r>
          </w:p>
        </w:tc>
        <w:tc>
          <w:tcPr>
            <w:tcW w:type="dxa" w:w="50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成立时点、定价依据、发票、付款计划和抵销期间</w:t>
            </w:r>
          </w:p>
        </w:tc>
        <w:tc>
          <w:tcPr>
            <w:tcW w:type="dxa" w:w="1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高</w:t>
            </w:r>
          </w:p>
        </w:tc>
        <w:tc>
          <w:tcPr>
            <w:tcW w:type="dxa" w:w="21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r>
          </w:p>
        </w:tc>
      </w:tr>
      <w:tr>
        <w:tc>
          <w:tcPr>
            <w:tcW w:type="dxa" w:w="9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P08</w:t>
            </w:r>
          </w:p>
        </w:tc>
        <w:tc>
          <w:tcPr>
            <w:tcW w:type="dxa" w:w="2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集中代收代付</w:t>
            </w:r>
          </w:p>
        </w:tc>
        <w:tc>
          <w:tcPr>
            <w:tcW w:type="dxa" w:w="50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代收代付协议、核销日和内部资金清算方式</w:t>
            </w:r>
          </w:p>
        </w:tc>
        <w:tc>
          <w:tcPr>
            <w:tcW w:type="dxa" w:w="1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高</w:t>
            </w:r>
          </w:p>
        </w:tc>
        <w:tc>
          <w:tcPr>
            <w:tcW w:type="dxa" w:w="21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r>
          </w:p>
        </w:tc>
      </w:tr>
      <w:tr>
        <w:tc>
          <w:tcPr>
            <w:tcW w:type="dxa" w:w="9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P09</w:t>
            </w:r>
          </w:p>
        </w:tc>
        <w:tc>
          <w:tcPr>
            <w:tcW w:type="dxa" w:w="2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OTA月结</w:t>
            </w:r>
          </w:p>
        </w:tc>
        <w:tc>
          <w:tcPr>
            <w:tcW w:type="dxa" w:w="50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主责/代理判断、佣金、补贴、退款和账单生效日</w:t>
            </w:r>
          </w:p>
        </w:tc>
        <w:tc>
          <w:tcPr>
            <w:tcW w:type="dxa" w:w="1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高</w:t>
            </w:r>
          </w:p>
        </w:tc>
        <w:tc>
          <w:tcPr>
            <w:tcW w:type="dxa" w:w="21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r>
          </w:p>
        </w:tc>
      </w:tr>
      <w:tr>
        <w:tc>
          <w:tcPr>
            <w:tcW w:type="dxa" w:w="9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P10</w:t>
            </w:r>
          </w:p>
        </w:tc>
        <w:tc>
          <w:tcPr>
            <w:tcW w:type="dxa" w:w="2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预付和暂估</w:t>
            </w:r>
          </w:p>
        </w:tc>
        <w:tc>
          <w:tcPr>
            <w:tcW w:type="dxa" w:w="50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实际成本、暂估应付、正式应付如何避免重复入账</w:t>
            </w:r>
          </w:p>
        </w:tc>
        <w:tc>
          <w:tcPr>
            <w:tcW w:type="dxa" w:w="1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高</w:t>
            </w:r>
          </w:p>
        </w:tc>
        <w:tc>
          <w:tcPr>
            <w:tcW w:type="dxa" w:w="21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r>
          </w:p>
        </w:tc>
      </w:tr>
      <w:tr>
        <w:tc>
          <w:tcPr>
            <w:tcW w:type="dxa" w:w="9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P11</w:t>
            </w:r>
          </w:p>
        </w:tc>
        <w:tc>
          <w:tcPr>
            <w:tcW w:type="dxa" w:w="2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固定资源损耗</w:t>
            </w:r>
          </w:p>
        </w:tc>
        <w:tc>
          <w:tcPr>
            <w:tcW w:type="dxa" w:w="50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正常成本、非正常损失和责任方承担的划分</w:t>
            </w:r>
          </w:p>
        </w:tc>
        <w:tc>
          <w:tcPr>
            <w:tcW w:type="dxa" w:w="1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高</w:t>
            </w:r>
          </w:p>
        </w:tc>
        <w:tc>
          <w:tcPr>
            <w:tcW w:type="dxa" w:w="21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r>
          </w:p>
        </w:tc>
      </w:tr>
      <w:tr>
        <w:tc>
          <w:tcPr>
            <w:tcW w:type="dxa" w:w="9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P12</w:t>
            </w:r>
          </w:p>
        </w:tc>
        <w:tc>
          <w:tcPr>
            <w:tcW w:type="dxa" w:w="2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外币</w:t>
            </w:r>
          </w:p>
        </w:tc>
        <w:tc>
          <w:tcPr>
            <w:tcW w:type="dxa" w:w="50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汇率来源、期末重估、预付款和手续费归属</w:t>
            </w:r>
          </w:p>
        </w:tc>
        <w:tc>
          <w:tcPr>
            <w:tcW w:type="dxa" w:w="1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高</w:t>
            </w:r>
          </w:p>
        </w:tc>
        <w:tc>
          <w:tcPr>
            <w:tcW w:type="dxa" w:w="21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r>
          </w:p>
        </w:tc>
      </w:tr>
      <w:tr>
        <w:tc>
          <w:tcPr>
            <w:tcW w:type="dxa" w:w="9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P13</w:t>
            </w:r>
          </w:p>
        </w:tc>
        <w:tc>
          <w:tcPr>
            <w:tcW w:type="dxa" w:w="2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客户取消保留款</w:t>
            </w:r>
          </w:p>
        </w:tc>
        <w:tc>
          <w:tcPr>
            <w:tcW w:type="dxa" w:w="50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取消费、赔偿或收入调整的会计与税务性质</w:t>
            </w:r>
          </w:p>
        </w:tc>
        <w:tc>
          <w:tcPr>
            <w:tcW w:type="dxa" w:w="1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高</w:t>
            </w:r>
          </w:p>
        </w:tc>
        <w:tc>
          <w:tcPr>
            <w:tcW w:type="dxa" w:w="21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r>
          </w:p>
        </w:tc>
      </w:tr>
      <w:tr>
        <w:tc>
          <w:tcPr>
            <w:tcW w:type="dxa" w:w="9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P14</w:t>
            </w:r>
          </w:p>
        </w:tc>
        <w:tc>
          <w:tcPr>
            <w:tcW w:type="dxa" w:w="2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收款确认</w:t>
            </w:r>
          </w:p>
        </w:tc>
        <w:tc>
          <w:tcPr>
            <w:tcW w:type="dxa" w:w="50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银行、平台、现金、无流水待核对分别何时核销应收</w:t>
            </w:r>
          </w:p>
        </w:tc>
        <w:tc>
          <w:tcPr>
            <w:tcW w:type="dxa" w:w="1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高</w:t>
            </w:r>
          </w:p>
        </w:tc>
        <w:tc>
          <w:tcPr>
            <w:tcW w:type="dxa" w:w="21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r>
          </w:p>
        </w:tc>
      </w:tr>
      <w:tr>
        <w:tc>
          <w:tcPr>
            <w:tcW w:type="dxa" w:w="9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P15</w:t>
            </w:r>
          </w:p>
        </w:tc>
        <w:tc>
          <w:tcPr>
            <w:tcW w:type="dxa" w:w="2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退款和付款成功</w:t>
            </w:r>
          </w:p>
        </w:tc>
        <w:tc>
          <w:tcPr>
            <w:tcW w:type="dxa" w:w="50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以银行结果、平台结果还是回单为最终日期</w:t>
            </w:r>
          </w:p>
        </w:tc>
        <w:tc>
          <w:tcPr>
            <w:tcW w:type="dxa" w:w="1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高</w:t>
            </w:r>
          </w:p>
        </w:tc>
        <w:tc>
          <w:tcPr>
            <w:tcW w:type="dxa" w:w="21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r>
          </w:p>
        </w:tc>
      </w:tr>
      <w:tr>
        <w:tc>
          <w:tcPr>
            <w:tcW w:type="dxa" w:w="9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P16</w:t>
            </w:r>
          </w:p>
        </w:tc>
        <w:tc>
          <w:tcPr>
            <w:tcW w:type="dxa" w:w="2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发票</w:t>
            </w:r>
          </w:p>
        </w:tc>
        <w:tc>
          <w:tcPr>
            <w:tcW w:type="dxa" w:w="50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对客、门店、内部公司、供应商各交易段的开票方向和时点</w:t>
            </w:r>
          </w:p>
        </w:tc>
        <w:tc>
          <w:tcPr>
            <w:tcW w:type="dxa" w:w="1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高</w:t>
            </w:r>
          </w:p>
        </w:tc>
        <w:tc>
          <w:tcPr>
            <w:tcW w:type="dxa" w:w="21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r>
          </w:p>
        </w:tc>
      </w:tr>
      <w:tr>
        <w:tc>
          <w:tcPr>
            <w:tcW w:type="dxa" w:w="9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P17</w:t>
            </w:r>
          </w:p>
        </w:tc>
        <w:tc>
          <w:tcPr>
            <w:tcW w:type="dxa" w:w="2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自动结算</w:t>
            </w:r>
          </w:p>
        </w:tc>
        <w:tc>
          <w:tcPr>
            <w:tcW w:type="dxa" w:w="50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回团后第N天、适用范围和异常冻结条件</w:t>
            </w:r>
          </w:p>
        </w:tc>
        <w:tc>
          <w:tcPr>
            <w:tcW w:type="dxa" w:w="1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中</w:t>
            </w:r>
          </w:p>
        </w:tc>
        <w:tc>
          <w:tcPr>
            <w:tcW w:type="dxa" w:w="21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r>
          </w:p>
        </w:tc>
      </w:tr>
      <w:tr>
        <w:tc>
          <w:tcPr>
            <w:tcW w:type="dxa" w:w="9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P18</w:t>
            </w:r>
          </w:p>
        </w:tc>
        <w:tc>
          <w:tcPr>
            <w:tcW w:type="dxa" w:w="2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已关账后调整</w:t>
            </w:r>
          </w:p>
        </w:tc>
        <w:tc>
          <w:tcPr>
            <w:tcW w:type="dxa" w:w="50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开放期间、跨期日期、反向事项和审批权限</w:t>
            </w:r>
          </w:p>
        </w:tc>
        <w:tc>
          <w:tcPr>
            <w:tcW w:type="dxa" w:w="1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高</w:t>
            </w:r>
          </w:p>
        </w:tc>
        <w:tc>
          <w:tcPr>
            <w:tcW w:type="dxa" w:w="21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r>
          </w:p>
        </w:tc>
      </w:tr>
      <w:tr>
        <w:tc>
          <w:tcPr>
            <w:tcW w:type="dxa" w:w="9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P19</w:t>
            </w:r>
          </w:p>
        </w:tc>
        <w:tc>
          <w:tcPr>
            <w:tcW w:type="dxa" w:w="2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NC推送</w:t>
            </w:r>
          </w:p>
        </w:tc>
        <w:tc>
          <w:tcPr>
            <w:tcW w:type="dxa" w:w="50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按单、按日或按期间汇总；失败、重复和冲销处理</w:t>
            </w:r>
          </w:p>
        </w:tc>
        <w:tc>
          <w:tcPr>
            <w:tcW w:type="dxa" w:w="1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高</w:t>
            </w:r>
          </w:p>
        </w:tc>
        <w:tc>
          <w:tcPr>
            <w:tcW w:type="dxa" w:w="21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r>
          </w:p>
        </w:tc>
      </w:tr>
      <w:tr>
        <w:tc>
          <w:tcPr>
            <w:tcW w:type="dxa" w:w="9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6"/>
              </w:rPr>
              <w:t>P20</w:t>
            </w:r>
          </w:p>
        </w:tc>
        <w:tc>
          <w:tcPr>
            <w:tcW w:type="dxa" w:w="2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集团抵销</w:t>
            </w:r>
          </w:p>
        </w:tc>
        <w:tc>
          <w:tcPr>
            <w:tcW w:type="dxa" w:w="50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6"/>
              </w:rPr>
              <w:t>内部交易关联、差异阈值和关账前置检查</w:t>
            </w:r>
          </w:p>
        </w:tc>
        <w:tc>
          <w:tcPr>
            <w:tcW w:type="dxa" w:w="1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t>高</w:t>
            </w:r>
          </w:p>
        </w:tc>
        <w:tc>
          <w:tcPr>
            <w:tcW w:type="dxa" w:w="21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6"/>
              </w:rPr>
            </w:r>
          </w:p>
        </w:tc>
      </w:tr>
    </w:tbl>
    <w:p>
      <w:pPr>
        <w:spacing w:after="40"/>
      </w:pPr>
    </w:p>
    <w:p>
      <w:pPr>
        <w:pStyle w:val="dingding-heading2"/>
        <w:keepNext/>
        <w:keepLines/>
      </w:pPr>
      <w:r>
        <w:rPr>
          <w:rFonts w:ascii="微软雅黑" w:hAnsi="微软雅黑" w:eastAsia="微软雅黑" w:cs="微软雅黑"/>
        </w:rPr>
        <w:t>七、建议的财务确认会议顺序</w:t>
      </w:r>
    </w:p>
    <w:p>
      <w:pPr>
        <w:spacing w:after="100" w:line="307" w:lineRule="auto"/>
      </w:pPr>
      <w:r>
        <w:rPr>
          <w:rFonts w:ascii="微软雅黑" w:hAnsi="微软雅黑" w:eastAsia="微软雅黑" w:cs="微软雅黑"/>
          <w:sz w:val="22"/>
        </w:rPr>
        <w:t>为避免在税率和科目编码上过早分散，建议按以下顺序逐层确认。每一轮先确认金额和责任，再确认会计与税务。</w:t>
      </w:r>
    </w:p>
    <w:tbl>
      <w:tblPr>
        <w:tblStyle w:val="TableGrid"/>
        <w:tblW w:type="dxa" w:w="11220"/>
        <w:jc w:val="left"/>
        <w:tblLayout w:type="fixed"/>
        <w:tblLook w:firstColumn="1" w:firstRow="1" w:lastColumn="0" w:lastRow="0" w:noHBand="0" w:noVBand="1" w:val="04A0"/>
        <w:tblInd w:w="100" w:type="dxa"/>
        <w:tblBorders>
          <w:top w:val="single" w:sz="6" w:space="0" w:color="D6D6D6"/>
          <w:left w:val="single" w:sz="6" w:space="0" w:color="D6D6D6"/>
          <w:bottom w:val="single" w:sz="6" w:space="0" w:color="D6D6D6"/>
          <w:right w:val="single" w:sz="6" w:space="0" w:color="D6D6D6"/>
          <w:insideH w:val="single" w:sz="6" w:space="0" w:color="D6D6D6"/>
          <w:insideV w:val="single" w:sz="6" w:space="0" w:color="D6D6D6"/>
        </w:tblBorders>
      </w:tblPr>
      <w:tblGrid>
        <w:gridCol w:w="1200"/>
        <w:gridCol w:w="4100"/>
        <w:gridCol w:w="5920"/>
      </w:tblGrid>
      <w:tr>
        <w:trPr>
          <w:tblHeader w:val="true"/>
        </w:trPr>
        <w:tc>
          <w:tcPr>
            <w:tcW w:type="dxa" w:w="1200"/>
            <w:shd w:val="clear" w:color="auto" w:fill="F5F6F7"/>
            <w:vAlign w:val="center"/>
          </w:tcPr>
          <w:p>
            <w:pPr>
              <w:spacing w:after="0"/>
              <w:jc w:val="center"/>
            </w:pPr>
            <w:r>
              <w:rPr>
                <w:rFonts w:ascii="微软雅黑" w:hAnsi="微软雅黑" w:eastAsia="微软雅黑" w:cs="微软雅黑"/>
                <w:b/>
                <w:sz w:val="17"/>
              </w:rPr>
              <w:t>轮次</w:t>
            </w:r>
          </w:p>
        </w:tc>
        <w:tc>
          <w:tcPr>
            <w:tcW w:type="dxa" w:w="4100"/>
            <w:shd w:val="clear" w:color="auto" w:fill="F5F6F7"/>
            <w:vAlign w:val="center"/>
          </w:tcPr>
          <w:p>
            <w:pPr>
              <w:spacing w:after="0"/>
              <w:jc w:val="center"/>
            </w:pPr>
            <w:r>
              <w:rPr>
                <w:rFonts w:ascii="微软雅黑" w:hAnsi="微软雅黑" w:eastAsia="微软雅黑" w:cs="微软雅黑"/>
                <w:b/>
                <w:sz w:val="17"/>
              </w:rPr>
              <w:t>会议主题</w:t>
            </w:r>
          </w:p>
        </w:tc>
        <w:tc>
          <w:tcPr>
            <w:tcW w:type="dxa" w:w="5920"/>
            <w:shd w:val="clear" w:color="auto" w:fill="F5F6F7"/>
            <w:vAlign w:val="center"/>
          </w:tcPr>
          <w:p>
            <w:pPr>
              <w:spacing w:after="0"/>
              <w:jc w:val="center"/>
            </w:pPr>
            <w:r>
              <w:rPr>
                <w:rFonts w:ascii="微软雅黑" w:hAnsi="微软雅黑" w:eastAsia="微软雅黑" w:cs="微软雅黑"/>
                <w:b/>
                <w:sz w:val="17"/>
              </w:rPr>
              <w:t>本轮必须形成的结果</w:t>
            </w:r>
          </w:p>
        </w:tc>
      </w:tr>
      <w:tr>
        <w:tc>
          <w:tcPr>
            <w:tcW w:type="dxa" w:w="1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第1轮</w:t>
            </w:r>
          </w:p>
        </w:tc>
        <w:tc>
          <w:tcPr>
            <w:tcW w:type="dxa" w:w="41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7"/>
              </w:rPr>
              <w:t>案例1、2：优惠、佣金、净额上缴、供应商扣款</w:t>
            </w:r>
          </w:p>
        </w:tc>
        <w:tc>
          <w:tcPr>
            <w:tcW w:type="dxa" w:w="592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7"/>
              </w:rPr>
              <w:t>确认1,480和1,500的计算；消除重复收益</w:t>
            </w:r>
          </w:p>
        </w:tc>
      </w:tr>
      <w:tr>
        <w:tc>
          <w:tcPr>
            <w:tcW w:type="dxa" w:w="1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第2轮</w:t>
            </w:r>
          </w:p>
        </w:tc>
        <w:tc>
          <w:tcPr>
            <w:tcW w:type="dxa" w:w="410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7"/>
              </w:rPr>
              <w:t>案例3、8：跨法人内部结算和集中资金</w:t>
            </w:r>
          </w:p>
        </w:tc>
        <w:tc>
          <w:tcPr>
            <w:tcW w:type="dxa" w:w="592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7"/>
              </w:rPr>
              <w:t>确认业务往来与资金往来分离、三主体对账</w:t>
            </w:r>
          </w:p>
        </w:tc>
      </w:tr>
      <w:tr>
        <w:tc>
          <w:tcPr>
            <w:tcW w:type="dxa" w:w="1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第3轮</w:t>
            </w:r>
          </w:p>
        </w:tc>
        <w:tc>
          <w:tcPr>
            <w:tcW w:type="dxa" w:w="4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案例4：OTA月结</w:t>
            </w:r>
          </w:p>
        </w:tc>
        <w:tc>
          <w:tcPr>
            <w:tcW w:type="dxa" w:w="592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7"/>
              </w:rPr>
              <w:t>确认有效交易、退款、佣金、补贴和净到账</w:t>
            </w:r>
          </w:p>
        </w:tc>
      </w:tr>
      <w:tr>
        <w:tc>
          <w:tcPr>
            <w:tcW w:type="dxa" w:w="1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第4轮</w:t>
            </w:r>
          </w:p>
        </w:tc>
        <w:tc>
          <w:tcPr>
            <w:tcW w:type="dxa" w:w="4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案例5：MICE项目</w:t>
            </w:r>
          </w:p>
        </w:tc>
        <w:tc>
          <w:tcPr>
            <w:tcW w:type="dxa" w:w="592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7"/>
              </w:rPr>
              <w:t>确认业务应收、会计应收、验收和收入时点</w:t>
            </w:r>
          </w:p>
        </w:tc>
      </w:tr>
      <w:tr>
        <w:tc>
          <w:tcPr>
            <w:tcW w:type="dxa" w:w="1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第5轮</w:t>
            </w:r>
          </w:p>
        </w:tc>
        <w:tc>
          <w:tcPr>
            <w:tcW w:type="dxa" w:w="4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案例6、7：外币与售后退款</w:t>
            </w:r>
          </w:p>
        </w:tc>
        <w:tc>
          <w:tcPr>
            <w:tcW w:type="dxa" w:w="592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确认外币、退款、供应商追回和损失</w:t>
            </w:r>
          </w:p>
        </w:tc>
      </w:tr>
      <w:tr>
        <w:tc>
          <w:tcPr>
            <w:tcW w:type="dxa" w:w="1200"/>
            <w:shd w:val="clear" w:color="auto" w:fill="FAFAFA"/>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sz w:val="17"/>
              </w:rPr>
              <w:t>第6轮</w:t>
            </w:r>
          </w:p>
        </w:tc>
        <w:tc>
          <w:tcPr>
            <w:tcW w:type="dxa" w:w="4100"/>
            <w:tcMar>
              <w:top w:w="90" w:type="dxa"/>
              <w:start w:w="100" w:type="dxa"/>
              <w:bottom w:w="90" w:type="dxa"/>
              <w:end w:w="100" w:type="dxa"/>
            </w:tcMar>
            <w:vAlign w:val="center"/>
          </w:tcPr>
          <w:p>
            <w:pPr>
              <w:spacing w:after="0" w:line="276" w:lineRule="auto"/>
              <w:jc w:val="center"/>
            </w:pPr>
            <w:r>
              <w:rPr>
                <w:rFonts w:ascii="微软雅黑" w:hAnsi="微软雅黑" w:eastAsia="微软雅黑" w:cs="微软雅黑"/>
                <w:b w:val="0"/>
                <w:sz w:val="17"/>
              </w:rPr>
              <w:t>发票、税额、NC和关账</w:t>
            </w:r>
          </w:p>
        </w:tc>
        <w:tc>
          <w:tcPr>
            <w:tcW w:type="dxa" w:w="5920"/>
            <w:tcMar>
              <w:top w:w="90" w:type="dxa"/>
              <w:start w:w="100" w:type="dxa"/>
              <w:bottom w:w="90" w:type="dxa"/>
              <w:end w:w="100" w:type="dxa"/>
            </w:tcMar>
            <w:vAlign w:val="center"/>
          </w:tcPr>
          <w:p>
            <w:pPr>
              <w:spacing w:after="0" w:line="276" w:lineRule="auto"/>
              <w:jc w:val="left"/>
            </w:pPr>
            <w:r>
              <w:rPr>
                <w:rFonts w:ascii="微软雅黑" w:hAnsi="微软雅黑" w:eastAsia="微软雅黑" w:cs="微软雅黑"/>
                <w:b w:val="0"/>
                <w:sz w:val="17"/>
              </w:rPr>
              <w:t>把已确认业务结果落到正式会计和NC规则</w:t>
            </w:r>
          </w:p>
        </w:tc>
      </w:tr>
    </w:tbl>
    <w:p>
      <w:pPr>
        <w:spacing w:after="40"/>
      </w:pPr>
    </w:p>
    <w:p>
      <w:pPr>
        <w:pStyle w:val="dingding-heading2"/>
        <w:keepNext/>
        <w:keepLines/>
      </w:pPr>
      <w:r>
        <w:rPr>
          <w:rFonts w:ascii="微软雅黑" w:hAnsi="微软雅黑" w:eastAsia="微软雅黑" w:cs="微软雅黑"/>
        </w:rPr>
        <w:t>八、财务确认完成标准</w:t>
      </w:r>
    </w:p>
    <w:p>
      <w:pPr>
        <w:spacing w:after="60"/>
        <w:ind w:left="418" w:hanging="418"/>
        <w:numPr>
          <w:ilvl w:val="0"/>
          <w:numId w:val="1"/>
        </w:numPr>
      </w:pPr>
      <w:r>
        <w:rPr>
          <w:rFonts w:ascii="微软雅黑" w:hAnsi="微软雅黑" w:eastAsia="微软雅黑" w:cs="微软雅黑"/>
          <w:sz w:val="21"/>
        </w:rPr>
        <w:t>每个案例能从客户合同金额一直反算到各法人期末余额，差异均有业务依据。</w:t>
      </w:r>
    </w:p>
    <w:p>
      <w:pPr>
        <w:spacing w:after="60"/>
        <w:ind w:left="418" w:hanging="418"/>
        <w:numPr>
          <w:ilvl w:val="0"/>
          <w:numId w:val="1"/>
        </w:numPr>
      </w:pPr>
      <w:r>
        <w:rPr>
          <w:rFonts w:ascii="微软雅黑" w:hAnsi="微软雅黑" w:eastAsia="微软雅黑" w:cs="微软雅黑"/>
          <w:sz w:val="21"/>
        </w:rPr>
        <w:t>同一收益或成本没有在公司法定结果、部门贡献和现金结果中重复计算。</w:t>
      </w:r>
    </w:p>
    <w:p>
      <w:pPr>
        <w:spacing w:after="60"/>
        <w:ind w:left="418" w:hanging="418"/>
        <w:numPr>
          <w:ilvl w:val="0"/>
          <w:numId w:val="1"/>
        </w:numPr>
      </w:pPr>
      <w:r>
        <w:rPr>
          <w:rFonts w:ascii="微软雅黑" w:hAnsi="微软雅黑" w:eastAsia="微软雅黑" w:cs="微软雅黑"/>
          <w:sz w:val="21"/>
        </w:rPr>
        <w:t>业务应收、会计应收、实际收款、收入确认以及开票时点已经分别确认。</w:t>
      </w:r>
    </w:p>
    <w:p>
      <w:pPr>
        <w:spacing w:after="60"/>
        <w:ind w:left="418" w:hanging="418"/>
        <w:numPr>
          <w:ilvl w:val="0"/>
          <w:numId w:val="1"/>
        </w:numPr>
      </w:pPr>
      <w:r>
        <w:rPr>
          <w:rFonts w:ascii="微软雅黑" w:hAnsi="微软雅黑" w:eastAsia="微软雅黑" w:cs="微软雅黑"/>
          <w:sz w:val="21"/>
        </w:rPr>
        <w:t>供应商实际成本、应付、预付、付款、扣款和退款已经分别确认。</w:t>
      </w:r>
    </w:p>
    <w:p>
      <w:pPr>
        <w:spacing w:after="60"/>
        <w:ind w:left="418" w:hanging="418"/>
        <w:numPr>
          <w:ilvl w:val="0"/>
          <w:numId w:val="1"/>
        </w:numPr>
      </w:pPr>
      <w:r>
        <w:rPr>
          <w:rFonts w:ascii="微软雅黑" w:hAnsi="微软雅黑" w:eastAsia="微软雅黑" w:cs="微软雅黑"/>
          <w:sz w:val="21"/>
        </w:rPr>
        <w:t>跨法人内部应收应付金额、币种、日期和关联信息一致，集团抵销差异为零。</w:t>
      </w:r>
    </w:p>
    <w:p>
      <w:pPr>
        <w:spacing w:after="60"/>
        <w:ind w:left="418" w:hanging="418"/>
        <w:numPr>
          <w:ilvl w:val="0"/>
          <w:numId w:val="1"/>
        </w:numPr>
      </w:pPr>
      <w:r>
        <w:rPr>
          <w:rFonts w:ascii="微软雅黑" w:hAnsi="微软雅黑" w:eastAsia="微软雅黑" w:cs="微软雅黑"/>
          <w:sz w:val="21"/>
        </w:rPr>
        <w:t>NC财务系统只接收已经生效的经济事项；审批中、待核对和纯业务状态不入账。</w:t>
      </w:r>
    </w:p>
    <w:p>
      <w:pPr>
        <w:spacing w:after="60"/>
        <w:ind w:left="418" w:hanging="418"/>
        <w:numPr>
          <w:ilvl w:val="0"/>
          <w:numId w:val="1"/>
        </w:numPr>
      </w:pPr>
      <w:r>
        <w:rPr>
          <w:rFonts w:ascii="微软雅黑" w:hAnsi="微软雅黑" w:eastAsia="微软雅黑" w:cs="微软雅黑"/>
          <w:sz w:val="21"/>
        </w:rPr>
        <w:t>退款、付款退回、补价、成本调整和跨期事项都有可追溯的反向处理。</w:t>
      </w:r>
    </w:p>
    <w:p>
      <w:pPr>
        <w:spacing w:after="60"/>
        <w:ind w:left="418" w:hanging="418"/>
        <w:numPr>
          <w:ilvl w:val="0"/>
          <w:numId w:val="1"/>
        </w:numPr>
      </w:pPr>
      <w:r>
        <w:rPr>
          <w:rFonts w:ascii="微软雅黑" w:hAnsi="微软雅黑" w:eastAsia="微软雅黑" w:cs="微软雅黑"/>
          <w:sz w:val="21"/>
        </w:rPr>
        <w:t>财务确认结论已经注明适用产品、法人范围、生效日期和确认人，并同步用于系统验收。</w:t>
      </w:r>
    </w:p>
    <w:p>
      <w:pPr>
        <w:spacing w:before="80" w:after="200" w:line="288" w:lineRule="auto"/>
        <w:ind w:left="115" w:right="115"/>
        <w:shd w:val="clear" w:fill="EEF6FF"/>
        <w:pBdr>
          <w:top w:val="single" w:sz="6" w:space="4" w:color="E6D8C8"/>
          <w:left w:val="single" w:sz="6" w:space="4" w:color="E6D8C8"/>
          <w:bottom w:val="single" w:sz="6" w:space="4" w:color="E6D8C8"/>
          <w:right w:val="single" w:sz="6" w:space="4" w:color="E6D8C8"/>
        </w:pBdr>
      </w:pPr>
      <w:r>
        <w:rPr>
          <w:rFonts w:ascii="微软雅黑" w:hAnsi="微软雅黑" w:eastAsia="微软雅黑" w:cs="微软雅黑"/>
          <w:b/>
          <w:sz w:val="20"/>
        </w:rPr>
        <w:t>最终判断：</w:t>
      </w:r>
      <w:r>
        <w:rPr>
          <w:rFonts w:ascii="微软雅黑" w:hAnsi="微软雅黑" w:eastAsia="微软雅黑" w:cs="微软雅黑"/>
          <w:sz w:val="20"/>
        </w:rPr>
        <w:t>系统是否“把账算对”，不以某一张分录能否借贷平衡为终点，而以客户、供应商、内部公司、各法人经营结果、实际资金和NC六个层面能否同时对平为准。</w:t>
      </w:r>
    </w:p>
    <w:p>
      <w:pPr>
        <w:pStyle w:val="dingding-heading2"/>
        <w:keepNext/>
        <w:keepLines/>
      </w:pPr>
      <w:r>
        <w:rPr>
          <w:rFonts w:ascii="微软雅黑" w:hAnsi="微软雅黑" w:eastAsia="微软雅黑" w:cs="微软雅黑"/>
        </w:rPr>
        <w:t>附录：本文依据</w:t>
      </w:r>
    </w:p>
    <w:p>
      <w:pPr>
        <w:spacing w:after="60"/>
        <w:ind w:left="418" w:hanging="418"/>
        <w:numPr>
          <w:ilvl w:val="0"/>
          <w:numId w:val="1"/>
        </w:numPr>
      </w:pPr>
      <w:r>
        <w:rPr>
          <w:rFonts w:ascii="微软雅黑" w:hAnsi="微软雅黑" w:eastAsia="微软雅黑" w:cs="微软雅黑"/>
          <w:sz w:val="21"/>
        </w:rPr>
        <w:t>《表结构 (1).docx》：采用其业务复杂度地图、场景设定、价格拆解、分阶段资金流、会计示意和确认问题的表达方式。</w:t>
      </w:r>
    </w:p>
    <w:p>
      <w:pPr>
        <w:spacing w:after="60"/>
        <w:ind w:left="418" w:hanging="418"/>
        <w:numPr>
          <w:ilvl w:val="0"/>
          <w:numId w:val="1"/>
        </w:numPr>
      </w:pPr>
      <w:r>
        <w:rPr>
          <w:rFonts w:ascii="微软雅黑" w:hAnsi="微软雅黑" w:eastAsia="微软雅黑" w:cs="微软雅黑"/>
          <w:sz w:val="21"/>
        </w:rPr>
        <w:t>《业财场景确认手册01—02》：采用端到端案例、三段交易、多主体结算和反算规则。</w:t>
      </w:r>
    </w:p>
    <w:p>
      <w:pPr>
        <w:spacing w:after="60"/>
        <w:ind w:left="418" w:hanging="418"/>
        <w:numPr>
          <w:ilvl w:val="0"/>
          <w:numId w:val="1"/>
        </w:numPr>
      </w:pPr>
      <w:r>
        <w:rPr>
          <w:rFonts w:ascii="微软雅黑" w:hAnsi="微软雅黑" w:eastAsia="微软雅黑" w:cs="微软雅黑"/>
          <w:sz w:val="21"/>
        </w:rPr>
        <w:t>《业财底座01—07》及《财务流程01》：采用主体责任、收付款、预收预付、应收应付、NC和关账原则。</w:t>
      </w:r>
    </w:p>
    <w:p>
      <w:pPr>
        <w:spacing w:after="60"/>
        <w:ind w:left="418" w:hanging="418"/>
        <w:numPr>
          <w:ilvl w:val="0"/>
          <w:numId w:val="1"/>
        </w:numPr>
      </w:pPr>
      <w:r>
        <w:rPr>
          <w:rFonts w:ascii="微软雅黑" w:hAnsi="微软雅黑" w:eastAsia="微软雅黑" w:cs="微软雅黑"/>
          <w:sz w:val="21"/>
        </w:rPr>
        <w:t>本文对附件示例数字进行了重新验算；凡与附件示例结论不同之处，以本文列明的等式和财务最终确认结果为准。</w:t>
      </w:r>
    </w:p>
    <w:sectPr>
      <w:pgSz w:w="13380" w:h="16905"/>
      <w:pgMar w:top="720" w:right="1080" w:bottom="720" w:left="1080" w:header="850.95" w:footer="991.95" w:gutter="0"/>
      <w:type w:val="nextPage"/>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lvl w:ilvl="0">
      <w:start w:val="1"/>
      <w:numFmt w:val="bullet"/>
      <w:lvlText w:val="●"/>
      <w:lvlJc w:val="left"/>
      <w:pPr>
        <w:ind w:left="420" w:hanging="420"/>
      </w:pPr>
      <w:r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xmlns:sl="http://schemas.openxmlformats.org/schemaLibrary/2006/main" mc:Ignorable="w14 w15 w16se w16cid">
  <w:displayBackgroundShape/>
  <w:bordersDoNotSurroundFooter/>
  <w:bordersDoNotSurroundHead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rFonts w:asciiTheme="minorHAnsi" w:hAnsiTheme="minorHAnsi" w:cstheme="minorBidi" w:eastAsiaTheme="minorEastAsia"/>
        <w:kern w:val="2"/>
      </w:rPr>
    </w:rPrDefault>
    <w:pPrDefault/>
  </w:docDefaults>
  <w:style w:type="table" w:default="0" w:styleId="TableGrid">
    <w:name w:val="Table Grid"/>
    <w:basedOn w:val="Normal Table"/>
    <w:tblPr>
      <w:tblBorders>
        <w:left w:val="single" w:sz="6" w:space="0" w:color="000000"/>
        <w:right w:val="single" w:sz="6" w:space="0" w:color="000000"/>
        <w:top w:val="single" w:sz="6" w:space="0" w:color="000000"/>
        <w:bottom w:val="single" w:sz="6" w:space="0" w:color="000000"/>
        <w:insideH w:val="single" w:sz="6" w:space="0" w:color="000000"/>
        <w:insideV w:val="single" w:sz="6" w:space="0" w:color="000000"/>
      </w:tblBorders>
      <w:tblW w:w="0" w:type="auto"/>
    </w:tblPr>
    <w:tcPr/>
  </w:style>
  <w:style w:type="paragraph" w:default="0" w:styleId="dingding-heading1">
    <w:name w:val="heading 1"/>
    <w:basedOn w:val="NormalParagraph"/>
    <w:tcPr/>
    <w:pPr>
      <w:keepLines w:val="1"/>
      <w:keepNext w:val="1"/>
      <w:spacing w:before="348" w:after="210" w:lineRule="auto"/>
    </w:pPr>
    <w:rPr>
      <w:sz w:val="34"/>
      <w:rFonts w:ascii="微软雅黑" w:hAnsi="微软雅黑" w:eastAsia="微软雅黑" w:cs="微软雅黑"/>
      <w:b w:val="1"/>
    </w:rPr>
  </w:style>
  <w:style w:type="paragraph" w:default="0" w:styleId="dingding-heading2">
    <w:name w:val="heading 2"/>
    <w:basedOn w:val="NormalParagraph"/>
    <w:tcPr/>
    <w:pPr>
      <w:keepLines w:val="1"/>
      <w:keepNext w:val="1"/>
      <w:spacing w:before="348" w:after="190" w:lineRule="auto"/>
    </w:pPr>
    <w:rPr>
      <w:sz w:val="28"/>
      <w:rFonts w:ascii="微软雅黑" w:hAnsi="微软雅黑" w:eastAsia="微软雅黑" w:cs="微软雅黑"/>
      <w:b w:val="1"/>
    </w:rPr>
  </w:style>
  <w:style w:type="paragraph" w:default="0" w:styleId="dingding-heading3">
    <w:name w:val="heading 3"/>
    <w:basedOn w:val="NormalParagraph"/>
    <w:tcPr/>
    <w:pPr>
      <w:keepLines w:val="1"/>
      <w:keepNext w:val="1"/>
      <w:spacing w:before="348" w:after="170" w:lineRule="auto"/>
    </w:pPr>
    <w:rPr>
      <w:sz w:val="22"/>
      <w:rFonts w:ascii="微软雅黑" w:hAnsi="微软雅黑" w:eastAsia="微软雅黑" w:cs="微软雅黑"/>
      <w:b w:val="1"/>
    </w:rPr>
  </w:style>
  <w:style w:type="paragraph" w:default="0" w:styleId="dingding_code">
    <w:name w:val="钉钉文档代码块"/>
    <w:tcPr/>
  </w:style>
  <w:style w:type="paragraph" w:default="0" w:styleId="dingding_quote">
    <w:name w:val="钉钉文档引用"/>
    <w:tcPr/>
    <w:pPr>
      <w:pBdr>
        <w:left w:val="single" w:sz="30" w:space="9" w:color="F0F0F0"/>
      </w:pBdr>
    </w:pPr>
    <w:rPr>
      <w:sz w:val="22"/>
      <w:rFonts w:ascii="微软雅黑" w:hAnsi="微软雅黑" w:cs="微软雅黑" w:eastAsia="微软雅黑"/>
      <w:color w:val="ADADAD"/>
      <w:kern w:val="0"/>
    </w:rPr>
  </w:style>
  <w:style w:type="paragraph" w:default="1" w:styleId="docDefaults">
    <w:name w:val="dingdocnormal"/>
    <w:tcPr/>
    <w:pPr>
      <w:spacing/>
    </w:pPr>
    <w:rPr>
      <w:rFonts w:ascii="微软雅黑" w:hAnsi="微软雅黑" w:eastAsia="微软雅黑" w:cs="微软雅黑"/>
      <w:sz w:val="24"/>
    </w:rPr>
  </w:style>
  <w:style w:type="table" w:default="0" w:styleId="tableDefault">
    <w:name w:val=""/>
    <w:tblPr>
      <w:tblStyle w:val="TableGrid"/>
      <w:tblBorders>
        <w:left w:val="single" w:sz="6" w:space="0" w:color="D6D6D6"/>
        <w:right w:val="single" w:sz="6" w:space="0" w:color="D6D6D6"/>
        <w:top w:val="single" w:sz="6" w:space="0" w:color="D6D6D6"/>
        <w:bottom w:val="single" w:sz="6" w:space="0" w:color="D6D6D6"/>
        <w:insideH w:val="single" w:sz="6" w:space="0" w:color="D6D6D6"/>
        <w:insideV w:val="single" w:sz="6" w:space="0" w:color="D6D6D6"/>
      </w:tblBorders>
      <w:tblW w:w="0" w:type="auto"/>
    </w:tblPr>
    <w:tcPr/>
  </w:style>
  <w:style w:type="table" w:default="0" w:styleId="tableHeader">
    <w:name w:val=""/>
    <w:basedOn w:val="tableDefault"/>
    <w:tcPr/>
    <w:tblStylePr w:type="firstRow">
      <w:tcPr>
        <w:shd w:val="clear" w:color="" w:fill="F5F6F7"/>
      </w:tcPr>
    </w:tblStylePr>
    <w:tblStylePr w:type="firstCol">
      <w:tcPr>
        <w:shd w:val="clear" w:color="" w:fill="F5F6F7"/>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凯撒旅游SaaS项目组</dc:creator>
  <cp:lastModifiedBy>DingTalk</cp:lastModifiedBy>
  <dcterms:modified xsi:type="dcterms:W3CDTF">1970-01-01T00:00:00Z</dcterms:modified>
  <cp:revision>1</cp:revision>
  <dc:description>依据表结构附件的场景分析方法形成；金额及会计口径待集团财务逐项确认。</dc:description>
  <dc:language>ZN_CH</dc:language>
  <dc:title>凯撒旅游集团化业财一体：系统设计、金额计算与财务核算确认稿</dc:title>
  <dc:subject>面向集团财务的业财系统设计与计算口径确认</dc:subject>
  <cp:keywords>旅游SaaS, 业财一体, 财务确认, 应收应付, 结算, NC</cp:keywords>
</cp:coreProperties>
</file>