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 w:eastAsia="PingFang SC"/>
          <w:b/>
          <w:color w:val="607D8B"/>
          <w:sz w:val="24"/>
        </w:rPr>
        <w:t>业财底座08</w:t>
      </w:r>
    </w:p>
    <w:p>
      <w:pPr>
        <w:spacing w:after="100"/>
      </w:pPr>
      <w:r>
        <w:rPr>
          <w:rFonts w:ascii="Calibri" w:hAnsi="Calibri" w:eastAsia="PingFang SC"/>
          <w:b/>
          <w:color w:val="1F4D78"/>
          <w:sz w:val="46"/>
        </w:rPr>
        <w:t>订单生成时的业财计算底表（图解版）</w:t>
      </w:r>
    </w:p>
    <w:p>
      <w:r>
        <w:rPr>
          <w:rFonts w:ascii="Calibri" w:hAnsi="Calibri" w:eastAsia="PingFang SC"/>
          <w:color w:val="263238"/>
          <w:sz w:val="22"/>
        </w:rPr>
        <w:t>按原文结构重排：用流程图、分流图、泳道关系和核对表表达订单生成时必须完成的底层业财计算。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6"/>
            <w:vAlign w:val="center"/>
            <w:shd w:fill="EAF2F8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</w:r>
            <w:r>
              <w:rPr>
                <w:rFonts w:ascii="Calibri" w:hAnsi="Calibri" w:eastAsia="PingFang SC"/>
                <w:b/>
                <w:color w:val="1F4D78"/>
                <w:sz w:val="21"/>
              </w:rPr>
              <w:t>阅读口径：</w:t>
            </w:r>
            <w:r>
              <w:rPr>
                <w:rFonts w:ascii="Calibri" w:hAnsi="Calibri" w:eastAsia="PingFang SC"/>
                <w:color w:val="263238"/>
                <w:sz w:val="21"/>
              </w:rPr>
              <w:t>本图解版不替换原文的业务判断，只把原文的十二章结构可视化；核心仍是订单生成时算清基准，后续事实发生后再确认。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版本：v0.1（业务与财务共同确认稿）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编写日期：2026年8月29日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场景依据：集团财务确认材料中的25个案例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上游依据：业财底座01：多主体交易关系与核算责任基线、业财底座03：财务业务对象与数据关系</w:t>
      </w:r>
    </w:p>
    <w:p>
      <w:pPr>
        <w:pStyle w:val="Heading1"/>
      </w:pPr>
      <w:r>
        <w:t>一、这份底表解决什么问题</w:t>
      </w:r>
    </w:p>
    <w:p>
      <w:pPr>
        <w:spacing w:before="60" w:after="60"/>
      </w:pPr>
      <w:r>
        <w:drawing>
          <wp:inline xmlns:a="http://schemas.openxmlformats.org/drawingml/2006/main" xmlns:pic="http://schemas.openxmlformats.org/drawingml/2006/picture">
            <wp:extent cx="6172200" cy="3008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und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PingFang SC"/>
          <w:color w:val="607D8B"/>
          <w:sz w:val="18"/>
        </w:rPr>
        <w:t>图：一、这份底表解决什么问题的业务表达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每张订单生成时，系统都要根据客户合同、产品来源、出行日期或团期、销售渠道、收款方式、履约责任、采购关系和结算规则，形成一份完整的“订单业财计算底表”。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业务人员可以把它理解为订单的“出生证明”：它说明这张订单是谁对客户负责、客户按什么价格成交、钱由谁收、预计要向谁结算、涉及哪些法人、按当前规则预计能形成多少经营结果，以及后续每项金额在什么条件下才能正式生效。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但这份底表不是会计凭证，也不是把未来事实提前做成已发生结果。订单生成时可以算出合同约定金额、预计成本、预计佣金、预计内部结算和收付款计划；实际收款、实际履约、实际成本、供应商账单、应收、应付、退款、付款、汇兑差额、收入确认和 NC（集团现用财务核算系统）凭证，仍要在相应事实发生并确认后形成。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因此，准确的产品目标不是“订单生成时把后续财务结果全部确认完，后面照表抄数”，而是：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6"/>
            <w:vAlign w:val="center"/>
            <w:shd w:fill="FFF7E0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</w:r>
            <w:r>
              <w:rPr>
                <w:rFonts w:ascii="Calibri" w:hAnsi="Calibri" w:eastAsia="PingFang SC"/>
                <w:b/>
                <w:color w:val="8A6D1D"/>
                <w:sz w:val="21"/>
              </w:rPr>
              <w:t>核心口径：</w:t>
            </w:r>
            <w:r>
              <w:rPr>
                <w:rFonts w:ascii="Calibri" w:hAnsi="Calibri" w:eastAsia="PingFang SC"/>
                <w:color w:val="263238"/>
                <w:sz w:val="21"/>
              </w:rPr>
              <w:t>订单生成时把交易责任、金额来源、预计去向和后续生效条件一次算清；后续收款、履约、结算和财务环节以此为基准，按实际发生进行确认、核销和调整，不重复计算，也不覆盖原始事实。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本文所称“法人”，是可以独立签合同、收付款、开票和记账的公司；“应收”是客户、渠道或内部单位已经欠本公司的款项，“应付”是本公司已经欠供应商、渠道或内部单位的款项；“预收”是已经收到但尚未完成履约或尚未对应应收的客户款，“预付”是已经付出但尚未形成可核销应付的供应商款；“核销”是用一笔有效收付款、预收、预付或获准抵销金额，抵减一笔已经成立的应收或应付。</w:t>
      </w:r>
    </w:p>
    <w:p>
      <w:pPr>
        <w:pStyle w:val="Heading1"/>
      </w:pPr>
      <w:r>
        <w:t>二、这张订单在全系统链路中的位置</w:t>
      </w:r>
    </w:p>
    <w:p>
      <w:pPr>
        <w:spacing w:before="60" w:after="60"/>
      </w:pPr>
      <w:r>
        <w:drawing>
          <wp:inline xmlns:a="http://schemas.openxmlformats.org/drawingml/2006/main" xmlns:pic="http://schemas.openxmlformats.org/drawingml/2006/picture">
            <wp:extent cx="6172200" cy="2623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23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PingFang SC"/>
          <w:color w:val="607D8B"/>
          <w:sz w:val="18"/>
        </w:rPr>
        <w:t>图：二、这张订单在全系统链路中的位置的业务表达</w:t>
      </w:r>
    </w:p>
    <w:p>
      <w:pPr>
        <w:pStyle w:val="Heading2"/>
      </w:pPr>
      <w:r>
        <w:t>1. 上游从哪里来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订单生成前，系统已经应当取得以下业务依据：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产品或服务由谁提供，是本公司自营、集团内采购还是体系外采购；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具体团期、航次、班期、营期、出行日期或项目阶段；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面向客户的价格、儿童或单房差等价格项目、可用优惠及退改规则；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渠道合同、佣金规则、代收方式、账期、预存或授信规则；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供应商合同、采购价格、资源批次、固定资源分摊规则和付款节点；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集团内部产品提供关系、内部结算价和双方责任；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主要责任方或代理方的批准口径。主要责任方是向客户承担主要履约责任的一方；代理方只撮合或代办，并按佣金、服务费等净额取得收入。</w:t>
      </w:r>
    </w:p>
    <w:p>
      <w:pPr>
        <w:pStyle w:val="Heading2"/>
      </w:pPr>
      <w:r>
        <w:t>2. 谁使用这份底表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角色</w:t>
            </w:r>
          </w:p>
        </w:tc>
        <w:tc>
          <w:tcPr>
            <w:tcW w:type="dxa" w:w="496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在订单生成时最关心什么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销售顾问、门店或渠道运营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客户应付多少、收款节点是什么、优惠是否有效、订单能否提交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产品经理、计调和团控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订单消耗哪个团期或资源、预计成本是否完整、是否超过名额或预算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渠道结算人员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由谁代收、佣金多少、全额上缴还是扣佣上缴、何时对账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采购和资源人员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向谁采购、按什么数量和价格结算、是否来自固定资源或采购批次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财务人员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哪个法人拥有客户债权、哪个法人承担供应商债务、是否存在跨法人结算、哪些金额只是预计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审批人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折扣、低毛利、超授信、跨法人价格、特殊结算和例外依据是否合规</w:t>
            </w:r>
          </w:p>
        </w:tc>
      </w:tr>
    </w:tbl>
    <w:p>
      <w:pPr>
        <w:spacing w:after="40"/>
      </w:pPr>
    </w:p>
    <w:p>
      <w:pPr>
        <w:pStyle w:val="Heading2"/>
      </w:pPr>
      <w:r>
        <w:t>3. 下游交给谁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订单生成后，这份底表分别为合同、收款计划、渠道结算、团期执行、成本确认、供应商对账、内部结算、售后、业务结算和会计处理提供初始依据。真正的财务确认和 NC 推送仍由财务模块承接，不能在订单页面提前形成已确认应收、应付、付款或凭证。</w:t>
      </w:r>
    </w:p>
    <w:p>
      <w:pPr>
        <w:pStyle w:val="Heading1"/>
      </w:pPr>
      <w:r>
        <w:t>三、先把四类金额分开</w:t>
      </w:r>
    </w:p>
    <w:p>
      <w:pPr>
        <w:spacing w:before="60" w:after="60"/>
      </w:pPr>
      <w:r>
        <w:drawing>
          <wp:inline xmlns:a="http://schemas.openxmlformats.org/drawingml/2006/main" xmlns:pic="http://schemas.openxmlformats.org/drawingml/2006/picture">
            <wp:extent cx="6172200" cy="2931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mou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PingFang SC"/>
          <w:color w:val="607D8B"/>
          <w:sz w:val="18"/>
        </w:rPr>
        <w:t>图：三、先把四类金额分开的业务表达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同一个金额在不同阶段代表的事实不同。底表中的每一项金额都必须标明属于哪一类，不能只保存一个金额和一个“已完成”状态。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金额性质</w:t>
            </w:r>
          </w:p>
        </w:tc>
        <w:tc>
          <w:tcPr>
            <w:tcW w:type="dxa" w:w="248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业务含义</w:t>
            </w:r>
          </w:p>
        </w:tc>
        <w:tc>
          <w:tcPr>
            <w:tcW w:type="dxa" w:w="248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订单生成时能否出现</w:t>
            </w:r>
          </w:p>
        </w:tc>
        <w:tc>
          <w:tcPr>
            <w:tcW w:type="dxa" w:w="248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典型例子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已约定金额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合同、协议或已生效规则已经明确的金额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可以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客户合同金额、已锁定内部结算价、固定渠道佣金规则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预计金额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按当前人数、数量、价格和规则测算，后续可能变化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可以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预计资源成本、预计员工提成、预计经营结果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计划金额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约定未来在某个节点收或付的金额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可以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定金计划、尾款计划、供应商预付计划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已发生金额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已有到账、履约、账单、审批或银行结果支持的金额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不能由订单计算直接生成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实际收款、实际成本、客户退款、供应商付款、汇兑差额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已确认金额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经业务或财务确认，已影响债权债务、结算或会计结果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不能仅因订单生成而成立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应收、应付、收入确认、成本结转、内部结算确认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已核销金额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一笔有效收付款、预收或预付已经抵减了某笔往来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不能由订单生成时预设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收款核销、预付冲抵、付款核销、抵销核销</w:t>
            </w:r>
          </w:p>
        </w:tc>
      </w:tr>
    </w:tbl>
    <w:p>
      <w:pPr>
        <w:spacing w:after="40"/>
      </w:pP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订单生成时主要形成前三类。后三类必须由后续真实业务和财务记录产生。</w:t>
      </w:r>
    </w:p>
    <w:p>
      <w:pPr>
        <w:pStyle w:val="Heading1"/>
      </w:pPr>
      <w:r>
        <w:t>四、一份底表由哪些业务内容组成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业务页面可以把以下内容集中展示为一份完整底表，但不应把所有内容压成一行或一个总数。每一项优惠、成本、结算关系、收付款计划和法人结果都应保留明细。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业务内容</w:t>
            </w:r>
          </w:p>
        </w:tc>
        <w:tc>
          <w:tcPr>
            <w:tcW w:type="dxa" w:w="496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回答的问题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订单和交易责任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谁和客户签约，谁承担履约，谁采购，谁收款，谁开票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客户成交与优惠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客户为什么应付这些钱，优惠由谁承担，公司最终有权取得多少金额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收款和资金去向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钱由谁收，采用直收、代收、月结、预存还是授信，预计怎样结回公司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预计成本和供应商结算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预计使用哪些资源、由哪个法人采购、按什么数量和价格结算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渠道佣金、员工提成和其他真实费用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哪些会形成对外费用或对员工的真实支付责任，何时才生效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集团内部结算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哪个法人向哪个法人采购，双方对应的内部应收和内部应付是多少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各法人预计经营结果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每个法人按当前规则预计取得什么收入基础、承担什么成本费用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集团对外预计结果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抵销集团内部收入和内部成本后，对外交易预计留下多少经营结果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后续执行和确认条件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未来何时收款、履约、结算、付款，以及哪些事实满足后才能进入财务</w:t>
            </w:r>
          </w:p>
        </w:tc>
      </w:tr>
    </w:tbl>
    <w:p>
      <w:pPr>
        <w:spacing w:after="40"/>
      </w:pPr>
    </w:p>
    <w:p>
      <w:pPr>
        <w:pStyle w:val="Heading1"/>
      </w:pPr>
      <w:r>
        <w:t>五、订单生成时的具体计算顺序</w:t>
      </w:r>
    </w:p>
    <w:p>
      <w:pPr>
        <w:spacing w:before="60" w:after="60"/>
      </w:pPr>
      <w:r>
        <w:drawing>
          <wp:inline xmlns:a="http://schemas.openxmlformats.org/drawingml/2006/main" xmlns:pic="http://schemas.openxmlformats.org/drawingml/2006/picture">
            <wp:extent cx="6172200" cy="3549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e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PingFang SC"/>
          <w:color w:val="607D8B"/>
          <w:sz w:val="18"/>
        </w:rPr>
        <w:t>图：五、订单生成时的具体计算顺序的业务表达</w:t>
      </w:r>
    </w:p>
    <w:p>
      <w:pPr>
        <w:pStyle w:val="Heading2"/>
      </w:pPr>
      <w:r>
        <w:t>第一步：确定交易各方和财务责任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系统先确定“谁对谁负责”，再计算金额。不能先看钱进了谁的账户，就倒推出收入和成本属于谁。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必须确定的内容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业务含义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确定依据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对客签约法人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与客户签订合同并承担合同权利义务的公司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客户合同、订单所属公司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主要履约责任法人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对客户承担主要交付、退款和服务责任的公司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产品模式、合同条款和已批准的主要责任方判断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收入测算归属法人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后续收入确认应由哪个法人判断和承接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对客合同、主要责任方判断，不由收款账户单独决定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外部采购法人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与外部供应商签订采购合同并承担应付责任的公司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采购合同和资源来源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内部产品提供法人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集团内部实际向销售法人提供产品或服务的公司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内部产品关系和结算协议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客户款实际收取单位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客户的钱预计进入本公司、门店、平台还是集团资金管理主体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收款方式和代收协议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客户退款责任法人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售后成立后由谁向客户承担退款责任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对客合同和售后条款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对客开票法人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后续由哪个法人按批准口径向客户开票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合同、税务和开票规则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渠道结算方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门店、在线旅游平台、分销商或企业客户由谁与我方结算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渠道合同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销售和业务归属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哪个门店、销售人员、产品部门、团期或项目承接本单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组织和绩效规则</w:t>
            </w:r>
          </w:p>
        </w:tc>
      </w:tr>
    </w:tbl>
    <w:p>
      <w:pPr>
        <w:spacing w:after="40"/>
      </w:pP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系统还要同时保存客户、合同客户、实际付款人和出行人。四者可能不同，不能因为付款人不是游客就改写客户合同关系。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以下情况不能按默认规则直接通过：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对客签约法人和主要履约责任法人不一致，但没有集团内部供给或委托关系；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订单显示本公司是主要责任方，却没有任何本公司或内部产品提供方承担履约；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收款进入另一法人账户，却没有代收协议和内部资金清算路径；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产品被标记为代理销售，但系统仍按客户全款测算本公司收入；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集团内采购只有一个“结算价”，却没有说明是哪两个法人之间的价格。</w:t>
      </w:r>
    </w:p>
    <w:p>
      <w:pPr>
        <w:pStyle w:val="Heading2"/>
      </w:pPr>
      <w:r>
        <w:t>第二步：算清客户成交金额和每项优惠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客户侧不能只保存“原价、优惠后价”两个总数。系统至少要保留以下明细：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金额项目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业务含义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主要计算或来源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标准报价合计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按成人、儿童、房型、舱型、铺位、单项服务等标准价格计算的参考金额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各价格项目的数量乘单价后汇总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订单加价和减价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单房差、升级、附加服务、人工改价等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逐项记录原因、金额和批准人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客户约定成交金额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客户合同或订单最终约定的交易金额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标准报价加减订单调整后，结合合同确定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客户现金应付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客户本次需要通过现金、银行卡、支付平台等实际支付的金额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客户约定金额扣除获准使用的非现金权益或第三方代付部分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客户非现金结算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预存、积分、经批准抵销等不形成当期银行到账的金额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逐项记录来源账户和使用规则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第三方补偿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门店、平台、供应商或活动方因优惠向本公司补偿的金额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活动协议和承担规则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本公司承担优惠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最终由本公司承担、没有外部补偿的让利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每项优惠的承担法人和部门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公司预计可取得的订单金额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按当前合同和活动规则，公司预计有权从客户及外部承担方取得的金额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客户约定成交金额加经合同认可的第三方补偿；本公司承担优惠是否已进入成交金额，按批准口径处理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可退押金或保证金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客户另行缴纳、满足条件后需要退还的金额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押金或保证金协议，单独记录，不并入普通团款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代收代付金额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本公司只代第三方收取并转付的款项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主要责任方或代理方判断及合同拆分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服务费或佣金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本公司作为代理方或代办方实际取得的报酬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合同明确的服务费、佣金或价差规则</w:t>
            </w:r>
          </w:p>
        </w:tc>
      </w:tr>
    </w:tbl>
    <w:p>
      <w:pPr>
        <w:spacing w:after="40"/>
      </w:pPr>
    </w:p>
    <w:p>
      <w:pPr>
        <w:pStyle w:val="Heading3"/>
      </w:pPr>
      <w:r>
        <w:t>客户侧的平衡关系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客户约定成交金额应能由客户现金应付、客户非现金结算和经合同认可的其他结算方式解释。第三方承担的优惠必须另行形成对第三方的预计结算，不得伪装成客户现金，也不得与本公司承担优惠混为一项。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例如，产品展示价10,000元，公司承担优惠500元、门店承担300元、平台承担200元，客户现金支付9,000元。如果门店和平台按协议分别补给公司300元和200元，则公司预计可取得的订单金额为9,500元；剩余500元是本公司承担的优惠。系统必须同时保留10,000元展示价、9,000元客户现金、500元第三方补偿和500元本公司承担优惠，不能只保存9,500元净额。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“展示价”只是营销参考，不一定是客户合同金额；“客户现金实付”只是付款方式的一部分，也不一定等于收入测算基础。系统不得把以下金额强行设为相等：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展示价与客户合同金额；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客户合同金额与公司银行到账；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客户现金实付与公司最终有权取得的全部金额；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客户收款与会计收入。</w:t>
      </w:r>
    </w:p>
    <w:p>
      <w:pPr>
        <w:pStyle w:val="Heading3"/>
      </w:pPr>
      <w:r>
        <w:t>主要责任方和代理方的收入测算基础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业务模式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订单生成时的收入测算基础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不能混入的金额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本公司为主要责任方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18"/>
              </w:rPr>
              <w:t>按公司有权从客户和外部承担方取得的订单金额测算，具体是否扣除公司优惠、税额及其他项目由财务批准口径决定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可退押金、纯代收代付款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本公司为代理方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只按本公司有权取得的佣金、服务费或批准价差测算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应转付主要服务提供方的客户款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同一订单同时包含两种模式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按服务项目分别判断和计算，不能整单只选一个结果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不得用一个净额比例粗略拆分全部服务</w:t>
            </w:r>
          </w:p>
        </w:tc>
      </w:tr>
    </w:tbl>
    <w:p>
      <w:pPr>
        <w:spacing w:after="40"/>
      </w:pP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这里计算的是“收入测算基础”，不是订单生成时已经确认会计收入。实际确认日期还要由履约事实和财务政策决定。</w:t>
      </w:r>
    </w:p>
    <w:p>
      <w:pPr>
        <w:pStyle w:val="Heading2"/>
      </w:pPr>
      <w:r>
        <w:t>第三步：算清客户的钱由谁收、怎样结回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收款路径只决定资金经过哪里，不改变客户债权和收入归属。每张订单应先生成收款计划和预计结算路径，不生成虚假的实际到账。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收款方式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订单生成时应计算的内容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后续实际发生后再确认的内容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公司直收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定金、尾款、各节点应收金额和预计收款账户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银行到账、认款、收款和核销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门店全额代收后上缴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门店应代收多少、应全额上缴多少、佣金另行支付多少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门店实收、实际上缴和佣金实际支付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门店扣佣后净额上缴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门店代收额、允许留存佣金、预计净上缴额和抵销依据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实际净到账及佣金抵销确认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在线旅游平台月结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有效订单金额、预计佣金、补贴、保证金留存和账期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平台账单、退款、拒付、实际打款和差异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分销商账期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渠道结算价、付款节点、授信占用和预计应收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渠道账单、实际回款、逾期和减值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门店或客户预存扣款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本单应冻结或扣减的预存金额、适用账户和条件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实际冻结、扣减、解冻和退款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集团集中代收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资金管理主体预计代收金额、业务归属法人和内部资金清算路径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真实到账及各法人的内部资金往来</w:t>
            </w:r>
          </w:p>
        </w:tc>
      </w:tr>
    </w:tbl>
    <w:p>
      <w:pPr>
        <w:spacing w:after="40"/>
      </w:pPr>
    </w:p>
    <w:p>
      <w:pPr>
        <w:pStyle w:val="Heading3"/>
      </w:pPr>
      <w:r>
        <w:t>净额上缴和平台月结的计算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门店或平台预计应结金额，应从订单有效交易逐项计算：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6"/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</w:r>
            <w:r>
              <w:rPr>
                <w:rFonts w:ascii="Calibri" w:hAnsi="Calibri" w:eastAsia="PingFang SC"/>
                <w:b/>
                <w:color w:val="1F4D78"/>
                <w:sz w:val="21"/>
              </w:rPr>
              <w:t>计算关系：</w:t>
            </w:r>
            <w:r>
              <w:rPr>
                <w:rFonts w:ascii="Calibri" w:hAnsi="Calibri" w:eastAsia="PingFang SC"/>
                <w:color w:val="263238"/>
                <w:sz w:val="21"/>
              </w:rPr>
              <w:t>预计渠道结算金额</w:t>
              <w:br/>
              <w:t>= 渠道代收的有效客户款</w:t>
              <w:br/>
              <w:t>- 已约定由渠道执行的客户退款</w:t>
              <w:br/>
              <w:t>- 合同允许渠道留存的佣金或服务费</w:t>
              <w:br/>
              <w:t>+ 渠道承担并应补给公司的活动金额</w:t>
              <w:br/>
              <w:t>- 合同允许暂时留存的保证金或其他款项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其中佣金、补贴、退款和保证金必须分别保存。系统不能只保存一个净额，也不能因为预计净到账少于客户交易金额，就把差额都叫“佣金”。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预存扣款时，本单预计银行到账可以为零，但必须生成预存账户的冻结或扣减计划；授信订单可以暂时没有收款，但必须检查授信额度和账期。预存和授信是两种不同关系，不能混用。</w:t>
      </w:r>
    </w:p>
    <w:p>
      <w:pPr>
        <w:pStyle w:val="Heading2"/>
      </w:pPr>
      <w:r>
        <w:t>第四步：按资源和责任法人计算预计成本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订单生成时形成的是预计成本和预计结算依据。实际成本要等资源实际使用、服务完成、出票、损耗确认或项目验收等事实发生后再确认。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每一项预计成本至少要说明：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成本内容</w:t>
            </w:r>
          </w:p>
        </w:tc>
        <w:tc>
          <w:tcPr>
            <w:tcW w:type="dxa" w:w="496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必须记录的业务含义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成本项目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交通、酒店、餐饮、门票、地接、导游、保险、签证、会务、舱位、铺位等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提供方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具体外部供应商、集团内部公司、资源批次或现场经办人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采购法人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与提供方签约并承担付款责任的法人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归属对象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归哪个订单、团期、航次、班期、营期、项目或出行日期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数量和计价单位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人、间夜、张票、舱、铺位、车次、场次或项目阶段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原价和调整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合同采购价、折扣、返还、退改费及其他价款调整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结算币种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供应商实际要求使用的币种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订单测算汇率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仅用于报价和预计成本的汇率及来源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预计成本金额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按当前数量、单价、折扣和汇率算出的金额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价格确定程度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已锁定合同价、按规则计算价、预算价或待供应商确认价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结算和付款条件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何时确认成本、何时形成应付、预付多少、尾款何时付</w:t>
            </w:r>
          </w:p>
        </w:tc>
      </w:tr>
    </w:tbl>
    <w:p>
      <w:pPr>
        <w:spacing w:after="40"/>
      </w:pPr>
    </w:p>
    <w:p>
      <w:pPr>
        <w:pStyle w:val="Heading3"/>
      </w:pPr>
      <w:r>
        <w:t>不同产品来源的成本归属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产品来源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销售法人订单中的预计成本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其他法人需要形成的计算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本公司自营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本公司直接承担的各项外部资源预计成本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无跨法人内部结算；同法人部门贡献另算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体系外采购且本公司为主要责任方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本公司与外部供应商约定的采购结算金额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外部供应商不进入集团法人计算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集团内采购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销售法人按内部结算价计算内部采购成本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产品提供法人按同额计算内部收入基础，并另算其外部资源成本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代理销售或代收代付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应转付主要服务提供方的金额作为代收代付或结算往来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本公司只按佣金或服务费计算收入，不把代付款伪装成采购成本</w:t>
            </w:r>
          </w:p>
        </w:tc>
      </w:tr>
    </w:tbl>
    <w:p>
      <w:pPr>
        <w:spacing w:after="40"/>
      </w:pPr>
    </w:p>
    <w:p>
      <w:pPr>
        <w:pStyle w:val="Heading3"/>
      </w:pPr>
      <w:r>
        <w:t>固定资源和采购批次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邮轮包舱、专列包位、包机切位和自由行批量采购，供应商成本先属于资源批次，再按实际占用或已批准规则分给订单、团期或出行日期。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订单生成时可以按已占用数量计算“本单预计分摊成本”，但不能让每张订单都重新形成一笔完整供应商应付。资源批次总成本应始终满足：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6"/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</w:r>
            <w:r>
              <w:rPr>
                <w:rFonts w:ascii="Calibri" w:hAnsi="Calibri" w:eastAsia="PingFang SC"/>
                <w:b/>
                <w:color w:val="1F4D78"/>
                <w:sz w:val="21"/>
              </w:rPr>
              <w:t>计算关系：</w:t>
            </w:r>
            <w:r>
              <w:rPr>
                <w:rFonts w:ascii="Calibri" w:hAnsi="Calibri" w:eastAsia="PingFang SC"/>
                <w:color w:val="263238"/>
                <w:sz w:val="21"/>
              </w:rPr>
              <w:t>资源批次总成本</w:t>
              <w:br/>
              <w:t>= 已分配给订单或团期的金额</w:t>
              <w:br/>
              <w:t>+ 尚可继续使用的资源金额</w:t>
              <w:br/>
              <w:t>+ 可向供应商退回的金额</w:t>
              <w:br/>
              <w:t>+ 已确认不可退的未售损耗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未到释放截止日时，剩余资源只是待分配或可退资源，不能提前当作订单损失。</w:t>
      </w:r>
    </w:p>
    <w:p>
      <w:pPr>
        <w:pStyle w:val="Heading3"/>
      </w:pPr>
      <w:r>
        <w:t>外币成本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订单生成时保存供应商原币金额、测算汇率和预计本位币金额。后续实际成本确认汇率、期末重估汇率、付款汇率、银行手续费和汇兑差额分别记录。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例如，供应商合同为20,000欧元，订单生成时可以按当前预算汇率测算成本；但服务完成时的7.80确认汇率、付款时的7.90汇率以及由此形成的2,000元汇兑损失，不能在订单出生时预先写成已发生结果。</w:t>
      </w:r>
    </w:p>
    <w:p>
      <w:pPr>
        <w:pStyle w:val="Heading2"/>
      </w:pPr>
      <w:r>
        <w:t>第五步：分开计算优惠、渠道佣金、员工提成和部门贡献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这四类金额经常都被叫作“分成”或“费用”，但财务性质完全不同。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金额类型</w:t>
            </w:r>
          </w:p>
        </w:tc>
        <w:tc>
          <w:tcPr>
            <w:tcW w:type="dxa" w:w="248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是否形成真实对外责任</w:t>
            </w:r>
          </w:p>
        </w:tc>
        <w:tc>
          <w:tcPr>
            <w:tcW w:type="dxa" w:w="248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订单生成时怎样处理</w:t>
            </w:r>
          </w:p>
        </w:tc>
        <w:tc>
          <w:tcPr>
            <w:tcW w:type="dxa" w:w="248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后续怎样生效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本公司承担的客户优惠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由本公司承担经济影响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按优惠规则计算并标明承担法人、部门和财务待确认口径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随客户交易和财务政策确认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门店、平台等第三方承担优惠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第三方可能需要向本公司补偿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计算预计补偿和结算方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账单或结算确认后形成有效往来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供应商折扣或返还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供应商减少采购价或另行返还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从采购关系计算，不与公司内部管理贡献混同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条件满足并结算后调整成本或形成返还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外部门店、平台、分销商佣金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通常形成真实渠道费用或应付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保存计算基础、比例或固定额、承担法人、支付或抵销方式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渠道结算条件满足后确认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员工提成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条件满足后形成真实薪酬费用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只计算预计提成，并保存成交、收款、出团或回团等生效条件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条件满足并审批后形成薪酬事项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同法人部门贡献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只用于内部经营评价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按批准规则分配预计订单贡献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不形成法人间应收应付，不制造资金和收入成本</w:t>
            </w:r>
          </w:p>
        </w:tc>
      </w:tr>
    </w:tbl>
    <w:p>
      <w:pPr>
        <w:spacing w:after="40"/>
      </w:pP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必须纠正一个容易造成实账错误的做法：采购部门的内部管理贡献不能直接从供应商应付中扣除。只有供应商合同明确约定的折扣、返还或扣款，才可以影响供应商结算。内部部门贡献只是同一法人内部的管理分配，不能减少公司对供应商的真实付款责任。</w:t>
      </w:r>
    </w:p>
    <w:p>
      <w:pPr>
        <w:pStyle w:val="Heading2"/>
      </w:pPr>
      <w:r>
        <w:t>第六步：生成集团内部结算关系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当销售法人向集团内另一法人采购产品或服务时，订单生成时应一次生成双方能够核对的内部结算基准。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例如，上海公司对客户销售10,000元，北京公司提供产品，双方内部结算价8,000元，北京公司预计外部采购成本7,760元：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核算主体</w:t>
            </w:r>
          </w:p>
        </w:tc>
        <w:tc>
          <w:tcPr>
            <w:tcW w:type="dxa" w:w="496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订单生成时的预计结果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上海销售公司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对外收入测算基础10,000；内部采购成本8,000；预计订单贡献2,000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北京产品公司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内部收入测算基础8,000；外部成本7,760；预计订单贡献240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集团对外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抵销内部8,000后，保留对外收入10,000、对外成本7,760、预计贡献2,240</w:t>
            </w:r>
          </w:p>
        </w:tc>
      </w:tr>
    </w:tbl>
    <w:p>
      <w:pPr>
        <w:spacing w:after="40"/>
      </w:pP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双方的内部结算必须同时满足：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提供方和接收方明确；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同一结算币种、同一金额、同一业务范围；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销售方预计内部应付与提供方预计内部应收相等；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后续正式结算时双方使用同一结算确认记录和同一期间；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发生退团、补价或补成本时，两边成对调整；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销售公司不直接对产品公司的外部供应商形成应付。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订单生成时形成的是内部结算基准。双方对应的内部应收和内部应付，要在约定的占位、出团、回团、验收或对账节点达到并确认后正式成立。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集团资金主体代收代付是另一条关系。资金由集团资金管理主体持有，只产生代收代付和内部资金清算，不改变上述业务收入、成本和内部业务结算，也不使资金主体取得业务利润。</w:t>
      </w:r>
    </w:p>
    <w:p>
      <w:pPr>
        <w:pStyle w:val="Heading2"/>
      </w:pPr>
      <w:r>
        <w:t>第七步：分别计算各法人和集团的预计经营结果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订单生成时只能称为“预计订单贡献”或“预计经营结果”，不宜直接称为法人净利润。订单层面尚未包含期间税费、管理费用、融资费用、汇兑损益和其他间接费用，不能得出法定净利润。</w:t>
      </w:r>
    </w:p>
    <w:p>
      <w:pPr>
        <w:pStyle w:val="Heading3"/>
      </w:pPr>
      <w:r>
        <w:t>1. 销售法人预计订单贡献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6"/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</w:r>
            <w:r>
              <w:rPr>
                <w:rFonts w:ascii="Calibri" w:hAnsi="Calibri" w:eastAsia="PingFang SC"/>
                <w:b/>
                <w:color w:val="1F4D78"/>
                <w:sz w:val="21"/>
              </w:rPr>
              <w:t>计算关系：</w:t>
            </w:r>
            <w:r>
              <w:rPr>
                <w:rFonts w:ascii="Calibri" w:hAnsi="Calibri" w:eastAsia="PingFang SC"/>
                <w:color w:val="263238"/>
                <w:sz w:val="21"/>
              </w:rPr>
              <w:t>销售法人预计订单贡献</w:t>
              <w:br/>
              <w:t>= 销售法人的收入测算基础</w:t>
              <w:br/>
              <w:t>- 销售法人承担的外部采购成本或内部采购成本</w:t>
              <w:br/>
              <w:t>- 销售法人承担的外部渠道佣金</w:t>
              <w:br/>
              <w:t>- 已纳入订单测算的员工提成及其他真实费用</w:t>
              <w:br/>
              <w:t>+ 经批准单独列示、且尚未包含在收入测算基础中的外部补偿或费用冲减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每一项是否列入收入、冲减费用或另行列示，由财务确定正式口径；已经进入“公司预计可取得的订单金额”或预计净成本的补偿、折扣和返还，不得在公式中再次增加。无论采用何种列示，最终经济结果都不得重复增加或减少。</w:t>
      </w:r>
    </w:p>
    <w:p>
      <w:pPr>
        <w:pStyle w:val="Heading3"/>
      </w:pPr>
      <w:r>
        <w:t>2. 产品提供法人预计订单贡献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6"/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</w:r>
            <w:r>
              <w:rPr>
                <w:rFonts w:ascii="Calibri" w:hAnsi="Calibri" w:eastAsia="PingFang SC"/>
                <w:b/>
                <w:color w:val="1F4D78"/>
                <w:sz w:val="21"/>
              </w:rPr>
              <w:t>计算关系：</w:t>
            </w:r>
            <w:r>
              <w:rPr>
                <w:rFonts w:ascii="Calibri" w:hAnsi="Calibri" w:eastAsia="PingFang SC"/>
                <w:color w:val="263238"/>
                <w:sz w:val="21"/>
              </w:rPr>
              <w:t>产品提供法人预计订单贡献</w:t>
              <w:br/>
              <w:t>= 内部收入测算基础</w:t>
              <w:br/>
              <w:t>- 产品提供法人承担的外部成本</w:t>
              <w:br/>
              <w:t>- 产品提供法人承担的真实外部费用</w:t>
            </w:r>
          </w:p>
        </w:tc>
      </w:tr>
    </w:tbl>
    <w:p>
      <w:pPr>
        <w:spacing w:after="20"/>
      </w:pPr>
    </w:p>
    <w:p>
      <w:pPr>
        <w:pStyle w:val="Heading3"/>
      </w:pPr>
      <w:r>
        <w:t>3. 集团对外预计订单贡献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6"/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</w:r>
            <w:r>
              <w:rPr>
                <w:rFonts w:ascii="Calibri" w:hAnsi="Calibri" w:eastAsia="PingFang SC"/>
                <w:b/>
                <w:color w:val="1F4D78"/>
                <w:sz w:val="21"/>
              </w:rPr>
              <w:t>计算关系：</w:t>
            </w:r>
            <w:r>
              <w:rPr>
                <w:rFonts w:ascii="Calibri" w:hAnsi="Calibri" w:eastAsia="PingFang SC"/>
                <w:color w:val="263238"/>
                <w:sz w:val="21"/>
              </w:rPr>
              <w:t>集团对外预计订单贡献</w:t>
              <w:br/>
              <w:t>= 各法人预计订单贡献合计</w:t>
              <w:br/>
              <w:t>- 尚未抵销的内部收入和内部成本影响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计算完成后，应能反算到集团对外客户交易、外部渠道费用和外部供应商成本。部门贡献分配的合计必须回到所属法人的同一口径结果，但不能再叠加成一份新利润。</w:t>
      </w:r>
    </w:p>
    <w:p>
      <w:pPr>
        <w:pStyle w:val="Heading2"/>
      </w:pPr>
      <w:r>
        <w:t>第八步：生成后续执行计划和生效条件</w:t>
      </w:r>
    </w:p>
    <w:p>
      <w:pPr>
        <w:spacing w:before="60" w:after="60"/>
      </w:pPr>
      <w:r>
        <w:drawing>
          <wp:inline xmlns:a="http://schemas.openxmlformats.org/drawingml/2006/main" xmlns:pic="http://schemas.openxmlformats.org/drawingml/2006/picture">
            <wp:extent cx="6172200" cy="31632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igg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PingFang SC"/>
          <w:color w:val="607D8B"/>
          <w:sz w:val="18"/>
        </w:rPr>
        <w:t>图：第八步：生成后续执行计划和生效条件的业务表达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订单生成时可以提前列出未来可能发生的事项，但每项必须写清“由什么事实触发”，不能直接标记为已确认或已推送。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后续事项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订单生成时保存什么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何时形成正式结果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客户收款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定金、尾款、付款人、收款方式和到期日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真实到账并完成认款后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客户应收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预计收款节点和业务待收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已取得无条件收款权或财务批准的业务条件达到后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预收或预存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预计使用方式和账户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真实收款确认且满足预收或预存条件后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收入确认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收入测算基础、归属法人、履约对象和候选触发条件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出行、服务完成、项目验收或其他财务批准条件达到后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实际成本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预计成本项目和归属对象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资源实际使用、服务完成、出票或损耗确认后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供应商应付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预计结算额、账单和服务条件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实际成本或合同付款条件达到并确认后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渠道佣金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预计金额、承担法人和结算方式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渠道账单、有效订单或批准条件达到后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员工提成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预计金额和生效条件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条件满足并审批后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内部结算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双方、价格、范围和候选结算日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双方确认同一结算记录后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供应商付款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预付和尾款计划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付款审批完成且银行实际扣款后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客户退款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退改规则和预计责任方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售后方案批准后形成退款责任，银行成功后形成实际退款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NC承接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未来可能进入会计核算的事项类型、归属法人和所需依据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对应业务或财务事实正式确认后</w:t>
            </w:r>
          </w:p>
        </w:tc>
      </w:tr>
    </w:tbl>
    <w:p>
      <w:pPr>
        <w:spacing w:after="40"/>
      </w:pP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订单生成时的 NC 内容应叫“后续会计事项提示”，不应叫“NC推送清单”。它只告诉系统未来可能需要处理哪些事项，不能提前确定会计日期、正式金额、科目和凭证，更不能提前向 NC 推送。</w:t>
      </w:r>
    </w:p>
    <w:p>
      <w:pPr>
        <w:pStyle w:val="Heading1"/>
      </w:pPr>
      <w:r>
        <w:t>六、不同业务类型在订单生成时重点算什么</w:t>
      </w:r>
    </w:p>
    <w:p>
      <w:pPr>
        <w:pStyle w:val="Heading2"/>
      </w:pPr>
      <w:r>
        <w:t>1. 按产品来源区分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业务类型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订单生成时必须算清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不能提前确认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自营跟团、研学等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客户价格、团期占用、各资源预计成本、收款计划、预计贡献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实际使用成本、回团收入、供应商应付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体系外采购产品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客户交易、外部供应商预计结算、渠道佣金、退改责任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供应商实际成本、返还、最终应付和付款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集团内采购产品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对客交易、内部结算价、双方预计结果、提供方外部成本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双方正式内部应收应付及集团抵销凭证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自由行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各出行日期和采购批次占用、单项预计分摊成本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实际使用、未用资源和采购后调差异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邮轮、专列、包机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舱房、铺位或机位占用，按资源批次计算预计分摊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截止日后未售损耗和最终分摊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航空机票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客户价、内部供票价、外部采购价三层价格及乘机人、航段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票号、实际出票成本、退改费和票损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会奖旅游和企业项目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合同总额、阶段收款计划、项目预算、验收和变更规则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实际进度收入、实际项目成本和最终验收结果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单项服务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每个服务分别判断主要责任方或代理方、服务费和代收代付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代理业务的客户全款不能提前当本公司收入</w:t>
            </w:r>
          </w:p>
        </w:tc>
      </w:tr>
    </w:tbl>
    <w:p>
      <w:pPr>
        <w:spacing w:after="40"/>
      </w:pPr>
    </w:p>
    <w:p>
      <w:pPr>
        <w:pStyle w:val="Heading2"/>
      </w:pPr>
      <w:r>
        <w:t>2. 按销售和收款方式区分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业务类型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订单生成时必须算清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特别校验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直营网点或公司直销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客户应付、定金尾款、收款法人、销售归属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同法人门店贡献不形成应付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加盟门店全额上缴后返佣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门店代收或公司直收、佣金金额和后返计划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客户款与佣金是两条记录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加盟门店扣佣上缴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客户全额、门店留佣、预计净上缴和抵销依据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不虚构公司收到客户全额银行款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在线旅游平台月结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平台代收、佣金、补贴、保证金、账期和预计结算方式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订单预计不能代替月度平台账单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外部分销商账期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渠道结算价、授信占用、保证金和账期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保证金不自动抵减渠道应收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预存扣款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应冻结或扣减金额、账户和适用范围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冻结不等于收入或实际扣款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集团集中代收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业务归属法人、代收主体和内部资金清算路径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资金主体不取得业务收入</w:t>
            </w:r>
          </w:p>
        </w:tc>
      </w:tr>
    </w:tbl>
    <w:p>
      <w:pPr>
        <w:spacing w:after="40"/>
      </w:pPr>
    </w:p>
    <w:p>
      <w:pPr>
        <w:pStyle w:val="Heading2"/>
      </w:pPr>
      <w:r>
        <w:t>3. 按特殊金额区分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特殊情况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订单生成时必须保存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后续另行处理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多方优惠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每项优惠金额、承担方、补偿方、结算条件和退款规则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第三方账单、供应商返还和售后追回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外币销售或采购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原币、测算汇率、预计本位币、汇率来源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收款汇率、确认汇率、付款汇率、重估和汇兑差额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押金和保证金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金额、币种、收取方、可退条件、扣罚规则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实际收退、扣罚和转用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员工现场支出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可保存预算和预计归属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员工借款、报销和余款退回应由后续事实形成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供应商预付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付款节点和预计预付额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真实付款后才形成供应商预付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供应商返还或扣款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合同规则、预计金额和生效条件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条件满足后才冲减成本或形成返还</w:t>
            </w:r>
          </w:p>
        </w:tc>
      </w:tr>
    </w:tbl>
    <w:p>
      <w:pPr>
        <w:spacing w:after="40"/>
      </w:pPr>
    </w:p>
    <w:p>
      <w:pPr>
        <w:pStyle w:val="Heading1"/>
      </w:pPr>
      <w:r>
        <w:t>七、25个财务案例如何落到订单生成时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附件中的25个案例并不都属于“订单生成计算”。有些是订单出生条件，有些是履约、收付款、售后、期末或关账后的新事实。正确承接如下。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案例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订单生成时计算或保存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后续发生后再形成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1 外采产品、公司收款后返佣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客户成交、公司优惠、供应商预计结算、采购返还规则、门店佣金和预计贡献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真实收款、实际成本、返还确认、佣金应付及付款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2 自营产品、门店扣佣上缴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客户全额5,000、门店佣金1,000、预计净上缴4,000、资源预计成本2,500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门店实收、公司到账、佣金抵销和实际成本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3 集团内销售和供给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对客10,000、内部结算8,000、提供方外部成本7,760及双方预计结果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双方正式内部结算、收付款和集团抵销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4 在线旅游平台月结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平台代收方式、佣金和补贴规则、账期、退款责任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月度有效交易、已执行退款、平台账单和净到账9,500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5 会奖项目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初始合同600,000、阶段收款计划、项目预算、验收和变更规则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减价70,000、实际成本420,000、验收、已收和待收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6 外币供应商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原币合同金额、订单测算汇率和预计本位币成本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服务完成汇率、付款汇率、手续费和汇兑差额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7 客户取消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原订单退改规则、客户和供应商取消责任、预计最大损失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客户退款17,000、供应商退回9,000和未退损失3,000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8 集中代收代付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业务主体、资金主体、代收代付范围和内部清算路径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真实代收10,000、代付7,760及各主体资金余额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9 多订单分款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每单应收计划、允许付款人和收款渠道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一笔14,000如何认款拆分、现金实缴和核销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10 外币客户款和保证金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外币合同、收款计划、保证金20,000及退扣规则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两次实际汇率、800汇兑影响、退18,000和扣2,000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11 多方优惠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公司、门店、平台和供应商分别承担的金额及结算条件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第三方补偿到账、供应商返还和退款反向分担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12 长期欠款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客户账期、信用条件和应收风险归属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逾期、减值24,000、核销50,000和后续收回10,000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13 直营网点和部门贡献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法人交易、门店归属、预计部门贡献和提成条件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提成审批及支付、履约后的正式管理核算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14 加盟门店预存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本单需冻结或扣减的结算价、预存账户和条件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实际冻结、扣减、解冻和退款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15 分销商授信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本单预计占用额度、结算价、账期和保证金规则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实际应收、回款、取消释放和逾期冻结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16 平台拒付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平台拒付、申诉和滚存保证金规则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原收款后的5,000拒付、扣回、损失或应收恢复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17 暂估和供应商账单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预计成本、成本确认依据、账单和预付冲抵规则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实际成本、暂估、102,000账单、2,000争议和付款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18 员工借款和报销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现场费用预算、预计归属团期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借款30,000、实际费用26,000、退回4,000和票据审核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19 固定资源分摊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资源批次、总量、单位成本、订单占用和预计分摊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截止日后的实际使用、可退资源和未售损耗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20 航空供票和退改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客户价、内部供票价、外部采购价及票务关系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出票、票号、客户退款、内部调价和航司退款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21 自由行采购批次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酒店、接送、门票的批次占用和预计订单分摊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实际服务、采购价后调、剩余资源和损耗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22 主要责任方与代理方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逐服务判断全额或净额测算，分开服务费和代收款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履约收入、代收负债核销和实际付款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23 取消出团与理赔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客户退款、赔偿、供应商追偿和保险理赔规则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实际退款、赔偿、追回、理赔批准和净损失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24 关账后调整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只保存原订单和原结算关联，不预造未来调整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补价、补成本和退款分别生成补充结算或跨期调整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25 应收应付抵销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可以标明同一往来单位和允许抵销条件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应收应付分别成立后，经协议和审批执行抵销</w:t>
            </w:r>
          </w:p>
        </w:tc>
      </w:tr>
    </w:tbl>
    <w:p>
      <w:pPr>
        <w:spacing w:after="40"/>
      </w:pP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这张表说明：案例6、7、9、12、16至18、23至25的核心金额，主要由订单生成后的事实产生。订单出生时只能准备规则、计划和关联条件，不能把后来才知道的金额预先写进订单初始底表。</w:t>
      </w:r>
    </w:p>
    <w:p>
      <w:pPr>
        <w:pStyle w:val="Heading1"/>
      </w:pPr>
      <w:r>
        <w:t>八、订单生成时必须通过的校验</w:t>
      </w:r>
    </w:p>
    <w:p>
      <w:pPr>
        <w:pStyle w:val="Heading2"/>
      </w:pPr>
      <w:r>
        <w:t>1. 必须阻止订单正式提交的错误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对客签约法人、客户、产品或服务、出行对象、币种和成交金额缺失；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主要责任方或代理方未确定，导致收入测算口径不明；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客户成交金额无法由价格项目、调整和优惠明细解释；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优惠没有承担方，或第三方补偿没有结算方；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收款进入其他法人或外部渠道，却没有代收和结算关系；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集团内采购缺少提供方、接收方或内部结算价；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同一内部结算双方金额、币种或范围不一致；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代理销售把应转付第三方的全额客户款算成本公司收入；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可退押金、保证金或纯代收款被并入普通收入测算；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同法人部门贡献被计算成法人应收、应付或供应商扣款。</w:t>
      </w:r>
    </w:p>
    <w:p>
      <w:pPr>
        <w:pStyle w:val="Heading2"/>
      </w:pPr>
      <w:r>
        <w:t>2. 可以生成订单但要明确提示的缺口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动态采购价格尚待供应商确认；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会奖项目、现场支出等只能形成预算成本；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税率、发票时点或收入确认日期尚未由财务确定；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员工提成只完成预计，尚未达到生效条件；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固定资源尚未到释放截止日，未售损耗不能确定；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平台最终补贴、退款、拒付和保证金只能等账单确认；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外币只完成测算汇率，实际汇兑影响尚未发生。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这些缺口不应被伪装为零。系统应明确显示“待供应商确认”“预算金额”“待财务确认”等真实状态，并在达到下一步条件前限制相应的结算或财务自动处理。</w:t>
      </w:r>
    </w:p>
    <w:p>
      <w:pPr>
        <w:pStyle w:val="Heading2"/>
      </w:pPr>
      <w:r>
        <w:t>3. 核心平衡校验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校验内容</w:t>
            </w:r>
          </w:p>
        </w:tc>
        <w:tc>
          <w:tcPr>
            <w:tcW w:type="dxa" w:w="496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263238"/>
                <w:sz w:val="20"/>
              </w:rPr>
              <w:t>应满足的关系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客户价格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客户约定成交金额可以由各价格项目、加减价和优惠解释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客户付款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客户现金应付、非现金结算和其他获准方式可以解释客户付款义务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渠道结算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渠道代收、退款、佣金、补贴、保证金和预计结算金额逐项相等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预计成本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每个法人预计成本合计等于其全部有效成本明细之和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固定资源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已分配、待使用、可退和损耗合计等于资源批次总成本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内部结算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提供方预计内部应收等于接收方预计内部应付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法人结果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每个法人预计收入基础减预计成本费用等于同口径预计订单贡献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集团结果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各法人结果合计抵销内部交易后等于集团对外预计结果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管理分配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  <w:t>同法人部门贡献合计回到该法人同一口径结果，不新增利润</w:t>
            </w:r>
          </w:p>
        </w:tc>
      </w:tr>
    </w:tbl>
    <w:p>
      <w:pPr>
        <w:spacing w:after="40"/>
      </w:pPr>
    </w:p>
    <w:p>
      <w:pPr>
        <w:pStyle w:val="Heading1"/>
      </w:pPr>
      <w:r>
        <w:t>九、订单变更和历史记录怎样处理</w:t>
      </w:r>
    </w:p>
    <w:p>
      <w:pPr>
        <w:spacing w:before="60" w:after="60"/>
      </w:pPr>
      <w:r>
        <w:drawing>
          <wp:inline xmlns:a="http://schemas.openxmlformats.org/drawingml/2006/main" xmlns:pic="http://schemas.openxmlformats.org/drawingml/2006/picture">
            <wp:extent cx="6172200" cy="29317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ers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PingFang SC"/>
          <w:color w:val="607D8B"/>
          <w:sz w:val="18"/>
        </w:rPr>
        <w:t>图：九、订单变更和历史记录怎样处理的业务表达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订单生成后的变化不能简单“重算一版并覆盖上一版”。应按是否已经产生后续事实区别处理。</w:t>
      </w:r>
    </w:p>
    <w:p>
      <w:pPr>
        <w:pStyle w:val="Heading2"/>
      </w:pPr>
      <w:r>
        <w:t>1. 尚未产生收款、履约、结算或会计结果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客户加人、减人、改价或更换服务后，可以生成新的订单计算版本。旧版本保留只读，新版本成为当前执行基准。</w:t>
      </w:r>
    </w:p>
    <w:p>
      <w:pPr>
        <w:pStyle w:val="Heading2"/>
      </w:pPr>
      <w:r>
        <w:t>2. 已经产生实际收款、资源使用、应收应付、结算或 NC 结果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原记录不得覆盖。系统应通过订单变更、售后、退款、成本调整、内部结算调整或补充结算，记录本次增加和减少金额。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6"/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color w:val="263238"/>
                <w:sz w:val="20"/>
              </w:rPr>
            </w:r>
            <w:r>
              <w:rPr>
                <w:rFonts w:ascii="Calibri" w:hAnsi="Calibri" w:eastAsia="PingFang SC"/>
                <w:b/>
                <w:color w:val="1F4D78"/>
                <w:sz w:val="21"/>
              </w:rPr>
              <w:t>计算关系：</w:t>
            </w:r>
            <w:r>
              <w:rPr>
                <w:rFonts w:ascii="Calibri" w:hAnsi="Calibri" w:eastAsia="PingFang SC"/>
                <w:color w:val="263238"/>
                <w:sz w:val="21"/>
              </w:rPr>
              <w:t>订单当前累计结果</w:t>
              <w:br/>
              <w:t>= 初始订单业财计算基准</w:t>
              <w:br/>
              <w:t>+ 后续全部已生效增加事项</w:t>
              <w:br/>
              <w:t>- 后续全部已生效减少事项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例如，7月已结算收入200,000、成本150,000；8月补价10,000、补成本6,000并退款2,000。系统必须保留三项独立调整，累计得到收入208,000、成本156,000、结果52,000，不能把原7月记录直接改成新金额。</w:t>
      </w:r>
    </w:p>
    <w:p>
      <w:pPr>
        <w:pStyle w:val="Heading2"/>
      </w:pPr>
      <w:r>
        <w:t>3. 变更时必须保留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原订单版本和原金额；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变更原因、业务依据、申请人、批准人和生效日期；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本次只影响哪些客户价格、成本、佣金或内部结算明细；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已执行收付款、已结算和已进入 NC 的金额；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本次增减金额及当前累计结果；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原会计期间已关账时的当前允许调整期间。</w:t>
      </w:r>
    </w:p>
    <w:p>
      <w:pPr>
        <w:pStyle w:val="Heading1"/>
      </w:pPr>
      <w:r>
        <w:t>十、面向业务页面的展示建议</w:t>
      </w:r>
    </w:p>
    <w:p>
      <w:pPr>
        <w:spacing w:before="60" w:after="60"/>
      </w:pPr>
      <w:r>
        <w:drawing>
          <wp:inline xmlns:a="http://schemas.openxmlformats.org/drawingml/2006/main" xmlns:pic="http://schemas.openxmlformats.org/drawingml/2006/picture">
            <wp:extent cx="6172200" cy="33175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order_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PingFang SC"/>
          <w:color w:val="607D8B"/>
          <w:sz w:val="18"/>
        </w:rPr>
        <w:t>图：十、面向业务页面的展示建议的业务表达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订单创建页不应一次堆满全部财务细节。销售首先要完成报价、客户、出行人、合同、优惠和付款计划；页面在提交前展示一张轻量“订单业财核对”摘要：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对客签约和履约责任法人；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客户成交金额、现金应付、优惠承担和押金；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收款方式、预计渠道结算或预存扣款；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预计成本完整度和预计订单贡献；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是否涉及集团内部结算；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影响提交的异常和待审批事项。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订单详情页再提供“业财计算”页签，按客户成交、收款计划、预计成本、渠道费用、内部结算、各法人预计结果和后续确认事项展开。实际收款、成本、应付、付款、发票、结算和 NC 只做状态和关联入口，具体确认回到相应业务或财务模块。</w:t>
      </w:r>
    </w:p>
    <w:p>
      <w:pPr>
        <w:pStyle w:val="Heading1"/>
      </w:pPr>
      <w:r>
        <w:t>十一、面向开发的数据承接说明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业务上可以把它看成一份完整底表，开发时不宜做成一张只有大量总数字的平面表。为了保留一笔订单中的多方、多币种、多项优惠、多家供应商和多个法人，应至少拆成以下业务明细：</w:t>
      </w:r>
    </w:p>
    <w:p>
      <w:pPr>
        <w:spacing w:after="60"/>
        <w:ind w:left="360" w:hanging="173"/>
      </w:pPr>
      <w:r>
        <w:rPr>
          <w:rFonts w:ascii="Calibri" w:hAnsi="Calibri" w:eastAsia="PingFang SC"/>
          <w:sz w:val="20"/>
        </w:rPr>
        <w:t>1. 订单业财计算摘要：保存当前版本、责任主体、主要金额和总体校验结果。</w:t>
      </w:r>
    </w:p>
    <w:p>
      <w:pPr>
        <w:spacing w:after="60"/>
        <w:ind w:left="360" w:hanging="173"/>
      </w:pPr>
      <w:r>
        <w:rPr>
          <w:rFonts w:ascii="Calibri" w:hAnsi="Calibri" w:eastAsia="PingFang SC"/>
          <w:sz w:val="20"/>
        </w:rPr>
        <w:t>2. 交易参与方明细：保存客户、付款人、渠道、签约法人、履约法人、采购法人、资金收取单位和内部提供方。</w:t>
      </w:r>
    </w:p>
    <w:p>
      <w:pPr>
        <w:spacing w:after="60"/>
        <w:ind w:left="360" w:hanging="173"/>
      </w:pPr>
      <w:r>
        <w:rPr>
          <w:rFonts w:ascii="Calibri" w:hAnsi="Calibri" w:eastAsia="PingFang SC"/>
          <w:sz w:val="20"/>
        </w:rPr>
        <w:t>3. 客户价格明细：保存每个销售项目、数量、单价、加减价和客户成交金额。</w:t>
      </w:r>
    </w:p>
    <w:p>
      <w:pPr>
        <w:spacing w:after="60"/>
        <w:ind w:left="360" w:hanging="173"/>
      </w:pPr>
      <w:r>
        <w:rPr>
          <w:rFonts w:ascii="Calibri" w:hAnsi="Calibri" w:eastAsia="PingFang SC"/>
          <w:sz w:val="20"/>
        </w:rPr>
        <w:t>4. 优惠承担明细：保存每项优惠的承担方、补偿方、生效条件和售后规则。</w:t>
      </w:r>
    </w:p>
    <w:p>
      <w:pPr>
        <w:spacing w:after="60"/>
        <w:ind w:left="360" w:hanging="173"/>
      </w:pPr>
      <w:r>
        <w:rPr>
          <w:rFonts w:ascii="Calibri" w:hAnsi="Calibri" w:eastAsia="PingFang SC"/>
          <w:sz w:val="20"/>
        </w:rPr>
        <w:t>5. 收款计划与渠道结算明细：保存定金尾款、代收、预存、授信、佣金抵销、补贴和保证金。</w:t>
      </w:r>
    </w:p>
    <w:p>
      <w:pPr>
        <w:spacing w:after="60"/>
        <w:ind w:left="360" w:hanging="173"/>
      </w:pPr>
      <w:r>
        <w:rPr>
          <w:rFonts w:ascii="Calibri" w:hAnsi="Calibri" w:eastAsia="PingFang SC"/>
          <w:sz w:val="20"/>
        </w:rPr>
        <w:t>6. 预计成本明细：保存每个资源、供应商、采购法人、数量、币种、预计价格和成本确定程度。</w:t>
      </w:r>
    </w:p>
    <w:p>
      <w:pPr>
        <w:spacing w:after="60"/>
        <w:ind w:left="360" w:hanging="173"/>
      </w:pPr>
      <w:r>
        <w:rPr>
          <w:rFonts w:ascii="Calibri" w:hAnsi="Calibri" w:eastAsia="PingFang SC"/>
          <w:sz w:val="20"/>
        </w:rPr>
        <w:t>7. 内部结算明细：保存集团内提供方、接收方、价格、范围以及双方对应金额。</w:t>
      </w:r>
    </w:p>
    <w:p>
      <w:pPr>
        <w:spacing w:after="60"/>
        <w:ind w:left="360" w:hanging="173"/>
      </w:pPr>
      <w:r>
        <w:rPr>
          <w:rFonts w:ascii="Calibri" w:hAnsi="Calibri" w:eastAsia="PingFang SC"/>
          <w:sz w:val="20"/>
        </w:rPr>
        <w:t>8. 预计费用和管理归属明细：分别保存真实渠道费用、预计员工提成和同法人部门贡献。</w:t>
      </w:r>
    </w:p>
    <w:p>
      <w:pPr>
        <w:spacing w:after="60"/>
        <w:ind w:left="360" w:hanging="173"/>
      </w:pPr>
      <w:r>
        <w:rPr>
          <w:rFonts w:ascii="Calibri" w:hAnsi="Calibri" w:eastAsia="PingFang SC"/>
          <w:sz w:val="20"/>
        </w:rPr>
        <w:t>9. 法人预计结果明细：按每个法人保存收入测算基础、预计成本费用和预计订单贡献。</w:t>
      </w:r>
    </w:p>
    <w:p>
      <w:pPr>
        <w:spacing w:after="60"/>
        <w:ind w:left="360" w:hanging="173"/>
      </w:pPr>
      <w:r>
        <w:rPr>
          <w:rFonts w:ascii="Calibri" w:hAnsi="Calibri" w:eastAsia="PingFang SC"/>
          <w:sz w:val="20"/>
        </w:rPr>
        <w:t>10. 后续确认事项：保存未来事项类型、触发条件、责任部门和所需依据，不保存虚假的实际结果。</w:t>
      </w:r>
    </w:p>
    <w:p>
      <w:pPr>
        <w:spacing w:after="60"/>
        <w:ind w:left="360" w:hanging="173"/>
      </w:pPr>
      <w:r>
        <w:rPr>
          <w:rFonts w:ascii="Calibri" w:hAnsi="Calibri" w:eastAsia="PingFang SC"/>
          <w:sz w:val="20"/>
        </w:rPr>
        <w:t>11. 版本和调整明细：保存初始版本、每次变更、本次增减和当前累计结果。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技术实现必须先保留上述业务含义，再定义数据库表名、字段名和接口参数；不能用一个“收入金额”“成本金额”或“结算金额”覆盖不同法人、不同阶段和不同财务性质。</w:t>
      </w:r>
    </w:p>
    <w:p>
      <w:pPr>
        <w:pStyle w:val="Heading1"/>
      </w:pPr>
      <w:r>
        <w:t>十二、需要集团财务最终确认的口径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这份底表可以先固化业务责任和计算框架，但以下事项不能由产品或订单规则自行决定：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各类产品主要责任方或代理方的正式认定证据和批准人；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公司优惠是价格折减还是营销费用，第三方补偿和供应商返还如何列示；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各类订单的收入确认条件、会计日期和总额或净额口径；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实际成本、暂估、应付和预付的成立条件；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内部结算的生效节点、开票规则、双方会计期间和集团抵销方式；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外币确认、期末重估、付款和退款分别采用的汇率；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押金、保证金、预存、代收代付和授信的会计处理；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渠道佣金、员工提成、损耗、赔偿、理赔和坏账的正式确认政策；</w:t>
      </w:r>
    </w:p>
    <w:p>
      <w:pPr>
        <w:spacing w:after="60"/>
        <w:ind w:left="360" w:hanging="173"/>
      </w:pPr>
      <w:r>
        <w:rPr>
          <w:rFonts w:ascii="Calibri" w:hAnsi="Calibri" w:eastAsia="PingFang SC"/>
          <w:color w:val="263238"/>
          <w:sz w:val="20"/>
        </w:rPr>
        <w:t>• NC 科目、税码、辅助核算、会计期间、凭证汇总和反向处理规则。</w:t>
      </w:r>
    </w:p>
    <w:p>
      <w:pPr>
        <w:spacing w:after="100" w:line="283" w:lineRule="auto"/>
      </w:pPr>
      <w:r>
        <w:rPr>
          <w:rFonts w:ascii="Calibri" w:hAnsi="Calibri" w:eastAsia="PingFang SC"/>
          <w:b w:val="0"/>
          <w:color w:val="263238"/>
          <w:sz w:val="21"/>
        </w:rPr>
        <w:t>财务确认这些口径后，系统才能把“订单生成时的测算规则”和“后续事实发生后的会计承接规则”分别固化，既保证订单一出生就算得清，也保证后续每一笔真实收付和调整不被提前确认或重复计算。</w:t>
      </w:r>
    </w:p>
    <w:sectPr w:rsidR="00FC693F" w:rsidRPr="0006063C" w:rsidSect="00034616">
      <w:headerReference w:type="default" r:id="rId9"/>
      <w:pgSz w:w="12240" w:h="15840"/>
      <w:pgMar w:top="1224" w:right="1152" w:bottom="1080" w:left="1152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PingFang SC"/>
        <w:color w:val="607D8B"/>
        <w:sz w:val="18"/>
      </w:rPr>
      <w:t>业财底座08：订单生成时的业财计算底表（图解版）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