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客诉办理与退款流程提效方案</w:t>
      </w:r>
    </w:p>
    <w:p>
      <w:pPr>
        <w:spacing w:after="140"/>
      </w:pPr>
      <w:r>
        <w:rPr>
          <w:rFonts w:ascii="Arial Unicode MS" w:hAnsi="Arial Unicode MS" w:eastAsia="Arial Unicode MS"/>
          <w:b/>
          <w:sz w:val="22"/>
        </w:rPr>
        <w:t>建设重点：</w:t>
      </w:r>
      <w:r>
        <w:rPr>
          <w:rFonts w:ascii="Arial Unicode MS" w:hAnsi="Arial Unicode MS" w:eastAsia="Arial Unicode MS"/>
          <w:sz w:val="22"/>
        </w:rPr>
        <w:t>贯通客诉发起、审批、退款或置换执行及结案，缩短跨环节等待。银盛原路退款与其他渠道转账退款统一纳入工单管理。</w:t>
      </w:r>
    </w:p>
    <w:p>
      <w:pPr>
        <w:pStyle w:val="Heading2"/>
      </w:pPr>
      <w:r>
        <w:t>当前主流程与等待位置</w:t>
      </w:r>
    </w:p>
    <w:p>
      <w:pPr>
        <w:spacing w:after="80" w:line="240" w:lineRule="auto"/>
      </w:pPr>
      <w:r>
        <w:drawing>
          <wp:inline xmlns:a="http://schemas.openxmlformats.org/drawingml/2006/main" xmlns:pic="http://schemas.openxmlformats.org/drawingml/2006/picture">
            <wp:extent cx="9396000" cy="4571027"/>
            <wp:docPr id="1" name="Picture 1" descr="当前客诉主流程：发起分派、核实确认方案、业务审批、发起钉钉审批、钉钉审批、付款或置换执行、确认结案。右侧列示每个环节的重点等待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96000" cy="4571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rial Unicode MS" w:hAnsi="Arial Unicode MS" w:eastAsia="Arial Unicode MS"/>
          <w:b/>
          <w:sz w:val="19"/>
        </w:rPr>
        <w:t>阅读说明：</w:t>
      </w:r>
      <w:r>
        <w:rPr>
          <w:rFonts w:ascii="Arial Unicode MS" w:hAnsi="Arial Unicode MS" w:eastAsia="Arial Unicode MS"/>
          <w:sz w:val="19"/>
        </w:rPr>
        <w:t>图中展示涉及退款或置换的主流程，橙色为重点排查的等待点，具体耗时以实际工单记录为准。无退款或置换的客诉，按规则完成处理后结案。</w:t>
      </w:r>
    </w:p>
    <w:p>
      <w:r>
        <w:br w:type="page"/>
      </w:r>
    </w:p>
    <w:p>
      <w:pPr>
        <w:pStyle w:val="Heading1"/>
      </w:pPr>
      <w:r>
        <w:t>拟落地流程与提效措施</w:t>
      </w:r>
    </w:p>
    <w:p>
      <w:pPr>
        <w:spacing w:after="180"/>
      </w:pPr>
      <w:r>
        <w:rPr>
          <w:rFonts w:ascii="Arial Unicode MS" w:hAnsi="Arial Unicode MS" w:eastAsia="Arial Unicode MS"/>
          <w:sz w:val="22"/>
        </w:rPr>
        <w:t>保留必要的业务与资金审批，资料随工单流转；完成上一步后及时触发下一步待办。主负责人持续跟进，当前办理人对本节点结果负责。</w:t>
      </w:r>
    </w:p>
    <w:p>
      <w:pPr>
        <w:spacing w:after="80" w:line="240" w:lineRule="auto"/>
      </w:pPr>
      <w:r>
        <w:drawing>
          <wp:inline xmlns:a="http://schemas.openxmlformats.org/drawingml/2006/main" xmlns:pic="http://schemas.openxmlformats.org/drawingml/2006/picture">
            <wp:extent cx="9396000" cy="4571027"/>
            <wp:docPr id="2" name="Picture 2" descr="拟落地流程与当前七个环节逐项对应：按规则派单、资料集中复用、匹配审批路径、自动发起钉钉审批、同步结果、分配执行任务、完成后结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96000" cy="4571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 Unicode MS" w:hAnsi="Arial Unicode MS" w:eastAsia="Arial Unicode MS"/>
          <w:b/>
          <w:sz w:val="20"/>
        </w:rPr>
        <w:t>贯穿全程：</w:t>
      </w:r>
      <w:r>
        <w:rPr>
          <w:rFonts w:ascii="Arial Unicode MS" w:hAnsi="Arial Unicode MS" w:eastAsia="Arial Unicode MS"/>
          <w:sz w:val="20"/>
        </w:rPr>
        <w:t>每个节点显示办理人、开始时间、截止时间和处理结果；临期提醒、超时升级给主管；转派保留历史记录和原有计时。</w:t>
      </w:r>
    </w:p>
    <w:p>
      <w:pPr>
        <w:spacing w:after="0"/>
      </w:pPr>
      <w:r>
        <w:rPr>
          <w:rFonts w:ascii="Arial Unicode MS" w:hAnsi="Arial Unicode MS" w:eastAsia="Arial Unicode MS"/>
          <w:b/>
          <w:sz w:val="20"/>
        </w:rPr>
        <w:t>执行口径：</w:t>
      </w:r>
      <w:r>
        <w:rPr>
          <w:rFonts w:ascii="Arial Unicode MS" w:hAnsi="Arial Unicode MS" w:eastAsia="Arial Unicode MS"/>
          <w:sz w:val="20"/>
        </w:rPr>
        <w:t>自动生成审批和执行待办，不代表自动出款。首期转账可由财务实际操作并登记结果；原路退款衔接已有内部系统能力。</w:t>
      </w:r>
    </w:p>
    <w:p>
      <w:r>
        <w:br w:type="page"/>
      </w:r>
    </w:p>
    <w:p>
      <w:pPr>
        <w:pStyle w:val="Heading1"/>
      </w:pPr>
      <w:r>
        <w:t>退款执行方式与业务场景</w:t>
      </w:r>
    </w:p>
    <w:p>
      <w:pPr>
        <w:spacing w:after="160"/>
      </w:pPr>
      <w:r>
        <w:rPr>
          <w:rFonts w:ascii="Arial Unicode MS" w:hAnsi="Arial Unicode MS" w:eastAsia="Arial Unicode MS"/>
          <w:sz w:val="22"/>
        </w:rPr>
        <w:t>银盛扫一扫收款已支持通过公司内部请求分账系统原路退回；其他不支持原路退的渠道采用转账。退款方式及收款资料在方案阶段核实，经审批后执行。</w:t>
      </w:r>
    </w:p>
    <w:p>
      <w:pPr>
        <w:spacing w:after="80" w:line="240" w:lineRule="auto"/>
      </w:pPr>
      <w:r>
        <w:drawing>
          <wp:inline xmlns:a="http://schemas.openxmlformats.org/drawingml/2006/main" xmlns:pic="http://schemas.openxmlformats.org/drawingml/2006/picture">
            <wp:extent cx="9396000" cy="3339389"/>
            <wp:docPr id="3" name="Picture 3" descr="退款执行分为银盛原路退款、其他渠道转账退款、员工代付先核实三条路径，统一回写工单并更新订单及余额台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und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96000" cy="3339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 Unicode MS" w:hAnsi="Arial Unicode MS" w:eastAsia="Arial Unicode MS"/>
          <w:b/>
          <w:sz w:val="21"/>
        </w:rPr>
        <w:t>部分退款示例：</w:t>
      </w:r>
      <w:r>
        <w:rPr>
          <w:rFonts w:ascii="Arial Unicode MS" w:hAnsi="Arial Unicode MS" w:eastAsia="Arial Unicode MS"/>
          <w:sz w:val="21"/>
        </w:rPr>
        <w:t>客户充值 5,000 元，订单消费 2,500 元，本次只退订单款 2,500 元。在无其他交易的情况下，应保留原有未消费余额 2,500 元。需明确退款对应订单、原支付流水及余额变动，防止现金已退而余额重复返还。</w:t>
      </w:r>
    </w:p>
    <w:p>
      <w:pPr>
        <w:spacing w:after="0"/>
      </w:pPr>
      <w:r>
        <w:rPr>
          <w:rFonts w:ascii="Arial Unicode MS" w:hAnsi="Arial Unicode MS" w:eastAsia="Arial Unicode MS"/>
          <w:b/>
          <w:sz w:val="21"/>
        </w:rPr>
        <w:t>衔接重点：</w:t>
      </w:r>
      <w:r>
        <w:rPr>
          <w:rFonts w:ascii="Arial Unicode MS" w:hAnsi="Arial Unicode MS" w:eastAsia="Arial Unicode MS"/>
          <w:sz w:val="21"/>
        </w:rPr>
        <w:t>核实部分及多次退款能力、交易关联、分账处理、退款结果回写和账务同步。退款结果未明确前先核查，不能直接改走另一方式再次付款。</w:t>
      </w:r>
    </w:p>
    <w:p>
      <w:r>
        <w:br w:type="page"/>
      </w:r>
    </w:p>
    <w:p>
      <w:pPr>
        <w:pStyle w:val="Heading1"/>
      </w:pPr>
      <w:r>
        <w:t>落地安排与提效验证</w:t>
      </w:r>
    </w:p>
    <w:p>
      <w:pPr>
        <w:spacing w:after="200"/>
      </w:pPr>
      <w:r>
        <w:rPr>
          <w:rFonts w:ascii="Arial Unicode MS" w:hAnsi="Arial Unicode MS" w:eastAsia="Arial Unicode MS"/>
          <w:sz w:val="22"/>
        </w:rPr>
        <w:t>优先打通办理与审批的完整链路，同步衔接现有银盛原路退款能力，并补齐转账退款执行流程。上线效果通过真实工单的等待时间和办理结果验证。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098"/>
        <w:gridCol w:w="10715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244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对应模块</w:t>
            </w:r>
          </w:p>
        </w:tc>
        <w:tc>
          <w:tcPr>
            <w:tcW w:type="dxa" w:w="2098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244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牵头角色</w:t>
            </w:r>
          </w:p>
        </w:tc>
        <w:tc>
          <w:tcPr>
            <w:tcW w:type="dxa" w:w="10715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244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本次落地内容及验收结果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B3A"/>
                <w:sz w:val="20"/>
              </w:rPr>
              <w:t>客诉工单</w:t>
            </w:r>
          </w:p>
        </w:tc>
        <w:tc>
          <w:tcPr>
            <w:tcW w:type="dxa" w:w="2098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B3A"/>
                <w:sz w:val="20"/>
              </w:rPr>
              <w:t>售后与技术</w:t>
            </w:r>
          </w:p>
        </w:tc>
        <w:tc>
          <w:tcPr>
            <w:tcW w:type="dxa" w:w="10715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B3A"/>
                <w:sz w:val="20"/>
              </w:rPr>
              <w:t>从受理到结案使用同一工单；资料、方案、审批、执行结果可追溯，能看清当前由谁办理。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B3A"/>
                <w:sz w:val="20"/>
              </w:rPr>
              <w:t>规则配置</w:t>
              <w:br/>
              <w:t>售后排班</w:t>
            </w:r>
          </w:p>
        </w:tc>
        <w:tc>
          <w:tcPr>
            <w:tcW w:type="dxa" w:w="2098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B3A"/>
                <w:sz w:val="20"/>
              </w:rPr>
              <w:t>售后主管</w:t>
            </w:r>
          </w:p>
        </w:tc>
        <w:tc>
          <w:tcPr>
            <w:tcW w:type="dxa" w:w="10715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B3A"/>
                <w:sz w:val="20"/>
              </w:rPr>
              <w:t>明确分派规则、审批路径、节点时限及人员承接；无人接手、临期和超时可及时发现。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B3A"/>
                <w:sz w:val="20"/>
              </w:rPr>
              <w:t>审批管理</w:t>
            </w:r>
          </w:p>
        </w:tc>
        <w:tc>
          <w:tcPr>
            <w:tcW w:type="dxa" w:w="2098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B3A"/>
                <w:sz w:val="20"/>
              </w:rPr>
              <w:t>业务审批人及技术</w:t>
            </w:r>
          </w:p>
        </w:tc>
        <w:tc>
          <w:tcPr>
            <w:tcW w:type="dxa" w:w="10715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B3A"/>
                <w:sz w:val="20"/>
              </w:rPr>
              <w:t>方案资料自动带入钉钉；审批编号与工单关联；通过、驳回及发起异常都有明确后续处理。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B3A"/>
                <w:sz w:val="20"/>
              </w:rPr>
              <w:t>付款及置换办理</w:t>
            </w:r>
          </w:p>
        </w:tc>
        <w:tc>
          <w:tcPr>
            <w:tcW w:type="dxa" w:w="2098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B3A"/>
                <w:sz w:val="20"/>
              </w:rPr>
              <w:t>财务与采购</w:t>
            </w:r>
          </w:p>
        </w:tc>
        <w:tc>
          <w:tcPr>
            <w:tcW w:type="dxa" w:w="10715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F3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B3A"/>
                <w:sz w:val="20"/>
              </w:rPr>
              <w:t>审批通过后生成对应任务；原路退款、转账和置换结果回写，全部事项完成后才能结案。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B3A"/>
                <w:sz w:val="20"/>
              </w:rPr>
              <w:t>客诉分析</w:t>
            </w:r>
          </w:p>
        </w:tc>
        <w:tc>
          <w:tcPr>
            <w:tcW w:type="dxa" w:w="2098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B3A"/>
                <w:sz w:val="20"/>
              </w:rPr>
              <w:t>售后主管及管理层</w:t>
            </w:r>
          </w:p>
        </w:tc>
        <w:tc>
          <w:tcPr>
            <w:tcW w:type="dxa" w:w="10715"/>
            <w:vAlign w:val="center"/>
            <w:tcMar>
              <w:top w:w="115" w:type="dxa"/>
              <w:bottom w:w="115" w:type="dxa"/>
              <w:left w:w="130" w:type="dxa"/>
              <w:right w:w="13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B3A"/>
                <w:sz w:val="20"/>
              </w:rPr>
              <w:t>按门店、环节、办理人查看耗时、超时和退回情况，持续调整审批和执行安排。</w:t>
            </w:r>
          </w:p>
        </w:tc>
      </w:tr>
    </w:tbl>
    <w:p>
      <w:pPr>
        <w:spacing w:after="20"/>
      </w:pPr>
      <w:r>
        <w:rPr>
          <w:rFonts w:ascii="Arial Unicode MS" w:hAnsi="Arial Unicode MS" w:eastAsia="Arial Unicode MS"/>
          <w:sz w:val="6"/>
        </w:rPr>
      </w:r>
    </w:p>
    <w:p>
      <w:pPr>
        <w:pStyle w:val="Heading2"/>
      </w:pPr>
      <w:r>
        <w:t>需要持续观察的指标</w:t>
      </w:r>
    </w:p>
    <w:p>
      <w:pPr>
        <w:spacing w:after="120"/>
      </w:pPr>
      <w:r>
        <w:rPr>
          <w:rFonts w:ascii="Arial Unicode MS" w:hAnsi="Arial Unicode MS" w:eastAsia="Arial Unicode MS"/>
          <w:b/>
          <w:sz w:val="20"/>
        </w:rPr>
        <w:t>全流程耗时：</w:t>
      </w:r>
      <w:r>
        <w:rPr>
          <w:rFonts w:ascii="Arial Unicode MS" w:hAnsi="Arial Unicode MS" w:eastAsia="Arial Unicode MS"/>
          <w:sz w:val="20"/>
        </w:rPr>
        <w:t>分别统计发起至退款到账或置换履约完成、发起至结案的时间。节点等待：重点看业务审批、钉钉发起、钉钉审批及审批通过至执行的间隔。</w:t>
      </w:r>
    </w:p>
    <w:p>
      <w:pPr>
        <w:spacing w:after="120"/>
      </w:pPr>
      <w:r>
        <w:rPr>
          <w:rFonts w:ascii="Arial Unicode MS" w:hAnsi="Arial Unicode MS" w:eastAsia="Arial Unicode MS"/>
          <w:b/>
          <w:sz w:val="20"/>
        </w:rPr>
        <w:t>执行质量：</w:t>
      </w:r>
      <w:r>
        <w:rPr>
          <w:rFonts w:ascii="Arial Unicode MS" w:hAnsi="Arial Unicode MS" w:eastAsia="Arial Unicode MS"/>
          <w:sz w:val="20"/>
        </w:rPr>
        <w:t>跟踪超时率、资料补充次数、审批退回率，以及已审批未付款或未履约的积压量。先采集现有同类工单作为基线，再比较试点结果，不预设未经验证的提效比例。</w:t>
      </w:r>
    </w:p>
    <w:p>
      <w:pPr>
        <w:spacing w:after="0"/>
      </w:pPr>
      <w:r>
        <w:rPr>
          <w:rFonts w:ascii="Arial Unicode MS" w:hAnsi="Arial Unicode MS" w:eastAsia="Arial Unicode MS"/>
          <w:b/>
          <w:sz w:val="20"/>
        </w:rPr>
        <w:t>上线准备：</w:t>
      </w:r>
      <w:r>
        <w:rPr>
          <w:rFonts w:ascii="Arial Unicode MS" w:hAnsi="Arial Unicode MS" w:eastAsia="Arial Unicode MS"/>
          <w:sz w:val="20"/>
        </w:rPr>
        <w:t>业务确定责任人、授权路径与节点期限；财务明确退款对象、付款安排及账务口径；技术完成钉钉和内部分账系统对接并验证异常处理。</w:t>
      </w:r>
    </w:p>
    <w:sectPr w:rsidR="00FC693F" w:rsidRPr="0006063C" w:rsidSect="00034616">
      <w:footerReference w:type="default" r:id="rId12"/>
      <w:pgSz w:w="16838" w:h="11906"/>
      <w:pgMar w:top="737" w:right="1020" w:bottom="680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8757F"/>
        <w:sz w:val="16"/>
      </w:rPr>
      <w:t xml:space="preserve">客诉流程方案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auto" w:after="120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/>
      <w:outlineLvl w:val="1"/>
    </w:pPr>
    <w:rPr>
      <w:rFonts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客诉办理与退款流程提效方案</dc:title>
  <dc:subject>当前主流程 等待位置 系统提效 退款执行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