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D36A" w14:textId="77777777" w:rsidR="00364156" w:rsidRDefault="004A2335">
      <w:pPr>
        <w:pStyle w:val="2"/>
        <w:jc w:val="center"/>
        <w:rPr>
          <w:sz w:val="44"/>
          <w:szCs w:val="36"/>
        </w:rPr>
      </w:pPr>
      <w:r>
        <w:rPr>
          <w:rFonts w:hint="eastAsia"/>
          <w:sz w:val="44"/>
          <w:szCs w:val="36"/>
        </w:rPr>
        <w:t>广东工业大学通识</w:t>
      </w:r>
      <w:proofErr w:type="gramStart"/>
      <w:r>
        <w:rPr>
          <w:rFonts w:hint="eastAsia"/>
          <w:sz w:val="44"/>
          <w:szCs w:val="36"/>
        </w:rPr>
        <w:t>选修课结课论文</w:t>
      </w:r>
      <w:proofErr w:type="gramEnd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962"/>
        <w:gridCol w:w="2202"/>
        <w:gridCol w:w="1921"/>
        <w:gridCol w:w="1035"/>
      </w:tblGrid>
      <w:tr w:rsidR="00364156" w14:paraId="2AE3B985" w14:textId="77777777">
        <w:trPr>
          <w:jc w:val="center"/>
        </w:trPr>
        <w:tc>
          <w:tcPr>
            <w:tcW w:w="1202" w:type="dxa"/>
          </w:tcPr>
          <w:p w14:paraId="705473FA" w14:textId="77777777" w:rsidR="00364156" w:rsidRDefault="004A23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讲座序号</w:t>
            </w:r>
          </w:p>
        </w:tc>
        <w:tc>
          <w:tcPr>
            <w:tcW w:w="2019" w:type="dxa"/>
          </w:tcPr>
          <w:p w14:paraId="72F2424A" w14:textId="77777777" w:rsidR="00364156" w:rsidRDefault="004A23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班级序号</w:t>
            </w:r>
          </w:p>
        </w:tc>
        <w:tc>
          <w:tcPr>
            <w:tcW w:w="2268" w:type="dxa"/>
          </w:tcPr>
          <w:p w14:paraId="52E6167B" w14:textId="77777777" w:rsidR="00364156" w:rsidRDefault="004A23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976" w:type="dxa"/>
          </w:tcPr>
          <w:p w14:paraId="5FF9416D" w14:textId="77777777" w:rsidR="00364156" w:rsidRDefault="004A23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57" w:type="dxa"/>
          </w:tcPr>
          <w:p w14:paraId="784FDD24" w14:textId="77777777" w:rsidR="00364156" w:rsidRDefault="004A23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 w:rsidR="00364156" w14:paraId="2BA62718" w14:textId="77777777">
        <w:trPr>
          <w:jc w:val="center"/>
        </w:trPr>
        <w:tc>
          <w:tcPr>
            <w:tcW w:w="1202" w:type="dxa"/>
          </w:tcPr>
          <w:p w14:paraId="7D50FE80" w14:textId="6E1C5633" w:rsidR="00364156" w:rsidRDefault="007755C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2019" w:type="dxa"/>
          </w:tcPr>
          <w:p w14:paraId="274076E1" w14:textId="4873CEA9" w:rsidR="00364156" w:rsidRDefault="007755C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268" w:type="dxa"/>
          </w:tcPr>
          <w:p w14:paraId="6F1D4B4F" w14:textId="6D7756E1" w:rsidR="00364156" w:rsidRDefault="007755C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机械电子工程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1976" w:type="dxa"/>
          </w:tcPr>
          <w:p w14:paraId="51DF1108" w14:textId="26CBA8ED" w:rsidR="00364156" w:rsidRDefault="007755C3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邱</w:t>
            </w:r>
            <w:proofErr w:type="gramEnd"/>
            <w:r>
              <w:rPr>
                <w:rFonts w:hint="eastAsia"/>
                <w:sz w:val="24"/>
              </w:rPr>
              <w:t>棱烁</w:t>
            </w:r>
          </w:p>
        </w:tc>
        <w:tc>
          <w:tcPr>
            <w:tcW w:w="1057" w:type="dxa"/>
          </w:tcPr>
          <w:p w14:paraId="759D3925" w14:textId="77777777" w:rsidR="00364156" w:rsidRDefault="00364156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64156" w14:paraId="0ED26577" w14:textId="77777777">
        <w:trPr>
          <w:jc w:val="center"/>
        </w:trPr>
        <w:tc>
          <w:tcPr>
            <w:tcW w:w="1202" w:type="dxa"/>
          </w:tcPr>
          <w:p w14:paraId="203697DE" w14:textId="77777777" w:rsidR="00364156" w:rsidRDefault="004A23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7320" w:type="dxa"/>
            <w:gridSpan w:val="4"/>
          </w:tcPr>
          <w:p w14:paraId="696CD273" w14:textId="77777777" w:rsidR="00364156" w:rsidRDefault="004A2335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结合系列讲座知识，自选话题，自拟题目，完成一篇论文，限2000字。</w:t>
            </w:r>
            <w:r>
              <w:rPr>
                <w:rFonts w:hint="eastAsia"/>
                <w:sz w:val="24"/>
              </w:rPr>
              <w:t>请自觉遵守学术规范，文末列出参考文献。</w:t>
            </w:r>
          </w:p>
        </w:tc>
      </w:tr>
    </w:tbl>
    <w:p w14:paraId="4FEF8966" w14:textId="22A9623C" w:rsidR="00364156" w:rsidRDefault="00BE6388" w:rsidP="00BE6388">
      <w:pPr>
        <w:pStyle w:val="1"/>
        <w:jc w:val="center"/>
        <w:rPr>
          <w:rFonts w:hint="eastAsia"/>
        </w:rPr>
      </w:pPr>
      <w:r>
        <w:rPr>
          <w:rFonts w:hint="eastAsia"/>
        </w:rPr>
        <w:t>就沟通与礼仪讲座谈礼仪的意蕴与呈现</w:t>
      </w:r>
    </w:p>
    <w:p w14:paraId="130A3227" w14:textId="16E5FCD6" w:rsidR="00BE6388" w:rsidRDefault="00BE6388" w:rsidP="00BE6388">
      <w:pPr>
        <w:pStyle w:val="a6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pacing w:val="9"/>
        </w:rPr>
      </w:pPr>
      <w:r w:rsidRPr="00BE6388">
        <w:rPr>
          <w:rFonts w:ascii="Arial" w:hAnsi="Arial" w:cs="Arial" w:hint="eastAsia"/>
          <w:color w:val="333333"/>
          <w:spacing w:val="9"/>
        </w:rPr>
        <w:t>通过这一次讲座，我知道了沟通与礼仪的概念，具体的沟通艺术、形象礼仪和</w:t>
      </w:r>
      <w:proofErr w:type="gramStart"/>
      <w:r w:rsidRPr="00BE6388">
        <w:rPr>
          <w:rFonts w:ascii="Arial" w:hAnsi="Arial" w:cs="Arial" w:hint="eastAsia"/>
          <w:color w:val="333333"/>
          <w:spacing w:val="9"/>
        </w:rPr>
        <w:t>职场</w:t>
      </w:r>
      <w:proofErr w:type="gramEnd"/>
      <w:r w:rsidRPr="00BE6388">
        <w:rPr>
          <w:rFonts w:ascii="Arial" w:hAnsi="Arial" w:cs="Arial" w:hint="eastAsia"/>
          <w:color w:val="333333"/>
          <w:spacing w:val="9"/>
        </w:rPr>
        <w:t>通用礼仪。</w:t>
      </w:r>
    </w:p>
    <w:p w14:paraId="10215CD6" w14:textId="67B9CF77" w:rsidR="00BE6388" w:rsidRPr="00BE6388" w:rsidRDefault="00BE6388" w:rsidP="00BE6388">
      <w:pPr>
        <w:pStyle w:val="a6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 w:hint="eastAsia"/>
          <w:color w:val="333333"/>
          <w:spacing w:val="9"/>
        </w:rPr>
      </w:pPr>
      <w:r>
        <w:rPr>
          <w:rFonts w:ascii="Arial" w:hAnsi="Arial" w:cs="Arial" w:hint="eastAsia"/>
          <w:color w:val="333333"/>
          <w:spacing w:val="9"/>
        </w:rPr>
        <w:t>下面谈谈我在讲座后礼仪的意蕴与呈现。</w:t>
      </w:r>
    </w:p>
    <w:p w14:paraId="1C6B1460" w14:textId="0F6E3C41" w:rsidR="00BE6388" w:rsidRDefault="00BE6388" w:rsidP="00BE6388">
      <w:pPr>
        <w:pStyle w:val="a6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pacing w:val="9"/>
        </w:rPr>
      </w:pPr>
      <w:r>
        <w:rPr>
          <w:rFonts w:ascii="Arial" w:hAnsi="Arial" w:cs="Arial"/>
          <w:color w:val="333333"/>
          <w:spacing w:val="9"/>
        </w:rPr>
        <w:t>礼仪是以构建和谐社会关系为目的、符合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礼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的精神的行为规范和仪式的总和。礼仪的内涵非常宽泛，与政治经济、文化艺术、道德伦理、宗教风俗等相关联，以众多的表现形式影响社会生活。礼仪是生活的智慧，也是生存的美学，具有深厚的审美意蕴。黑格尔说，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意蕴总是比直接显现的形象更为深远的一种东西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，礼仪的审美意蕴是人们在社会生活中通过</w:t>
      </w:r>
      <w:proofErr w:type="gramStart"/>
      <w:r>
        <w:rPr>
          <w:rFonts w:ascii="Arial" w:hAnsi="Arial" w:cs="Arial"/>
          <w:color w:val="333333"/>
          <w:spacing w:val="9"/>
        </w:rPr>
        <w:t>遵</w:t>
      </w:r>
      <w:proofErr w:type="gramEnd"/>
      <w:r>
        <w:rPr>
          <w:rFonts w:ascii="Arial" w:hAnsi="Arial" w:cs="Arial"/>
          <w:color w:val="333333"/>
          <w:spacing w:val="9"/>
        </w:rPr>
        <w:t>德守礼展现出来的美的理性内涵，一般可以从两个层面来呈现，即形的层面和</w:t>
      </w:r>
      <w:proofErr w:type="gramStart"/>
      <w:r>
        <w:rPr>
          <w:rFonts w:ascii="Arial" w:hAnsi="Arial" w:cs="Arial"/>
          <w:color w:val="333333"/>
          <w:spacing w:val="9"/>
        </w:rPr>
        <w:t>意的</w:t>
      </w:r>
      <w:proofErr w:type="gramEnd"/>
      <w:r>
        <w:rPr>
          <w:rFonts w:ascii="Arial" w:hAnsi="Arial" w:cs="Arial"/>
          <w:color w:val="333333"/>
          <w:spacing w:val="9"/>
        </w:rPr>
        <w:t>层面。</w:t>
      </w:r>
    </w:p>
    <w:p w14:paraId="52F96211" w14:textId="77777777" w:rsidR="00BE6388" w:rsidRDefault="00BE6388" w:rsidP="00BE6388">
      <w:pPr>
        <w:pStyle w:val="a6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pacing w:val="9"/>
        </w:rPr>
      </w:pPr>
      <w:r>
        <w:rPr>
          <w:rFonts w:ascii="Arial" w:hAnsi="Arial" w:cs="Arial"/>
          <w:color w:val="333333"/>
          <w:spacing w:val="9"/>
        </w:rPr>
        <w:t>形的层面，礼仪指导下的社会行为有很强的直观性。首先，礼仪规范指导下的行为将具象与抽象完美融合。中国古人强调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立</w:t>
      </w:r>
      <w:proofErr w:type="gramStart"/>
      <w:r>
        <w:rPr>
          <w:rFonts w:ascii="Arial" w:hAnsi="Arial" w:cs="Arial"/>
          <w:color w:val="333333"/>
          <w:spacing w:val="9"/>
        </w:rPr>
        <w:t>象</w:t>
      </w:r>
      <w:proofErr w:type="gramEnd"/>
      <w:r>
        <w:rPr>
          <w:rFonts w:ascii="Arial" w:hAnsi="Arial" w:cs="Arial"/>
          <w:color w:val="333333"/>
          <w:spacing w:val="9"/>
        </w:rPr>
        <w:t>以尽意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，认为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言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所不能尽的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意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，可以通过</w:t>
      </w:r>
      <w:proofErr w:type="gramStart"/>
      <w:r>
        <w:rPr>
          <w:rFonts w:ascii="Arial" w:hAnsi="Arial" w:cs="Arial"/>
          <w:color w:val="333333"/>
          <w:spacing w:val="9"/>
        </w:rPr>
        <w:t>象</w:t>
      </w:r>
      <w:r>
        <w:rPr>
          <w:rFonts w:ascii="Arial" w:hAnsi="Arial" w:cs="Arial"/>
          <w:color w:val="333333"/>
          <w:spacing w:val="9"/>
        </w:rPr>
        <w:t>”</w:t>
      </w:r>
      <w:proofErr w:type="gramEnd"/>
      <w:r>
        <w:rPr>
          <w:rFonts w:ascii="Arial" w:hAnsi="Arial" w:cs="Arial"/>
          <w:color w:val="333333"/>
          <w:spacing w:val="9"/>
        </w:rPr>
        <w:t>以尽之。通常情况下，规范的行为彰显的意</w:t>
      </w:r>
      <w:proofErr w:type="gramStart"/>
      <w:r>
        <w:rPr>
          <w:rFonts w:ascii="Arial" w:hAnsi="Arial" w:cs="Arial"/>
          <w:color w:val="333333"/>
          <w:spacing w:val="9"/>
        </w:rPr>
        <w:t>”</w:t>
      </w:r>
      <w:proofErr w:type="gramEnd"/>
      <w:r>
        <w:rPr>
          <w:rFonts w:ascii="Arial" w:hAnsi="Arial" w:cs="Arial"/>
          <w:color w:val="333333"/>
          <w:spacing w:val="9"/>
        </w:rPr>
        <w:t>，比语言具有更强的呈现感，能容纳更丰富的意象。那些经过社会反复凝练、概括并组合成样式复杂的礼仪，依靠具体行为与抽象的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礼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的概念嵌合，将美学中的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行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与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形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、意</w:t>
      </w:r>
      <w:proofErr w:type="gramStart"/>
      <w:r>
        <w:rPr>
          <w:rFonts w:ascii="Arial" w:hAnsi="Arial" w:cs="Arial"/>
          <w:color w:val="333333"/>
          <w:spacing w:val="9"/>
        </w:rPr>
        <w:t>”</w:t>
      </w:r>
      <w:proofErr w:type="gramEnd"/>
      <w:r>
        <w:rPr>
          <w:rFonts w:ascii="Arial" w:hAnsi="Arial" w:cs="Arial"/>
          <w:color w:val="333333"/>
          <w:spacing w:val="9"/>
        </w:rPr>
        <w:t>与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象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等融会贯通，以约定俗成的方式提供可视形象和美的引导，从而在社会生活里构建出令人耳目一新的美的形象。</w:t>
      </w:r>
    </w:p>
    <w:p w14:paraId="4434130C" w14:textId="77777777" w:rsidR="00BE6388" w:rsidRDefault="00BE6388" w:rsidP="00BE6388">
      <w:pPr>
        <w:pStyle w:val="a6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pacing w:val="9"/>
        </w:rPr>
      </w:pPr>
      <w:r>
        <w:rPr>
          <w:rFonts w:ascii="Arial" w:hAnsi="Arial" w:cs="Arial"/>
          <w:color w:val="333333"/>
          <w:spacing w:val="9"/>
        </w:rPr>
        <w:t>其次，</w:t>
      </w:r>
      <w:proofErr w:type="gramStart"/>
      <w:r>
        <w:rPr>
          <w:rFonts w:ascii="Arial" w:hAnsi="Arial" w:cs="Arial"/>
          <w:color w:val="333333"/>
          <w:spacing w:val="9"/>
        </w:rPr>
        <w:t>通过融雅入俗</w:t>
      </w:r>
      <w:proofErr w:type="gramEnd"/>
      <w:r>
        <w:rPr>
          <w:rFonts w:ascii="Arial" w:hAnsi="Arial" w:cs="Arial"/>
          <w:color w:val="333333"/>
          <w:spacing w:val="9"/>
        </w:rPr>
        <w:t>的礼仪实践，对生活进行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俗雅浸融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的审美呈现。在惯常的审美秩序中，雅文化与俗文化的表现形式与接受群体泾渭分明。</w:t>
      </w:r>
      <w:r>
        <w:rPr>
          <w:rFonts w:ascii="Arial" w:hAnsi="Arial" w:cs="Arial"/>
          <w:color w:val="333333"/>
          <w:spacing w:val="9"/>
        </w:rPr>
        <w:lastRenderedPageBreak/>
        <w:t>虽然现代意义上的审美标准发生了很大变化，但雅文化和俗文化的界限仍在。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缘人情而制礼，依人性而作仪</w:t>
      </w:r>
      <w:r>
        <w:rPr>
          <w:rFonts w:ascii="Arial" w:hAnsi="Arial" w:cs="Arial"/>
          <w:color w:val="333333"/>
          <w:spacing w:val="9"/>
        </w:rPr>
        <w:t>”“</w:t>
      </w:r>
      <w:r>
        <w:rPr>
          <w:rFonts w:ascii="Arial" w:hAnsi="Arial" w:cs="Arial"/>
          <w:color w:val="333333"/>
          <w:spacing w:val="9"/>
        </w:rPr>
        <w:t>礼失而求诸野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等采风观俗、以</w:t>
      </w:r>
      <w:proofErr w:type="gramStart"/>
      <w:r>
        <w:rPr>
          <w:rFonts w:ascii="Arial" w:hAnsi="Arial" w:cs="Arial"/>
          <w:color w:val="333333"/>
          <w:spacing w:val="9"/>
        </w:rPr>
        <w:t>礼导俗的</w:t>
      </w:r>
      <w:proofErr w:type="gramEnd"/>
      <w:r>
        <w:rPr>
          <w:rFonts w:ascii="Arial" w:hAnsi="Arial" w:cs="Arial"/>
          <w:color w:val="333333"/>
          <w:spacing w:val="9"/>
        </w:rPr>
        <w:t>文化传统，使礼仪自古以来就具有雅俗相融的特征。礼仪既是雅文化的一种，有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阳春白雪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的范式，也是俗文化的组成，有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下里巴人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的表征。这样的文化背景，使礼仪融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俗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入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礼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、以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礼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导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俗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的范式可以承载更多的审美意识和审美标准，而礼仪教育、礼仪训练、礼仪实践的开展也让雅俗共赏不只是一种审美理想，更是一种审美呈现。</w:t>
      </w:r>
    </w:p>
    <w:p w14:paraId="1CCB8A47" w14:textId="77777777" w:rsidR="00BE6388" w:rsidRDefault="00BE6388" w:rsidP="00BE6388">
      <w:pPr>
        <w:pStyle w:val="a6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pacing w:val="9"/>
        </w:rPr>
      </w:pPr>
      <w:r>
        <w:rPr>
          <w:rFonts w:ascii="Arial" w:hAnsi="Arial" w:cs="Arial"/>
          <w:color w:val="333333"/>
          <w:spacing w:val="9"/>
        </w:rPr>
        <w:t>再次，艺术化的审美创造，使礼仪更显美的神韵。审美是一种与社会生活充满关联的活动，审美的意义就在于实现人的生活的美化。礼仪由生活需要而触发，为美的生活而创作，生活的最美境界就是被礼遇地生活。个人礼仪、公共礼仪、职业礼仪、民俗礼仪、涉外礼仪以独有的规则和独特的形式出现在各种社会场景中，以肢体动作、服装配饰、语言语调、仪容仪态、迎来送往、活动仪式来呈现社会审美的现实、想象和意义，并通过修饰和艺术化的手段呈现美的风骨、美的情感和美的价值追求，成为社会主流审美意识变化的动态影像。</w:t>
      </w:r>
    </w:p>
    <w:p w14:paraId="4784943E" w14:textId="75C3CC05" w:rsidR="00BE6388" w:rsidRDefault="00BE6388" w:rsidP="00BE6388">
      <w:pPr>
        <w:pStyle w:val="a6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pacing w:val="9"/>
        </w:rPr>
      </w:pPr>
      <w:r>
        <w:rPr>
          <w:rFonts w:ascii="Arial" w:hAnsi="Arial" w:cs="Arial"/>
          <w:color w:val="333333"/>
          <w:spacing w:val="9"/>
        </w:rPr>
        <w:t>意的层面，礼仪包含的文化内涵，构成了礼仪之美的特殊意蕴。首先，礼仪以涵养身心为旨归，承载着人的品位与格调。宋代绘画史论家郭若虚将艺术表达与人品结合起来，认为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人品既已高矣，气韵不得不高；气韵既已高矣，生动不得不至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。礼仪虽然不是艺术，礼仪表达的本身也不以审美意象的创造为目的，但艺术化了的礼仪与艺术有异曲同工之妙。礼仪以简约含蓄、高度凝练的艺术化表达负载真挚情感，其中美的样式所抒发的韵味有时比</w:t>
      </w:r>
      <w:proofErr w:type="gramStart"/>
      <w:r>
        <w:rPr>
          <w:rFonts w:ascii="Arial" w:hAnsi="Arial" w:cs="Arial"/>
          <w:color w:val="333333"/>
          <w:spacing w:val="9"/>
        </w:rPr>
        <w:t>艺术更语近情</w:t>
      </w:r>
      <w:proofErr w:type="gramEnd"/>
      <w:r>
        <w:rPr>
          <w:rFonts w:ascii="Arial" w:hAnsi="Arial" w:cs="Arial"/>
          <w:color w:val="333333"/>
          <w:spacing w:val="9"/>
        </w:rPr>
        <w:t>遥、绵长醇厚。作为基本的公共生活准则，礼仪规范对人的本性进行陶冶节制，对喜怒哀乐的抒发给予理智规约，使个人在履行社会责任中培养文明素养，形成向善、有序的价值观念和高尚的精神追求。</w:t>
      </w:r>
    </w:p>
    <w:p w14:paraId="4437EF2E" w14:textId="77777777" w:rsidR="00BE6388" w:rsidRDefault="00BE6388" w:rsidP="00BE6388">
      <w:pPr>
        <w:pStyle w:val="a6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pacing w:val="9"/>
        </w:rPr>
      </w:pPr>
      <w:r>
        <w:rPr>
          <w:rFonts w:ascii="Arial" w:hAnsi="Arial" w:cs="Arial"/>
          <w:color w:val="333333"/>
          <w:spacing w:val="9"/>
        </w:rPr>
        <w:t>其次，礼仪蕴含</w:t>
      </w:r>
      <w:proofErr w:type="gramStart"/>
      <w:r>
        <w:rPr>
          <w:rFonts w:ascii="Arial" w:hAnsi="Arial" w:cs="Arial"/>
          <w:color w:val="333333"/>
          <w:spacing w:val="9"/>
        </w:rPr>
        <w:t>着家国</w:t>
      </w:r>
      <w:proofErr w:type="gramEnd"/>
      <w:r>
        <w:rPr>
          <w:rFonts w:ascii="Arial" w:hAnsi="Arial" w:cs="Arial"/>
          <w:color w:val="333333"/>
          <w:spacing w:val="9"/>
        </w:rPr>
        <w:t>情怀，体现了厚德载物的道德境界。礼仪从人类文明传承中来，具有深厚的道德根基。中国古人制礼，融入了自己的道德情怀和社会理想。所谓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礼者理也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，礼仪不仅是规则，也是我心即礼、礼即我心的超乎形质之上的大境界。依托于视觉又脱离于视觉的礼仪表达，体</w:t>
      </w:r>
      <w:r>
        <w:rPr>
          <w:rFonts w:ascii="Arial" w:hAnsi="Arial" w:cs="Arial"/>
          <w:color w:val="333333"/>
          <w:spacing w:val="9"/>
        </w:rPr>
        <w:lastRenderedPageBreak/>
        <w:t>现的是天下为公的家国情怀和亲仁善邻的处世之道，体现的是律己敬人的道德境界和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大美无言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的审美理性。礼仪具备传递真善美的特性、创造真善美的功能。从礼仪的表达中，我们可以看到人类的精神求索，看到自然美、生活美、心灵美，看到艺术美、秩序美、道德美以及由此产生的人生境界美，这是礼仪之美展现的最深厚的德性基因。</w:t>
      </w:r>
    </w:p>
    <w:p w14:paraId="764E8F78" w14:textId="7B8CBC6C" w:rsidR="00364156" w:rsidRDefault="00BE6388" w:rsidP="00877E31">
      <w:pPr>
        <w:pStyle w:val="a6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/>
          <w:color w:val="333333"/>
          <w:spacing w:val="9"/>
        </w:rPr>
      </w:pPr>
      <w:r>
        <w:rPr>
          <w:rFonts w:ascii="Arial" w:hAnsi="Arial" w:cs="Arial"/>
          <w:color w:val="333333"/>
          <w:spacing w:val="9"/>
        </w:rPr>
        <w:t>再次，礼仪是一种韵味不同的文明，</w:t>
      </w:r>
      <w:proofErr w:type="gramStart"/>
      <w:r>
        <w:rPr>
          <w:rFonts w:ascii="Arial" w:hAnsi="Arial" w:cs="Arial"/>
          <w:color w:val="333333"/>
          <w:spacing w:val="9"/>
        </w:rPr>
        <w:t>沉淀着</w:t>
      </w:r>
      <w:proofErr w:type="gramEnd"/>
      <w:r>
        <w:rPr>
          <w:rFonts w:ascii="Arial" w:hAnsi="Arial" w:cs="Arial"/>
          <w:color w:val="333333"/>
          <w:spacing w:val="9"/>
        </w:rPr>
        <w:t>深厚的人文底色。以人类命运共同体理念为指引的新文明观，强调不同文明应当正视差异、彼此尊重、互学互鉴、和</w:t>
      </w:r>
      <w:proofErr w:type="gramStart"/>
      <w:r>
        <w:rPr>
          <w:rFonts w:ascii="Arial" w:hAnsi="Arial" w:cs="Arial"/>
          <w:color w:val="333333"/>
          <w:spacing w:val="9"/>
        </w:rPr>
        <w:t>而</w:t>
      </w:r>
      <w:proofErr w:type="gramEnd"/>
      <w:r>
        <w:rPr>
          <w:rFonts w:ascii="Arial" w:hAnsi="Arial" w:cs="Arial"/>
          <w:color w:val="333333"/>
          <w:spacing w:val="9"/>
        </w:rPr>
        <w:t>不同。礼仪作为人类文明共处的方式，倡导以尊重的方式消除隔阂、以礼貌的方式消弭冲突、以包容的方式和谐共处，蕴含着平等、尊重、包容的文明观，是拉近彼此距离、播撒友好种子、加强国际国内交流的强大媒介。那些用各种形态和万千细节创造出的礼仪符号，以仪式的大气凝重、雄浑开阔，交往的入乡随俗、求同存异，言语生动凝练、表达严谨，服饰的应时应景、细腻丰富等，</w:t>
      </w:r>
      <w:proofErr w:type="gramStart"/>
      <w:r>
        <w:rPr>
          <w:rFonts w:ascii="Arial" w:hAnsi="Arial" w:cs="Arial"/>
          <w:color w:val="333333"/>
          <w:spacing w:val="9"/>
        </w:rPr>
        <w:t>诠释着</w:t>
      </w:r>
      <w:proofErr w:type="gramEnd"/>
      <w:r>
        <w:rPr>
          <w:rFonts w:ascii="Arial" w:hAnsi="Arial" w:cs="Arial"/>
          <w:color w:val="333333"/>
          <w:spacing w:val="9"/>
        </w:rPr>
        <w:t>不同的文明底色。礼仪以宜人的形式满足他人与社会的审美需求，让多样性的世界和多重性的社会充满温情，让不同世界观、人生观、价值观的人们以文明的方式相交相知、互学互鉴，从而达到</w:t>
      </w:r>
      <w:r>
        <w:rPr>
          <w:rFonts w:ascii="Arial" w:hAnsi="Arial" w:cs="Arial"/>
          <w:color w:val="333333"/>
          <w:spacing w:val="9"/>
        </w:rPr>
        <w:t>“</w:t>
      </w:r>
      <w:r>
        <w:rPr>
          <w:rFonts w:ascii="Arial" w:hAnsi="Arial" w:cs="Arial"/>
          <w:color w:val="333333"/>
          <w:spacing w:val="9"/>
        </w:rPr>
        <w:t>各美其美、美美与共</w:t>
      </w:r>
      <w:r>
        <w:rPr>
          <w:rFonts w:ascii="Arial" w:hAnsi="Arial" w:cs="Arial"/>
          <w:color w:val="333333"/>
          <w:spacing w:val="9"/>
        </w:rPr>
        <w:t>”</w:t>
      </w:r>
      <w:r>
        <w:rPr>
          <w:rFonts w:ascii="Arial" w:hAnsi="Arial" w:cs="Arial"/>
          <w:color w:val="333333"/>
          <w:spacing w:val="9"/>
        </w:rPr>
        <w:t>的大同境界。</w:t>
      </w:r>
    </w:p>
    <w:p w14:paraId="612579F0" w14:textId="77777777" w:rsidR="00877E31" w:rsidRPr="00877E31" w:rsidRDefault="00877E31" w:rsidP="00877E31">
      <w:pPr>
        <w:pStyle w:val="a6"/>
        <w:wordWrap w:val="0"/>
        <w:spacing w:before="0" w:beforeAutospacing="0" w:after="0" w:afterAutospacing="0" w:line="480" w:lineRule="atLeast"/>
        <w:ind w:firstLine="480"/>
        <w:jc w:val="both"/>
        <w:rPr>
          <w:rFonts w:ascii="Arial" w:hAnsi="Arial" w:cs="Arial" w:hint="eastAsia"/>
          <w:color w:val="333333"/>
          <w:spacing w:val="9"/>
        </w:rPr>
      </w:pPr>
    </w:p>
    <w:p w14:paraId="3EE2E4FB" w14:textId="77777777" w:rsidR="00364156" w:rsidRDefault="004A2335">
      <w:r>
        <w:rPr>
          <w:rFonts w:hint="eastAsia"/>
        </w:rPr>
        <w:t>参考文献：</w:t>
      </w:r>
    </w:p>
    <w:p w14:paraId="7EEA7F1F" w14:textId="3294463E" w:rsidR="00877E31" w:rsidRPr="00DB472E" w:rsidRDefault="00DB472E" w:rsidP="00DB472E">
      <w:pPr>
        <w:numPr>
          <w:ilvl w:val="0"/>
          <w:numId w:val="1"/>
        </w:numPr>
      </w:pPr>
      <w:r w:rsidRPr="00DB472E">
        <w:rPr>
          <w:rFonts w:hint="eastAsia"/>
        </w:rPr>
        <w:t>周红才</w:t>
      </w:r>
      <w:r w:rsidR="00877E31" w:rsidRPr="00DB472E">
        <w:rPr>
          <w:rFonts w:hint="eastAsia"/>
        </w:rPr>
        <w:t>．</w:t>
      </w:r>
      <w:r w:rsidRPr="00DB472E">
        <w:rPr>
          <w:rFonts w:hint="eastAsia"/>
        </w:rPr>
        <w:t>从“美”的视角传承礼仪文化</w:t>
      </w:r>
      <w:r w:rsidR="00877E31" w:rsidRPr="00DB472E">
        <w:rPr>
          <w:rFonts w:hint="eastAsia"/>
        </w:rPr>
        <w:t>．</w:t>
      </w:r>
      <w:r w:rsidRPr="00DB472E">
        <w:rPr>
          <w:rFonts w:hint="eastAsia"/>
        </w:rPr>
        <w:t>中国社会科学报</w:t>
      </w:r>
      <w:r w:rsidR="00877E31" w:rsidRPr="00DB472E">
        <w:t xml:space="preserve">, </w:t>
      </w:r>
      <w:r w:rsidRPr="00DB472E">
        <w:t>2021-12-07</w:t>
      </w:r>
      <w:r w:rsidR="00877E31" w:rsidRPr="00DB472E">
        <w:t xml:space="preserve">  </w:t>
      </w:r>
    </w:p>
    <w:p w14:paraId="21774ABA" w14:textId="6F4B11B0" w:rsidR="00364156" w:rsidRDefault="00DB472E">
      <w:pPr>
        <w:numPr>
          <w:ilvl w:val="0"/>
          <w:numId w:val="1"/>
        </w:numPr>
      </w:pPr>
      <w:r w:rsidRPr="00DB472E">
        <w:rPr>
          <w:rFonts w:hint="eastAsia"/>
        </w:rPr>
        <w:t>赵岚</w:t>
      </w:r>
      <w:r>
        <w:rPr>
          <w:rFonts w:hint="eastAsia"/>
        </w:rPr>
        <w:t xml:space="preserve"> .</w:t>
      </w:r>
      <w:r>
        <w:t xml:space="preserve"> </w:t>
      </w:r>
      <w:r w:rsidRPr="00DB472E">
        <w:rPr>
          <w:rFonts w:hint="eastAsia"/>
        </w:rPr>
        <w:t>礼仪视域下的行为之美</w:t>
      </w:r>
      <w:r>
        <w:rPr>
          <w:rFonts w:hint="eastAsia"/>
        </w:rPr>
        <w:t>.</w:t>
      </w:r>
      <w:r>
        <w:t xml:space="preserve"> </w:t>
      </w:r>
      <w:r w:rsidRPr="00DB472E">
        <w:rPr>
          <w:rFonts w:hint="eastAsia"/>
        </w:rPr>
        <w:t>中国社会科学报</w:t>
      </w:r>
      <w:r>
        <w:rPr>
          <w:rFonts w:hint="eastAsia"/>
        </w:rPr>
        <w:t xml:space="preserve"> </w:t>
      </w:r>
      <w:r w:rsidRPr="00DB472E">
        <w:t xml:space="preserve">2021-12-07  </w:t>
      </w:r>
    </w:p>
    <w:p w14:paraId="787A775E" w14:textId="7C754C52" w:rsidR="00364156" w:rsidRDefault="00DB472E">
      <w:pPr>
        <w:numPr>
          <w:ilvl w:val="0"/>
          <w:numId w:val="1"/>
        </w:numPr>
      </w:pPr>
      <w:proofErr w:type="gramStart"/>
      <w:r w:rsidRPr="00DB472E">
        <w:rPr>
          <w:rFonts w:hint="eastAsia"/>
        </w:rPr>
        <w:t>尚慧鹏</w:t>
      </w:r>
      <w:proofErr w:type="gramEnd"/>
      <w:r>
        <w:rPr>
          <w:rFonts w:hint="eastAsia"/>
        </w:rPr>
        <w:t xml:space="preserve"> .</w:t>
      </w:r>
      <w:r>
        <w:t xml:space="preserve"> </w:t>
      </w:r>
      <w:r w:rsidRPr="00DB472E">
        <w:rPr>
          <w:rFonts w:hint="eastAsia"/>
        </w:rPr>
        <w:tab/>
      </w:r>
      <w:r w:rsidRPr="00DB472E">
        <w:rPr>
          <w:rFonts w:hint="eastAsia"/>
        </w:rPr>
        <w:t>汉服与中华传统礼仪的推广路径研究</w:t>
      </w:r>
      <w:r>
        <w:rPr>
          <w:rFonts w:hint="eastAsia"/>
        </w:rPr>
        <w:t xml:space="preserve"> .</w:t>
      </w:r>
      <w:r>
        <w:t xml:space="preserve"> </w:t>
      </w:r>
      <w:r w:rsidRPr="00DB472E">
        <w:rPr>
          <w:rFonts w:hint="eastAsia"/>
        </w:rPr>
        <w:tab/>
      </w:r>
      <w:r w:rsidRPr="00DB472E">
        <w:rPr>
          <w:rFonts w:hint="eastAsia"/>
        </w:rPr>
        <w:t>棉纺织技术</w:t>
      </w:r>
      <w:r>
        <w:rPr>
          <w:rFonts w:hint="eastAsia"/>
        </w:rPr>
        <w:t xml:space="preserve"> </w:t>
      </w:r>
      <w:r w:rsidRPr="00DB472E">
        <w:t>2021-12-10</w:t>
      </w:r>
    </w:p>
    <w:p w14:paraId="0D423B07" w14:textId="77777777" w:rsidR="00364156" w:rsidRPr="00DB472E" w:rsidRDefault="00364156"/>
    <w:sectPr w:rsidR="00364156" w:rsidRPr="00DB472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57F5C" w14:textId="77777777" w:rsidR="007901F6" w:rsidRDefault="007901F6">
      <w:r>
        <w:separator/>
      </w:r>
    </w:p>
  </w:endnote>
  <w:endnote w:type="continuationSeparator" w:id="0">
    <w:p w14:paraId="0358C6DB" w14:textId="77777777" w:rsidR="007901F6" w:rsidRDefault="0079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C5DBE" w14:textId="77777777" w:rsidR="00364156" w:rsidRDefault="004A233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2AE8DF" wp14:editId="1F3474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6EC283" w14:textId="77777777" w:rsidR="00364156" w:rsidRDefault="004A2335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2AE8D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A6EC283" w14:textId="77777777" w:rsidR="00364156" w:rsidRDefault="004A2335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1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B9BBB" w14:textId="77777777" w:rsidR="007901F6" w:rsidRDefault="007901F6">
      <w:r>
        <w:separator/>
      </w:r>
    </w:p>
  </w:footnote>
  <w:footnote w:type="continuationSeparator" w:id="0">
    <w:p w14:paraId="0BA35935" w14:textId="77777777" w:rsidR="007901F6" w:rsidRDefault="00790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80F403"/>
    <w:multiLevelType w:val="singleLevel"/>
    <w:tmpl w:val="B480F4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C580B97"/>
    <w:multiLevelType w:val="multilevel"/>
    <w:tmpl w:val="4C580B97"/>
    <w:lvl w:ilvl="0">
      <w:start w:val="1"/>
      <w:numFmt w:val="decimal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56"/>
    <w:rsid w:val="00364156"/>
    <w:rsid w:val="004A2335"/>
    <w:rsid w:val="007755C3"/>
    <w:rsid w:val="007901F6"/>
    <w:rsid w:val="00877E31"/>
    <w:rsid w:val="00BE6388"/>
    <w:rsid w:val="00DB472E"/>
    <w:rsid w:val="00E40ED3"/>
    <w:rsid w:val="09FE3FE6"/>
    <w:rsid w:val="11D42A5F"/>
    <w:rsid w:val="1205521D"/>
    <w:rsid w:val="182A5449"/>
    <w:rsid w:val="182D7B49"/>
    <w:rsid w:val="274279FF"/>
    <w:rsid w:val="29451FAB"/>
    <w:rsid w:val="366055D9"/>
    <w:rsid w:val="3D6E19D9"/>
    <w:rsid w:val="400938A0"/>
    <w:rsid w:val="55DF1442"/>
    <w:rsid w:val="5FED0877"/>
    <w:rsid w:val="60456125"/>
    <w:rsid w:val="636F78CE"/>
    <w:rsid w:val="664B38D1"/>
    <w:rsid w:val="73702515"/>
    <w:rsid w:val="79D74E94"/>
    <w:rsid w:val="7E0D5D21"/>
    <w:rsid w:val="7E1E4A24"/>
    <w:rsid w:val="7FAB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E4AF3"/>
  <w15:docId w15:val="{100E1986-A6BD-43C3-999B-CB3EEBC6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BE6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Hyperlink"/>
    <w:basedOn w:val="a0"/>
    <w:uiPriority w:val="99"/>
    <w:unhideWhenUsed/>
    <w:rsid w:val="00DB4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6893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727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907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47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0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42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58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55472</dc:creator>
  <cp:lastModifiedBy>邱 棱烁</cp:lastModifiedBy>
  <cp:revision>4</cp:revision>
  <dcterms:created xsi:type="dcterms:W3CDTF">2021-12-23T03:03:00Z</dcterms:created>
  <dcterms:modified xsi:type="dcterms:W3CDTF">2021-12-23T03:47:00Z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CA01E699A2DE45D3A4142FF95B1F44B5</vt:lpwstr>
  </property>
</Properties>
</file>