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0000"/>
        </w:rPr>
        <w:t>学习支持与辅导协作行业分析报告</w:t>
      </w:r>
    </w:p>
    <w:p>
      <w:pPr>
        <w:jc w:val="center"/>
      </w:pPr>
      <w:r>
        <w:rPr>
          <w:i/>
        </w:rPr>
        <w:t>面向在线教育学习服务的一期数智化转型建议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结论摘要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学习支持与辅导的关键难点不在于单次答复能力，而在于跨渠道请求的分拣、规则核对、跨角色交接和过程留痕。建议以受控任务协作为一期切入：先统一请求与责任状态，再将授权、规则版本和人工复核作为不可跳过的控制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一期应在单课程、单地区、脱敏样例的受控范围内验证处理时长、返工次数、版本正确率和人工复核成本。没有完成样本基线和权限确认前，不应承诺具体业务收益。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行业环境与业务变化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在线教育的学习服务从课后答疑逐步延伸到学习提醒、进度跟踪、作业反馈、学习路径建议和特殊支持协同。服务对象和问题类型增多后，单靠个人经验和即时沟通难以稳定地保持规则一致、责任清晰和体验可追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变化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对学习服务的影响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一期应对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服务渠道增加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请求分散在表单、即时通信和邮件，状态难以汇总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统一入口和匿名任务编号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规则频繁更新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课程政策、服务口径和适用范围容易使用旧版本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规则版本硬校验和变更留痕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协作角色增多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助教、运营、讲师和数据角色之间交接易遗漏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具名责任人和异常复核队列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合规要求提高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学习信息需要遵循最小化、授权和审计原则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最小字段、最小权限和人工控制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目标业务场景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本方案聚焦学习支持请求的接收、核对、分派、处理和复盘。一个请求只有在授权状态、服务规则版本和具名处理责任人均明确时，才进入处理队列；其余情况进入学习服务主任的人工复核队列。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主要关注点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一期责任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学习服务主任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服务价值与试点边界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批准范围、复核异常、决定继续或停止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助教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具体学习事件与现场习惯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提出并补充请求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课程运营员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材料、交接和规则执行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核对流程状态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课程讲师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学习内容与下游反馈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处理具名任务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教育数据专员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权限、留存和审计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审查数据控制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系统、版本和故障处理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实现接口与日志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转型方案与能力设计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转型后以任务为协作单元。请求进入后先标准化字段，再执行授权、规则版本与责任人校验。控制通过的请求由系统分派给具名角色；控制不通过的请求不自动继续，而是携带原因进入人工复核。每一个决定都形成审计事件，为后续复盘提供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一期实现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请求结构化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请求编号、区域、主题、来源角色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不收集非必要个人信息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规则控制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必填规则版本并与当前版本比对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版本不匹配必须阻断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协作分派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指定具名处理责任人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无责任人必须人工复核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审计复盘</w:t>
            </w:r>
          </w:p>
        </w:tc>
        <w:tc>
          <w:tcPr>
            <w:tcW w:type="dxa" w:w="368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记录决定、原因、下一责任人与事件</w:t>
            </w:r>
          </w:p>
        </w:tc>
        <w:tc>
          <w:tcPr>
            <w:tcW w:type="dxa" w:w="340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审计范围和留存期由数据负责人确认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价值衡量与试点建议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建议在试点前冻结指标口径，并按周抽取同类脱敏样本。关注首次响应时长、平均处理时长、返工次数、规则版本正确率、采用率和人工复核分钟数。指标变化应与对照组或试点前基线比较，避免将季节性波动或样本差异误认为方案收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试点判定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处理时长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从请求登记到具名责任人完成的时间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不高于基线且异常可解释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返工次数</w:t>
            </w:r>
          </w:p>
        </w:tc>
        <w:tc>
          <w:tcPr>
            <w:tcW w:type="dxa" w:w="408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因缺信息、版本错误或责任不清导致的重复处理</w:t>
            </w:r>
          </w:p>
        </w:tc>
        <w:tc>
          <w:tcPr>
            <w:tcW w:type="dxa" w:w="300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较基线下降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版本正确率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使用正确服务规则版本的任务占比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关键场景达到 100%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人工复核成本</w:t>
            </w:r>
          </w:p>
        </w:tc>
        <w:tc>
          <w:tcPr>
            <w:tcW w:type="dxa" w:w="4082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复核队列的人工分钟数</w:t>
            </w:r>
          </w:p>
        </w:tc>
        <w:tc>
          <w:tcPr>
            <w:tcW w:type="dxa" w:w="3005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转人工原因可分类并逐步优化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实施路线与决策条件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继续条件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业务挖掘和调研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1 至 2 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访谈、样例、指标口径、现状流程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关键角色确认问题和范围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需求与方案</w:t>
            </w:r>
          </w:p>
        </w:tc>
        <w:tc>
          <w:tcPr>
            <w:tcW w:type="dxa" w:w="1417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3 至 4 周</w:t>
            </w:r>
          </w:p>
        </w:tc>
        <w:tc>
          <w:tcPr>
            <w:tcW w:type="dxa" w:w="3969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需求矩阵、权限设计、试点计划</w:t>
            </w:r>
          </w:p>
        </w:tc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验收条件和数据访问获批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原型与测试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5 至 7 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可运行原型、测试报告、异常样例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控制逻辑通过评审</w:t>
            </w:r>
          </w:p>
        </w:tc>
      </w:tr>
      <w:tr>
        <w:tc>
          <w:tcPr>
            <w:tcW w:type="dxa" w:w="1814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受控试点</w:t>
            </w:r>
          </w:p>
        </w:tc>
        <w:tc>
          <w:tcPr>
            <w:tcW w:type="dxa" w:w="1417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8 至 10 周</w:t>
            </w:r>
          </w:p>
        </w:tc>
        <w:tc>
          <w:tcPr>
            <w:tcW w:type="dxa" w:w="3969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试点复盘、收益核对、交接建议</w:t>
            </w:r>
          </w:p>
        </w:tc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指标、风险和退出条件满足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建议由学习服务主任主持阶段评审。若授权、规则版本、数据访问或关键责任人任一未确认，应暂停扩大范围并回到对应阶段补齐证据。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学习支持与辅导协作行业分析报告</dc:title>
  <dc:subject/>
  <dc:creator>Learning Support Collaboration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