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D22E8">
      <w:pPr>
        <w:rPr>
          <w:rFonts w:hint="eastAsia" w:asciiTheme="majorEastAsia" w:hAnsiTheme="majorEastAsia" w:eastAsiaTheme="majorEastAsia"/>
          <w:sz w:val="32"/>
        </w:rPr>
      </w:pPr>
      <w:bookmarkStart w:id="0" w:name="_Toc101288665"/>
      <w:r>
        <w:rPr>
          <w:rFonts w:hint="eastAsia" w:asciiTheme="majorEastAsia" w:hAnsiTheme="majorEastAsia" w:eastAsiaTheme="majorEastAsia"/>
          <w:sz w:val="32"/>
          <w:lang w:eastAsia="zh-CN"/>
        </w:rPr>
        <w:t>智能</w:t>
      </w:r>
      <w:r>
        <w:rPr>
          <w:rFonts w:hint="eastAsia" w:asciiTheme="majorEastAsia" w:hAnsiTheme="majorEastAsia" w:eastAsiaTheme="majorEastAsia"/>
          <w:sz w:val="32"/>
        </w:rPr>
        <w:t>网络</w:t>
      </w:r>
      <w:bookmarkEnd w:id="0"/>
      <w:r>
        <w:rPr>
          <w:rFonts w:hint="eastAsia" w:asciiTheme="majorEastAsia" w:hAnsiTheme="majorEastAsia" w:eastAsiaTheme="majorEastAsia"/>
          <w:sz w:val="32"/>
          <w:lang w:eastAsia="zh-CN"/>
        </w:rPr>
        <w:t>小组</w:t>
      </w:r>
    </w:p>
    <w:p w14:paraId="5E60D9D9">
      <w:pPr>
        <w:pStyle w:val="7"/>
        <w:rPr>
          <w:rFonts w:eastAsiaTheme="minorEastAsia"/>
        </w:rPr>
      </w:pPr>
      <w:bookmarkStart w:id="1" w:name="_Toc101288666"/>
      <w:r>
        <w:t>DistillSpec: Improving Speculative Decoding via Knowledge Distillation（ICLR 2024）</w:t>
      </w:r>
      <w:bookmarkEnd w:id="1"/>
    </w:p>
    <w:p w14:paraId="370EE68F">
      <w:pPr>
        <w:pStyle w:val="9"/>
        <w:keepNext w:val="0"/>
        <w:keepLines w:val="0"/>
        <w:widowControl/>
        <w:suppressLineNumbers w:val="0"/>
      </w:pPr>
      <w:r>
        <w:rPr>
          <w:rFonts w:hint="eastAsia" w:asciiTheme="majorEastAsia" w:hAnsiTheme="majorEastAsia" w:eastAsiaTheme="majorEastAsia"/>
          <w:sz w:val="28"/>
          <w:szCs w:val="36"/>
          <w:lang w:val="zh-CN"/>
        </w:rPr>
        <w:t>文章链接</w:t>
      </w:r>
      <w:r>
        <w:rPr>
          <w:rFonts w:hint="eastAsia" w:asciiTheme="majorEastAsia" w:hAnsiTheme="majorEastAsia" w:eastAsiaTheme="majorEastAsia"/>
          <w:sz w:val="28"/>
          <w:szCs w:val="36"/>
        </w:rPr>
        <w:t>：</w:t>
      </w:r>
      <w:r>
        <w:rPr>
          <w:rFonts w:ascii="Helvetica" w:hAnsi="Helvetica" w:eastAsia="Arial Unicode MS" w:cs="Arial Unicode MS"/>
          <w:color w:val="000000"/>
          <w:kern w:val="0"/>
          <w:sz w:val="22"/>
          <w:szCs w:val="22"/>
          <w:u w:val="single"/>
          <w:lang w:val="en-US" w:eastAsia="zh-CN" w:bidi="ar-SA"/>
        </w:rPr>
        <w:t>https://arxiv.org/abs/2310.08461</w:t>
      </w:r>
    </w:p>
    <w:p w14:paraId="3A283B64">
      <w:pPr>
        <w:pStyle w:val="15"/>
        <w:rPr>
          <w:rFonts w:hint="eastAsia" w:ascii="Times" w:hAnsi="Times" w:cs="Times" w:eastAsiaTheme="majorEastAsia"/>
          <w:sz w:val="36"/>
          <w:szCs w:val="36"/>
          <w:lang w:val="en-US" w:eastAsia="zh-CN"/>
        </w:rPr>
      </w:pPr>
      <w:r>
        <w:rPr>
          <w:rFonts w:hint="eastAsia" w:asciiTheme="majorEastAsia" w:hAnsiTheme="majorEastAsia" w:eastAsiaTheme="majorEastAsia"/>
          <w:sz w:val="28"/>
          <w:szCs w:val="36"/>
          <w:lang w:val="zh-CN"/>
        </w:rPr>
        <w:t>报告时间：2025.</w:t>
      </w:r>
      <w:r>
        <w:rPr>
          <w:rFonts w:hint="eastAsia" w:asciiTheme="majorEastAsia" w:hAnsiTheme="majorEastAsia" w:eastAsiaTheme="majorEastAsia"/>
          <w:sz w:val="28"/>
          <w:szCs w:val="36"/>
          <w:lang w:val="en-US" w:eastAsia="zh-CN"/>
        </w:rPr>
        <w:t>9</w:t>
      </w:r>
      <w:r>
        <w:rPr>
          <w:rFonts w:hint="eastAsia" w:asciiTheme="majorEastAsia" w:hAnsiTheme="majorEastAsia" w:eastAsiaTheme="majorEastAsia"/>
          <w:sz w:val="28"/>
          <w:szCs w:val="36"/>
          <w:lang w:val="zh-CN"/>
        </w:rPr>
        <w:t>.</w:t>
      </w:r>
      <w:r>
        <w:rPr>
          <w:rFonts w:hint="eastAsia" w:asciiTheme="majorEastAsia" w:hAnsiTheme="majorEastAsia" w:eastAsiaTheme="majorEastAsia"/>
          <w:sz w:val="28"/>
          <w:szCs w:val="36"/>
          <w:lang w:val="en-US" w:eastAsia="zh-CN"/>
        </w:rPr>
        <w:t xml:space="preserve">28 </w:t>
      </w:r>
      <w:r>
        <w:rPr>
          <w:rFonts w:hint="eastAsia" w:asciiTheme="majorEastAsia" w:hAnsiTheme="majorEastAsia" w:eastAsiaTheme="majorEastAsia"/>
          <w:sz w:val="28"/>
          <w:szCs w:val="36"/>
          <w:lang w:val="zh-CN"/>
        </w:rPr>
        <w:t xml:space="preserve">                    报告人：</w:t>
      </w:r>
      <w:r>
        <w:rPr>
          <w:rFonts w:hint="eastAsia" w:asciiTheme="majorEastAsia" w:hAnsiTheme="majorEastAsia" w:eastAsiaTheme="majorEastAsia"/>
          <w:sz w:val="28"/>
          <w:szCs w:val="36"/>
          <w:lang w:val="en-US" w:eastAsia="zh-CN"/>
        </w:rPr>
        <w:t>邱盈钢</w:t>
      </w:r>
    </w:p>
    <w:p w14:paraId="347B3296">
      <w:pPr>
        <w:spacing w:before="240" w:beforeLines="100" w:after="120" w:afterLines="50"/>
        <w:rPr>
          <w:rFonts w:hint="eastAsia"/>
          <w:sz w:val="36"/>
          <w:lang w:eastAsia="zh-CN"/>
        </w:rPr>
      </w:pPr>
      <w:r>
        <w:rPr>
          <w:sz w:val="36"/>
          <w:lang w:eastAsia="zh-CN"/>
        </w:rPr>
        <w:t>Abstract</w:t>
      </w:r>
      <w:r>
        <w:rPr>
          <w:rFonts w:hint="eastAsia"/>
          <w:sz w:val="36"/>
          <w:lang w:eastAsia="zh-CN"/>
        </w:rPr>
        <w:t>:</w:t>
      </w:r>
    </w:p>
    <w:p w14:paraId="2A8D05C1">
      <w:pPr>
        <w:spacing w:before="120" w:beforeLines="50" w:after="120" w:afterLines="50"/>
        <w:rPr>
          <w:sz w:val="36"/>
          <w:lang w:eastAsia="zh-CN"/>
        </w:rPr>
      </w:pPr>
      <w:r>
        <w:rPr>
          <w:rFonts w:ascii="宋体" w:hAnsi="宋体" w:eastAsia="宋体" w:cs="宋体"/>
          <w:sz w:val="24"/>
          <w:szCs w:val="24"/>
        </w:rPr>
        <w:t>本文针对大语言模型（LLM）推理过程中的延迟问题，提出了一种结合推测解码（Speculative Decoding, SD）与知识蒸馏（Knowledge Distillation, KD）的新方法——</w:t>
      </w:r>
      <w:r>
        <w:rPr>
          <w:rStyle w:val="12"/>
          <w:rFonts w:ascii="宋体" w:hAnsi="宋体" w:eastAsia="宋体" w:cs="宋体"/>
          <w:sz w:val="24"/>
          <w:szCs w:val="24"/>
        </w:rPr>
        <w:t>DistillSpec</w:t>
      </w:r>
      <w:r>
        <w:rPr>
          <w:rFonts w:ascii="宋体" w:hAnsi="宋体" w:eastAsia="宋体" w:cs="宋体"/>
          <w:sz w:val="24"/>
          <w:szCs w:val="24"/>
        </w:rPr>
        <w:t>。该方法旨在提升小型草稿模型（draft model）与大型目标模型（target model）之间的分布对齐程度，从而在保持生成质量不变的前提下显著提升推理速度。DistillSpec 的核心思想是利用白盒蒸馏方式，让草稿模型在生成分布上更接近目标模型。其创新点在于使用由草稿模型自身生成的“on-policy”数据进行蒸馏，并根据具体任务和采样策略选择最合适的散度函数作为蒸馏目标。实验结果显示，DistillSpec 在多项任务上均能实现 10% 至 45% 的速度提升，并在任务迁移场景中保持稳定表现，平均加速约 26%。当其与有损推测解码（lossy SD）结合时，还能在延迟与性能之间实现精细可控的平衡。总体来看，DistillSpec 为高效语言模型推理提供了一种兼顾速度与质量的新途径。</w:t>
      </w:r>
      <w:r>
        <w:rPr>
          <w:sz w:val="36"/>
          <w:lang w:eastAsia="zh-CN"/>
        </w:rPr>
        <w:t>Motivation:</w:t>
      </w:r>
    </w:p>
    <w:p w14:paraId="5F09C6E9">
      <w:pPr>
        <w:pStyle w:val="9"/>
        <w:keepNext w:val="0"/>
        <w:keepLines w:val="0"/>
        <w:widowControl/>
        <w:suppressLineNumbers w:val="0"/>
      </w:pPr>
      <w:r>
        <w:t>随着大语言模型在自然语言生成、对话系统和多轮推理中的广泛应用，其推理延迟问题愈发突出。传统的模型压缩手段（如量化、剪枝或蒸馏）虽然能在一定程度上降低计算量，但往往以性能下降为代价。而推测解码（Speculative Decoding）提出了一种折中方案：通过一个计算量较小的草稿模型快速生成一批候选token，再由目标模型进行并行验证和拒绝采样，以保证最终输出仍符合目标模型的分布。这种机制在理论上能带来数倍的推理提速，但在实际中效果很大程度上取决于草稿模型与目标模型分布的相似度。如果两者差距过大，草稿模型生成的token就会频繁被目标模型拒绝，从而导致额外的计算开销，甚至抵消原有的加速效果。</w:t>
      </w:r>
    </w:p>
    <w:p w14:paraId="1614B224">
      <w:pPr>
        <w:pStyle w:val="9"/>
        <w:keepNext w:val="0"/>
        <w:keepLines w:val="0"/>
        <w:widowControl/>
        <w:suppressLineNumbers w:val="0"/>
      </w:pPr>
      <w:r>
        <w:t>为解决这一核心问题，作者将知识蒸馏的思想引入推测解码框架。与传统蒸馏着重提升“小模型任务性能”不同，DistillSpec 的目标是通过蒸馏优化小模型与大模型在生成分布上的对齐程度，从而提高草稿模型输出被接受的概率。这种思路本质上是一种“分布校准”，能够在不改变推测解码流程的情况下系统性地提升整体效率。</w:t>
      </w:r>
    </w:p>
    <w:p w14:paraId="7A56715F">
      <w:pPr>
        <w:spacing w:before="120" w:beforeLines="50" w:after="120" w:afterLines="50"/>
        <w:rPr>
          <w:sz w:val="36"/>
          <w:lang w:eastAsia="zh-CN"/>
        </w:rPr>
      </w:pPr>
      <w:r>
        <w:rPr>
          <w:sz w:val="36"/>
          <w:lang w:eastAsia="zh-CN"/>
        </w:rPr>
        <w:t>Design:</w:t>
      </w:r>
    </w:p>
    <w:p w14:paraId="34782967">
      <w:pPr>
        <w:pStyle w:val="9"/>
        <w:keepNext w:val="0"/>
        <w:keepLines w:val="0"/>
        <w:widowControl/>
        <w:suppressLineNumbers w:val="0"/>
      </w:pPr>
      <w:r>
        <w:t>DistillSpec 的设计围绕两个关键问题展开：如何生成合适的蒸馏数据，以及如何衡量模型间的分布差异。针对前者，作者提出使用</w:t>
      </w:r>
      <w:r>
        <w:rPr>
          <w:rStyle w:val="12"/>
        </w:rPr>
        <w:t>on-policy数据生成机制</w:t>
      </w:r>
      <w:r>
        <w:t>，即让草稿模型自身在训练过程中生成数据。这种方法不仅能避免使用大型教师模型生成样本所带来的高计算成本，还能保证蒸馏数据的分布与实际推理阶段的分布保持一致，从而提升蒸馏的有效性。论文还通过理论分析证明，on-policy 蒸馏损失的减小可以直接提升推测解码的接受率，为该方法提供了数学上的合理性。</w:t>
      </w:r>
    </w:p>
    <w:p w14:paraId="34A86177">
      <w:pPr>
        <w:pStyle w:val="9"/>
        <w:keepNext w:val="0"/>
        <w:keepLines w:val="0"/>
        <w:widowControl/>
        <w:suppressLineNumbers w:val="0"/>
      </w:pPr>
      <w:r>
        <w:t>在散度函数的选择上，DistillSpec 进行了一系列系统性实验，比较了 Forward KL、Reverse KL、Jensen–Shannon Divergence 和 Total Variation Distance 等不同目标函数。结果表明，不同任务对散度函数的敏感性存在差异，例如在文本摘要任务中 JSD 表现更好，而在逻辑推理任务中 FKL 更具稳定性。尽管理论上 TVD 与接受率直接相关，但在实际优化中，它并非总能取得最优结果。作者因此将散度函数视为可调超参数，可根据任务与解码策略动态调整。</w:t>
      </w:r>
    </w:p>
    <w:p w14:paraId="0A4185D5">
      <w:pPr>
        <w:pStyle w:val="9"/>
        <w:keepNext w:val="0"/>
        <w:keepLines w:val="0"/>
        <w:widowControl/>
        <w:suppressLineNumbers w:val="0"/>
      </w:pPr>
      <w:r>
        <w:t>此外，DistillSpec 在标准推测解码的基础上还引入了有损推测解码（Lossy SD）**的扩展机制。通过在接受概率函数中引入“宽容参数”（lenience parameter），模型可以在一定程度上放宽接受标准，以换取更高的生成速度。论文设计了多种宽容函数形式，并验证了其在不同任务下的延迟—性能权衡效果。结果显示，即便在适度放宽条件下，模型生成质量仍能保持稳定，而推理速度得到显著提升。</w:t>
      </w:r>
    </w:p>
    <w:p w14:paraId="070774C0">
      <w:pPr>
        <w:pStyle w:val="9"/>
        <w:keepNext w:val="0"/>
        <w:keepLines w:val="0"/>
        <w:widowControl/>
        <w:suppressLineNumbers w:val="0"/>
      </w:pPr>
      <w:r>
        <w:t>在实验设置上，作者使用了 T5 系列不同规模模型（从 Small 到 XXL）以及多个典型任务数据集（包括 WMT 翻译、CNN/DM 与 XSum 摘要、GSM8K 推理等）。实验结果表明，DistillSpec 能在保持模型输出质量基本不变的情况下实现 10% 至 45% 的推理速度提升，并在不同任务和模型规模间具有良好的泛化能力。特别是在多模型分层场景下，采用“先蒸馏后推测”的组合策略，可实现 6 到 10 倍的整体延迟降低，而性能损失几乎可以忽略。</w:t>
      </w:r>
    </w:p>
    <w:p w14:paraId="3990F82B">
      <w:pPr>
        <w:spacing w:before="120" w:beforeLines="50" w:after="120" w:afterLines="50"/>
        <w:rPr>
          <w:sz w:val="36"/>
          <w:lang w:eastAsia="zh-CN"/>
        </w:rPr>
      </w:pPr>
    </w:p>
    <w:p w14:paraId="095E8991">
      <w:pPr>
        <w:spacing w:before="120" w:beforeLines="50" w:after="120" w:afterLines="50"/>
        <w:rPr>
          <w:rFonts w:hint="eastAsia"/>
          <w:sz w:val="36"/>
          <w:lang w:eastAsia="zh-CN"/>
        </w:rPr>
      </w:pPr>
      <w:r>
        <w:rPr>
          <w:sz w:val="36"/>
          <w:lang w:eastAsia="zh-CN"/>
        </w:rPr>
        <w:t>Conclusion</w:t>
      </w:r>
      <w:r>
        <w:rPr>
          <w:rFonts w:hint="eastAsia"/>
          <w:sz w:val="36"/>
          <w:lang w:eastAsia="zh-CN"/>
        </w:rPr>
        <w:t>：</w:t>
      </w:r>
    </w:p>
    <w:p w14:paraId="1F4E1DE7">
      <w:pPr>
        <w:spacing w:before="120" w:beforeLines="50" w:after="120" w:afterLines="50"/>
        <w:rPr>
          <w:rFonts w:hint="eastAsia"/>
          <w:sz w:val="36"/>
          <w:lang w:eastAsia="zh-CN"/>
        </w:rPr>
      </w:pPr>
      <w:r>
        <w:rPr>
          <w:rFonts w:ascii="宋体" w:hAnsi="宋体" w:eastAsia="宋体" w:cs="宋体"/>
          <w:sz w:val="24"/>
          <w:szCs w:val="24"/>
        </w:rPr>
        <w:t>DistillSpec 的提出展示了一种高效且通用的推理加速思路。通过在推测解码前引入针对性知识蒸馏，该方法成功解决了草稿模型与目标模型分布不一致的问题，使推测解码的潜在加速空间得以真正发挥。研究表明，使用草稿模型生成的 on-policy 数据进行蒸馏是最有效且计算成本最低的方式，而散度函数的选择应结合具体任务进行调整。此外，DistillSpec 在扩展到有损推测解码时，能够提供一种平滑的延迟与性能调节机制，使其在不同应用场景下都具备灵活性。总体来看，DistillSpec 既能继承知识蒸馏的稳健性，又能充分利用推测解码的高效性，为大模型推理提供了一条兼顾速度与质量的解决方案。作者还提出，在未来的模型部署体系中，可以先对目标模型进行蒸馏以优化其性能，再基于此训练一个高对齐的草稿模型，用于推测生成，从而实现端到端的高效推理。</w:t>
      </w:r>
    </w:p>
    <w:p w14:paraId="62C74189">
      <w:pPr>
        <w:spacing w:before="120" w:beforeLines="50" w:after="120" w:afterLines="50"/>
        <w:rPr>
          <w:sz w:val="36"/>
          <w:lang w:eastAsia="zh-CN"/>
        </w:rPr>
      </w:pPr>
      <w:r>
        <w:rPr>
          <w:sz w:val="36"/>
          <w:lang w:eastAsia="zh-CN"/>
        </w:rPr>
        <w:t>Idea&amp;Question:</w:t>
      </w:r>
    </w:p>
    <w:p w14:paraId="048C44E5">
      <w:pPr>
        <w:pStyle w:val="9"/>
        <w:keepNext w:val="0"/>
        <w:keepLines w:val="0"/>
        <w:widowControl/>
        <w:suppressLineNumbers w:val="0"/>
      </w:pPr>
      <w:r>
        <w:t>这篇论文的核心思想在于将知识蒸馏从“任务性能提升”转向“分布对齐优化”，从而为推测解码提供更坚实的基础。其最大的优点是无需改变已有推理框架，只需替换草稿模型即可实现显著加速，因此在工程落地上具有很高的实用价值。DistillSpec 也启发我们重新思考模型协同推理的方式：未来或许不再是“大模型独立完成所有生成任务”，而是通过精心蒸馏的小模型协同，实现性能与效率的动态平衡。</w:t>
      </w:r>
    </w:p>
    <w:p w14:paraId="1397F2A8">
      <w:pPr>
        <w:pStyle w:val="9"/>
        <w:keepNext w:val="0"/>
        <w:keepLines w:val="0"/>
        <w:widowControl/>
        <w:suppressLineNumbers w:val="0"/>
        <w:rPr>
          <w:rFonts w:hint="eastAsia" w:asciiTheme="minorEastAsia" w:hAnsiTheme="minorEastAsia" w:eastAsiaTheme="minorEastAsia"/>
          <w:sz w:val="28"/>
          <w:szCs w:val="36"/>
        </w:rPr>
      </w:pPr>
      <w:r>
        <w:t>值得进一步探讨的问题包括：如何在不同任务和采样策略下自动选择最优的散度函数；当目标模型持续更新时，草稿模型是否需要周期性再蒸馏；在多模态生成任务中，该方法能否保持类似的加速效果；以及如何与其他推测解码变体（如SpecInfer或Medusa）结合，以进一步提高系统整体吞吐率。这些问题都为未来的研究提供了丰富的方向。</w:t>
      </w:r>
      <w:bookmarkStart w:id="2" w:name="_GoBack"/>
      <w:bookmarkEnd w:id="2"/>
    </w:p>
    <w:sectPr>
      <w:footerReference r:id="rId3" w:type="default"/>
      <w:pgSz w:w="11906" w:h="16838"/>
      <w:pgMar w:top="1134" w:right="1134" w:bottom="1134" w:left="1134" w:header="709" w:footer="85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Arial Unicode MS">
    <w:altName w:val="Malgun Gothic Semilight"/>
    <w:panose1 w:val="020B0604020202020204"/>
    <w:charset w:val="86"/>
    <w:family w:val="swiss"/>
    <w:pitch w:val="default"/>
    <w:sig w:usb0="00000000" w:usb1="00000000" w:usb2="0000003F" w:usb3="00000000" w:csb0="003F01FF" w:csb1="00000000"/>
  </w:font>
  <w:font w:name="Malgun Gothic Semilight">
    <w:panose1 w:val="020B0502040204020203"/>
    <w:charset w:val="86"/>
    <w:family w:val="auto"/>
    <w:pitch w:val="default"/>
    <w:sig w:usb0="900002AF" w:usb1="01D77CFB" w:usb2="00000012" w:usb3="00000000" w:csb0="203E01BD" w:csb1="D7FF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09948970"/>
      <w:docPartObj>
        <w:docPartGallery w:val="autotext"/>
      </w:docPartObj>
    </w:sdtPr>
    <w:sdtContent>
      <w:p w14:paraId="336C85A5">
        <w:pPr>
          <w:pStyle w:val="4"/>
          <w:jc w:val="center"/>
        </w:pPr>
        <w:r>
          <w:fldChar w:fldCharType="begin"/>
        </w:r>
        <w:r>
          <w:instrText xml:space="preserve">PAGE   \* MERGEFORMAT</w:instrText>
        </w:r>
        <w:r>
          <w:fldChar w:fldCharType="separate"/>
        </w:r>
        <w:r>
          <w:rPr>
            <w:lang w:val="zh-CN" w:eastAsia="zh-CN"/>
          </w:rPr>
          <w:t>2</w:t>
        </w:r>
        <w:r>
          <w:fldChar w:fldCharType="end"/>
        </w:r>
      </w:p>
    </w:sdtContent>
  </w:sdt>
  <w:p w14:paraId="654FE29B"/>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1F7"/>
    <w:rsid w:val="00006E7B"/>
    <w:rsid w:val="0006649F"/>
    <w:rsid w:val="00067690"/>
    <w:rsid w:val="00080F36"/>
    <w:rsid w:val="000D47DC"/>
    <w:rsid w:val="00123202"/>
    <w:rsid w:val="00181699"/>
    <w:rsid w:val="001840BD"/>
    <w:rsid w:val="00186675"/>
    <w:rsid w:val="0019312E"/>
    <w:rsid w:val="00231DB3"/>
    <w:rsid w:val="002500D1"/>
    <w:rsid w:val="00263046"/>
    <w:rsid w:val="004540EB"/>
    <w:rsid w:val="0048153F"/>
    <w:rsid w:val="004E6C5E"/>
    <w:rsid w:val="00521787"/>
    <w:rsid w:val="00543E2A"/>
    <w:rsid w:val="00562BA2"/>
    <w:rsid w:val="005C4C23"/>
    <w:rsid w:val="005D3CEB"/>
    <w:rsid w:val="00627A27"/>
    <w:rsid w:val="0064035F"/>
    <w:rsid w:val="006A4FB5"/>
    <w:rsid w:val="006B7AA2"/>
    <w:rsid w:val="0071461C"/>
    <w:rsid w:val="007A2573"/>
    <w:rsid w:val="007B3D52"/>
    <w:rsid w:val="007C550A"/>
    <w:rsid w:val="007D4A14"/>
    <w:rsid w:val="00873F4D"/>
    <w:rsid w:val="008A7D19"/>
    <w:rsid w:val="00915756"/>
    <w:rsid w:val="009A11F7"/>
    <w:rsid w:val="009E4395"/>
    <w:rsid w:val="009F7339"/>
    <w:rsid w:val="00A2653F"/>
    <w:rsid w:val="00A30DD1"/>
    <w:rsid w:val="00A338F7"/>
    <w:rsid w:val="00AA1B18"/>
    <w:rsid w:val="00AF4188"/>
    <w:rsid w:val="00B10C87"/>
    <w:rsid w:val="00B64E58"/>
    <w:rsid w:val="00BB16D6"/>
    <w:rsid w:val="00BD33AB"/>
    <w:rsid w:val="00BE10BD"/>
    <w:rsid w:val="00BF3531"/>
    <w:rsid w:val="00C4139D"/>
    <w:rsid w:val="00C90EE6"/>
    <w:rsid w:val="00CB2B08"/>
    <w:rsid w:val="00D654F6"/>
    <w:rsid w:val="00DE0E53"/>
    <w:rsid w:val="00E15974"/>
    <w:rsid w:val="00E41700"/>
    <w:rsid w:val="00E906AD"/>
    <w:rsid w:val="00EE029B"/>
    <w:rsid w:val="00EE6125"/>
    <w:rsid w:val="00F34052"/>
    <w:rsid w:val="00F51248"/>
    <w:rsid w:val="00FA61DD"/>
    <w:rsid w:val="00FE6C04"/>
    <w:rsid w:val="1FE50445"/>
    <w:rsid w:val="218F2DCB"/>
    <w:rsid w:val="46867BFF"/>
    <w:rsid w:val="54573955"/>
    <w:rsid w:val="6E376F24"/>
    <w:rsid w:val="6ECC1456"/>
    <w:rsid w:val="77B37656"/>
    <w:rsid w:val="7B3B1E3C"/>
    <w:rsid w:val="7B5F57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between w:val="none" w:color="auto" w:sz="0" w:space="0"/>
      </w:pBdr>
    </w:pPr>
    <w:rPr>
      <w:rFonts w:ascii="Times New Roman" w:hAnsi="Times New Roman" w:cs="Times New Roman" w:eastAsiaTheme="minorEastAsia"/>
      <w:sz w:val="24"/>
      <w:szCs w:val="24"/>
      <w:lang w:val="en-US" w:eastAsia="en-US"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4"/>
    <w:basedOn w:val="1"/>
    <w:next w:val="1"/>
    <w:link w:val="23"/>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20"/>
    <w:unhideWhenUsed/>
    <w:qFormat/>
    <w:uiPriority w:val="99"/>
    <w:pPr>
      <w:tabs>
        <w:tab w:val="center" w:pos="4153"/>
        <w:tab w:val="right" w:pos="8306"/>
      </w:tabs>
      <w:snapToGrid w:val="0"/>
    </w:pPr>
    <w:rPr>
      <w:sz w:val="18"/>
      <w:szCs w:val="18"/>
    </w:rPr>
  </w:style>
  <w:style w:type="paragraph" w:styleId="5">
    <w:name w:val="header"/>
    <w:basedOn w:val="1"/>
    <w:link w:val="19"/>
    <w:unhideWhenUsed/>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style>
  <w:style w:type="paragraph" w:styleId="7">
    <w:name w:val="Subtitle"/>
    <w:basedOn w:val="1"/>
    <w:next w:val="1"/>
    <w:link w:val="18"/>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8">
    <w:name w:val="toc 2"/>
    <w:basedOn w:val="1"/>
    <w:next w:val="1"/>
    <w:autoRedefine/>
    <w:unhideWhenUsed/>
    <w:uiPriority w:val="39"/>
    <w:pPr>
      <w:ind w:left="420" w:leftChars="200"/>
    </w:pPr>
  </w:style>
  <w:style w:type="paragraph" w:styleId="9">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12">
    <w:name w:val="Strong"/>
    <w:basedOn w:val="11"/>
    <w:qFormat/>
    <w:uiPriority w:val="22"/>
    <w:rPr>
      <w:b/>
    </w:rPr>
  </w:style>
  <w:style w:type="character" w:styleId="13">
    <w:name w:val="Hyperlink"/>
    <w:qFormat/>
    <w:uiPriority w:val="99"/>
    <w:rPr>
      <w:u w:val="single"/>
    </w:rPr>
  </w:style>
  <w:style w:type="table" w:customStyle="1" w:styleId="14">
    <w:name w:val="Table Normal"/>
    <w:qFormat/>
    <w:uiPriority w:val="0"/>
    <w:tblPr>
      <w:tblCellMar>
        <w:top w:w="0" w:type="dxa"/>
        <w:left w:w="0" w:type="dxa"/>
        <w:bottom w:w="0" w:type="dxa"/>
        <w:right w:w="0" w:type="dxa"/>
      </w:tblCellMar>
    </w:tblPr>
  </w:style>
  <w:style w:type="paragraph" w:customStyle="1" w:styleId="15">
    <w:name w:val="默认"/>
    <w:qFormat/>
    <w:uiPriority w:val="0"/>
    <w:pPr>
      <w:pBdr>
        <w:top w:val="none" w:color="auto" w:sz="0" w:space="0"/>
        <w:left w:val="none" w:color="auto" w:sz="0" w:space="0"/>
        <w:bottom w:val="none" w:color="auto" w:sz="0" w:space="0"/>
        <w:right w:val="none" w:color="auto" w:sz="0" w:space="0"/>
        <w:between w:val="none" w:color="auto" w:sz="0" w:space="0"/>
      </w:pBdr>
    </w:pPr>
    <w:rPr>
      <w:rFonts w:ascii="Helvetica" w:hAnsi="Helvetica" w:eastAsia="Arial Unicode MS" w:cs="Arial Unicode MS"/>
      <w:color w:val="000000"/>
      <w:sz w:val="22"/>
      <w:szCs w:val="22"/>
      <w:lang w:val="en-US" w:eastAsia="zh-CN" w:bidi="ar-SA"/>
    </w:rPr>
  </w:style>
  <w:style w:type="character" w:customStyle="1" w:styleId="16">
    <w:name w:val="标题 1 字符"/>
    <w:basedOn w:val="11"/>
    <w:link w:val="2"/>
    <w:qFormat/>
    <w:uiPriority w:val="9"/>
    <w:rPr>
      <w:b/>
      <w:bCs/>
      <w:kern w:val="44"/>
      <w:sz w:val="44"/>
      <w:szCs w:val="44"/>
      <w:lang w:eastAsia="en-US"/>
    </w:rPr>
  </w:style>
  <w:style w:type="paragraph" w:customStyle="1" w:styleId="17">
    <w:name w:val="TOC Heading"/>
    <w:basedOn w:val="2"/>
    <w:next w:val="1"/>
    <w:unhideWhenUsed/>
    <w:qFormat/>
    <w:uiPriority w:val="39"/>
    <w:pPr>
      <w:pBdr>
        <w:top w:val="none" w:color="auto" w:sz="0" w:space="0"/>
        <w:left w:val="none" w:color="auto" w:sz="0" w:space="0"/>
        <w:bottom w:val="none" w:color="auto" w:sz="0" w:space="0"/>
        <w:right w:val="none" w:color="auto" w:sz="0" w:space="0"/>
        <w:between w:val="none" w:color="auto" w:sz="0" w:space="0"/>
      </w:pBdr>
      <w:spacing w:before="240" w:after="0" w:line="259" w:lineRule="auto"/>
      <w:outlineLvl w:val="9"/>
    </w:pPr>
    <w:rPr>
      <w:rFonts w:asciiTheme="majorHAnsi" w:hAnsiTheme="majorHAnsi" w:eastAsiaTheme="majorEastAsia" w:cstheme="majorBidi"/>
      <w:b w:val="0"/>
      <w:bCs w:val="0"/>
      <w:color w:val="2F769E" w:themeColor="accent1" w:themeShade="BF"/>
      <w:kern w:val="0"/>
      <w:sz w:val="32"/>
      <w:szCs w:val="32"/>
      <w:lang w:eastAsia="zh-CN"/>
    </w:rPr>
  </w:style>
  <w:style w:type="character" w:customStyle="1" w:styleId="18">
    <w:name w:val="副标题 字符"/>
    <w:basedOn w:val="11"/>
    <w:link w:val="7"/>
    <w:qFormat/>
    <w:uiPriority w:val="11"/>
    <w:rPr>
      <w:rFonts w:eastAsia="宋体" w:asciiTheme="majorHAnsi" w:hAnsiTheme="majorHAnsi" w:cstheme="majorBidi"/>
      <w:b/>
      <w:bCs/>
      <w:kern w:val="28"/>
      <w:sz w:val="32"/>
      <w:szCs w:val="32"/>
      <w:lang w:eastAsia="en-US"/>
    </w:rPr>
  </w:style>
  <w:style w:type="character" w:customStyle="1" w:styleId="19">
    <w:name w:val="页眉 字符"/>
    <w:basedOn w:val="11"/>
    <w:link w:val="5"/>
    <w:qFormat/>
    <w:uiPriority w:val="99"/>
    <w:rPr>
      <w:sz w:val="18"/>
      <w:szCs w:val="18"/>
      <w:lang w:eastAsia="en-US"/>
    </w:rPr>
  </w:style>
  <w:style w:type="character" w:customStyle="1" w:styleId="20">
    <w:name w:val="页脚 字符"/>
    <w:basedOn w:val="11"/>
    <w:link w:val="4"/>
    <w:uiPriority w:val="99"/>
    <w:rPr>
      <w:sz w:val="18"/>
      <w:szCs w:val="18"/>
      <w:lang w:eastAsia="en-US"/>
    </w:rPr>
  </w:style>
  <w:style w:type="character" w:styleId="21">
    <w:name w:val="Placeholder Text"/>
    <w:basedOn w:val="11"/>
    <w:semiHidden/>
    <w:uiPriority w:val="99"/>
    <w:rPr>
      <w:color w:val="666666"/>
    </w:rPr>
  </w:style>
  <w:style w:type="character" w:customStyle="1" w:styleId="22">
    <w:name w:val="Unresolved Mention"/>
    <w:basedOn w:val="11"/>
    <w:semiHidden/>
    <w:unhideWhenUsed/>
    <w:qFormat/>
    <w:uiPriority w:val="99"/>
    <w:rPr>
      <w:color w:val="605E5C"/>
      <w:shd w:val="clear" w:color="auto" w:fill="E1DFDD"/>
    </w:rPr>
  </w:style>
  <w:style w:type="character" w:customStyle="1" w:styleId="23">
    <w:name w:val="标题 4 字符"/>
    <w:basedOn w:val="11"/>
    <w:link w:val="3"/>
    <w:semiHidden/>
    <w:qFormat/>
    <w:uiPriority w:val="9"/>
    <w:rPr>
      <w:rFonts w:asciiTheme="majorHAnsi" w:hAnsiTheme="majorHAnsi" w:eastAsiaTheme="majorEastAsia" w:cstheme="majorBidi"/>
      <w:b/>
      <w:bCs/>
      <w:sz w:val="28"/>
      <w:szCs w:val="28"/>
      <w:lang w:eastAsia="en-US"/>
    </w:rPr>
  </w:style>
  <w:style w:type="paragraph" w:styleId="2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黑体"/>
        <a:cs typeface="Helvetica"/>
      </a:majorFont>
      <a:minorFont>
        <a:latin typeface="Helvetica"/>
        <a:ea typeface="宋体"/>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956B3-1787-4ED8-A7E0-00684AA597A2}">
  <ds:schemaRefs/>
</ds:datastoreItem>
</file>

<file path=docProps/app.xml><?xml version="1.0" encoding="utf-8"?>
<Properties xmlns="http://schemas.openxmlformats.org/officeDocument/2006/extended-properties" xmlns:vt="http://schemas.openxmlformats.org/officeDocument/2006/docPropsVTypes">
  <Template>Normal.dotm</Template>
  <Pages>2</Pages>
  <Words>851</Words>
  <Characters>1397</Characters>
  <Lines>10</Lines>
  <Paragraphs>2</Paragraphs>
  <TotalTime>916</TotalTime>
  <ScaleCrop>false</ScaleCrop>
  <LinksUpToDate>false</LinksUpToDate>
  <CharactersWithSpaces>1473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2022-04-19T10:58:00Z</dcterms:created>
  <dc:creator>REESE</dc:creator>
  <cp:lastModifiedBy>user</cp:lastModifiedBy>
  <dcterms:modified xsi:type="dcterms:W3CDTF">2025-10-12T08:50:52Z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eyJoZGlkIjoiMzQ1ZDFhNmMzMTJjOTcwYzYxYmI3MzE3MDlkMGI5YTAifQ==</vt:lpwstr>
  </property>
  <property fmtid="{D5CDD505-2E9C-101B-9397-08002B2CF9AE}" pid="3" name="KSOProductBuildVer">
    <vt:lpwstr>2052-12.1.0.21915</vt:lpwstr>
  </property>
  <property fmtid="{D5CDD505-2E9C-101B-9397-08002B2CF9AE}" pid="4" name="ICV">
    <vt:lpwstr>64A681ACDA2A4FAA879F1AC154CF978C_12</vt:lpwstr>
  </property>
</Properties>
</file>