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B94BE6">
      <w:pPr>
        <w:spacing w:before="156" w:beforeLines="50" w:after="156" w:afterLines="50" w:line="360" w:lineRule="auto"/>
        <w:jc w:val="center"/>
        <w:rPr>
          <w:rFonts w:hint="eastAsia" w:ascii="宋体" w:hAnsi="宋体" w:eastAsia="楷体" w:cs="宋体"/>
          <w:b/>
          <w:sz w:val="30"/>
          <w:szCs w:val="30"/>
        </w:rPr>
      </w:pPr>
      <w:r>
        <w:rPr>
          <w:rFonts w:hint="eastAsia" w:ascii="黑体" w:hAnsi="黑体" w:eastAsia="黑体" w:cs="黑体"/>
          <w:b/>
          <w:bCs/>
          <w:sz w:val="30"/>
          <w:szCs w:val="30"/>
        </w:rPr>
        <w:t>专利技术交底书撰写思路</w:t>
      </w:r>
    </w:p>
    <w:p w14:paraId="6ACBA86A">
      <w:pPr>
        <w:spacing w:line="360" w:lineRule="auto"/>
        <w:ind w:firstLine="560" w:firstLineChars="200"/>
        <w:rPr>
          <w:rFonts w:ascii="宋体" w:hAnsi="宋体" w:eastAsia="楷体" w:cs="宋体"/>
          <w:sz w:val="28"/>
          <w:szCs w:val="28"/>
        </w:rPr>
      </w:pPr>
      <w:r>
        <w:rPr>
          <w:rFonts w:hint="eastAsia" w:ascii="宋体" w:hAnsi="宋体" w:eastAsia="楷体" w:cs="宋体"/>
          <w:sz w:val="28"/>
          <w:szCs w:val="28"/>
        </w:rPr>
        <w:t>技术交底书是专利代理师撰写专利申请文件的主要依据，交底书需要按照一定逻辑对准备申请专利的技术做全面的说明。</w:t>
      </w:r>
    </w:p>
    <w:p w14:paraId="5F835E73">
      <w:pPr>
        <w:spacing w:line="360" w:lineRule="auto"/>
        <w:ind w:firstLine="560" w:firstLineChars="200"/>
        <w:rPr>
          <w:rFonts w:ascii="宋体" w:hAnsi="宋体" w:eastAsia="楷体" w:cs="宋体"/>
          <w:sz w:val="28"/>
          <w:szCs w:val="28"/>
          <w:u w:val="single"/>
        </w:rPr>
      </w:pPr>
      <w:r>
        <w:rPr>
          <w:rFonts w:hint="eastAsia" w:ascii="宋体" w:hAnsi="宋体" w:eastAsia="楷体" w:cs="宋体"/>
          <w:sz w:val="28"/>
          <w:szCs w:val="28"/>
          <w:u w:val="single"/>
        </w:rPr>
        <w:t>技术交底书的整体逻辑是：</w:t>
      </w:r>
    </w:p>
    <w:p w14:paraId="71FE25F5">
      <w:pPr>
        <w:spacing w:line="360" w:lineRule="auto"/>
        <w:ind w:firstLine="560" w:firstLineChars="200"/>
        <w:rPr>
          <w:rFonts w:ascii="宋体" w:hAnsi="宋体" w:eastAsia="楷体" w:cs="宋体"/>
          <w:sz w:val="28"/>
          <w:szCs w:val="28"/>
        </w:rPr>
      </w:pPr>
      <w:r>
        <w:rPr>
          <w:rFonts w:ascii="宋体" w:hAnsi="宋体" w:eastAsia="楷体" w:cs="宋体"/>
          <w:sz w:val="28"/>
          <w:szCs w:val="28"/>
        </w:rPr>
        <w:fldChar w:fldCharType="begin"/>
      </w:r>
      <w:r>
        <w:rPr>
          <w:rFonts w:ascii="宋体" w:hAnsi="宋体" w:eastAsia="楷体" w:cs="宋体"/>
          <w:sz w:val="28"/>
          <w:szCs w:val="28"/>
        </w:rPr>
        <w:instrText xml:space="preserve"> </w:instrText>
      </w:r>
      <w:r>
        <w:rPr>
          <w:rFonts w:hint="eastAsia" w:ascii="宋体" w:hAnsi="宋体" w:eastAsia="楷体" w:cs="宋体"/>
          <w:sz w:val="28"/>
          <w:szCs w:val="28"/>
        </w:rPr>
        <w:instrText xml:space="preserve">= 1 \* GB3</w:instrText>
      </w:r>
      <w:r>
        <w:rPr>
          <w:rFonts w:ascii="宋体" w:hAnsi="宋体" w:eastAsia="楷体" w:cs="宋体"/>
          <w:sz w:val="28"/>
          <w:szCs w:val="28"/>
        </w:rPr>
        <w:instrText xml:space="preserve"> </w:instrText>
      </w:r>
      <w:r>
        <w:rPr>
          <w:rFonts w:ascii="宋体" w:hAnsi="宋体" w:eastAsia="楷体" w:cs="宋体"/>
          <w:sz w:val="28"/>
          <w:szCs w:val="28"/>
        </w:rPr>
        <w:fldChar w:fldCharType="separate"/>
      </w:r>
      <w:r>
        <w:rPr>
          <w:rFonts w:hint="eastAsia" w:ascii="宋体" w:hAnsi="宋体" w:eastAsia="楷体" w:cs="宋体"/>
          <w:sz w:val="28"/>
          <w:szCs w:val="28"/>
        </w:rPr>
        <w:t>①</w:t>
      </w:r>
      <w:r>
        <w:rPr>
          <w:rFonts w:ascii="宋体" w:hAnsi="宋体" w:eastAsia="楷体" w:cs="宋体"/>
          <w:sz w:val="28"/>
          <w:szCs w:val="28"/>
        </w:rPr>
        <w:fldChar w:fldCharType="end"/>
      </w:r>
      <w:r>
        <w:rPr>
          <w:rFonts w:hint="eastAsia" w:ascii="宋体" w:hAnsi="宋体" w:eastAsia="楷体" w:cs="宋体"/>
          <w:sz w:val="28"/>
          <w:szCs w:val="28"/>
        </w:rPr>
        <w:t>技术问题：原有技术或当前产品中存在什么问题</w:t>
      </w:r>
    </w:p>
    <w:p w14:paraId="37C406DD">
      <w:pPr>
        <w:spacing w:line="360" w:lineRule="auto"/>
        <w:ind w:firstLine="560" w:firstLineChars="200"/>
        <w:rPr>
          <w:rFonts w:hint="eastAsia" w:ascii="宋体" w:hAnsi="宋体" w:eastAsia="楷体" w:cs="宋体"/>
          <w:sz w:val="28"/>
          <w:szCs w:val="28"/>
        </w:rPr>
      </w:pPr>
      <w:r>
        <w:rPr>
          <w:rFonts w:ascii="宋体" w:hAnsi="宋体" w:eastAsia="楷体" w:cs="宋体"/>
          <w:sz w:val="28"/>
          <w:szCs w:val="28"/>
        </w:rPr>
        <w:fldChar w:fldCharType="begin"/>
      </w:r>
      <w:r>
        <w:rPr>
          <w:rFonts w:ascii="宋体" w:hAnsi="宋体" w:eastAsia="楷体" w:cs="宋体"/>
          <w:sz w:val="28"/>
          <w:szCs w:val="28"/>
        </w:rPr>
        <w:instrText xml:space="preserve"> </w:instrText>
      </w:r>
      <w:r>
        <w:rPr>
          <w:rFonts w:hint="eastAsia" w:ascii="宋体" w:hAnsi="宋体" w:eastAsia="楷体" w:cs="宋体"/>
          <w:sz w:val="28"/>
          <w:szCs w:val="28"/>
        </w:rPr>
        <w:instrText xml:space="preserve">= 2 \* GB3</w:instrText>
      </w:r>
      <w:r>
        <w:rPr>
          <w:rFonts w:ascii="宋体" w:hAnsi="宋体" w:eastAsia="楷体" w:cs="宋体"/>
          <w:sz w:val="28"/>
          <w:szCs w:val="28"/>
        </w:rPr>
        <w:instrText xml:space="preserve"> </w:instrText>
      </w:r>
      <w:r>
        <w:rPr>
          <w:rFonts w:ascii="宋体" w:hAnsi="宋体" w:eastAsia="楷体" w:cs="宋体"/>
          <w:sz w:val="28"/>
          <w:szCs w:val="28"/>
        </w:rPr>
        <w:fldChar w:fldCharType="separate"/>
      </w:r>
      <w:r>
        <w:rPr>
          <w:rFonts w:hint="eastAsia" w:ascii="宋体" w:hAnsi="宋体" w:eastAsia="楷体" w:cs="宋体"/>
          <w:sz w:val="28"/>
          <w:szCs w:val="28"/>
        </w:rPr>
        <w:t>②</w:t>
      </w:r>
      <w:r>
        <w:rPr>
          <w:rFonts w:ascii="宋体" w:hAnsi="宋体" w:eastAsia="楷体" w:cs="宋体"/>
          <w:sz w:val="28"/>
          <w:szCs w:val="28"/>
        </w:rPr>
        <w:fldChar w:fldCharType="end"/>
      </w:r>
      <w:r>
        <w:rPr>
          <w:rFonts w:hint="eastAsia" w:ascii="宋体" w:hAnsi="宋体" w:eastAsia="楷体" w:cs="宋体"/>
          <w:sz w:val="28"/>
          <w:szCs w:val="28"/>
        </w:rPr>
        <w:t>解决方案：从方法流程、步骤的角度对解决方案进行说明；</w:t>
      </w:r>
    </w:p>
    <w:p w14:paraId="6CE29CF6">
      <w:pPr>
        <w:spacing w:line="360" w:lineRule="auto"/>
        <w:ind w:firstLine="560" w:firstLineChars="200"/>
        <w:rPr>
          <w:rFonts w:hint="eastAsia" w:ascii="宋体" w:hAnsi="宋体" w:eastAsia="楷体" w:cs="宋体"/>
          <w:sz w:val="28"/>
          <w:szCs w:val="28"/>
        </w:rPr>
      </w:pPr>
      <w:r>
        <w:rPr>
          <w:rFonts w:ascii="宋体" w:hAnsi="宋体" w:eastAsia="楷体" w:cs="宋体"/>
          <w:sz w:val="28"/>
          <w:szCs w:val="28"/>
        </w:rPr>
        <w:fldChar w:fldCharType="begin"/>
      </w:r>
      <w:r>
        <w:rPr>
          <w:rFonts w:ascii="宋体" w:hAnsi="宋体" w:eastAsia="楷体" w:cs="宋体"/>
          <w:sz w:val="28"/>
          <w:szCs w:val="28"/>
        </w:rPr>
        <w:instrText xml:space="preserve"> </w:instrText>
      </w:r>
      <w:r>
        <w:rPr>
          <w:rFonts w:hint="eastAsia" w:ascii="宋体" w:hAnsi="宋体" w:eastAsia="楷体" w:cs="宋体"/>
          <w:sz w:val="28"/>
          <w:szCs w:val="28"/>
        </w:rPr>
        <w:instrText xml:space="preserve">= 3 \* GB3</w:instrText>
      </w:r>
      <w:r>
        <w:rPr>
          <w:rFonts w:ascii="宋体" w:hAnsi="宋体" w:eastAsia="楷体" w:cs="宋体"/>
          <w:sz w:val="28"/>
          <w:szCs w:val="28"/>
        </w:rPr>
        <w:instrText xml:space="preserve"> </w:instrText>
      </w:r>
      <w:r>
        <w:rPr>
          <w:rFonts w:ascii="宋体" w:hAnsi="宋体" w:eastAsia="楷体" w:cs="宋体"/>
          <w:sz w:val="28"/>
          <w:szCs w:val="28"/>
        </w:rPr>
        <w:fldChar w:fldCharType="separate"/>
      </w:r>
      <w:r>
        <w:rPr>
          <w:rFonts w:hint="eastAsia" w:ascii="宋体" w:hAnsi="宋体" w:eastAsia="楷体" w:cs="宋体"/>
          <w:sz w:val="28"/>
          <w:szCs w:val="28"/>
        </w:rPr>
        <w:t>③</w:t>
      </w:r>
      <w:r>
        <w:rPr>
          <w:rFonts w:ascii="宋体" w:hAnsi="宋体" w:eastAsia="楷体" w:cs="宋体"/>
          <w:sz w:val="28"/>
          <w:szCs w:val="28"/>
        </w:rPr>
        <w:fldChar w:fldCharType="end"/>
      </w:r>
      <w:r>
        <w:rPr>
          <w:rFonts w:hint="eastAsia" w:ascii="宋体" w:hAnsi="宋体" w:eastAsia="楷体" w:cs="宋体"/>
          <w:sz w:val="28"/>
          <w:szCs w:val="28"/>
        </w:rPr>
        <w:t>方案原理：阐述为什么可以解决这些问题</w:t>
      </w:r>
    </w:p>
    <w:p w14:paraId="5DCD0ED6">
      <w:pPr>
        <w:spacing w:line="360" w:lineRule="auto"/>
        <w:ind w:firstLine="560" w:firstLineChars="200"/>
        <w:rPr>
          <w:rFonts w:ascii="宋体" w:hAnsi="宋体" w:eastAsia="楷体" w:cs="宋体"/>
          <w:sz w:val="28"/>
          <w:szCs w:val="28"/>
        </w:rPr>
      </w:pPr>
      <w:r>
        <w:rPr>
          <w:rFonts w:ascii="宋体" w:hAnsi="宋体" w:eastAsia="楷体" w:cs="宋体"/>
          <w:sz w:val="28"/>
          <w:szCs w:val="28"/>
        </w:rPr>
        <w:fldChar w:fldCharType="begin"/>
      </w:r>
      <w:r>
        <w:rPr>
          <w:rFonts w:ascii="宋体" w:hAnsi="宋体" w:eastAsia="楷体" w:cs="宋体"/>
          <w:sz w:val="28"/>
          <w:szCs w:val="28"/>
        </w:rPr>
        <w:instrText xml:space="preserve"> </w:instrText>
      </w:r>
      <w:r>
        <w:rPr>
          <w:rFonts w:hint="eastAsia" w:ascii="宋体" w:hAnsi="宋体" w:eastAsia="楷体" w:cs="宋体"/>
          <w:sz w:val="28"/>
          <w:szCs w:val="28"/>
        </w:rPr>
        <w:instrText xml:space="preserve">= 4 \* GB3</w:instrText>
      </w:r>
      <w:r>
        <w:rPr>
          <w:rFonts w:ascii="宋体" w:hAnsi="宋体" w:eastAsia="楷体" w:cs="宋体"/>
          <w:sz w:val="28"/>
          <w:szCs w:val="28"/>
        </w:rPr>
        <w:instrText xml:space="preserve"> </w:instrText>
      </w:r>
      <w:r>
        <w:rPr>
          <w:rFonts w:ascii="宋体" w:hAnsi="宋体" w:eastAsia="楷体" w:cs="宋体"/>
          <w:sz w:val="28"/>
          <w:szCs w:val="28"/>
        </w:rPr>
        <w:fldChar w:fldCharType="separate"/>
      </w:r>
      <w:r>
        <w:rPr>
          <w:rFonts w:hint="eastAsia" w:ascii="宋体" w:hAnsi="宋体" w:eastAsia="楷体" w:cs="宋体"/>
          <w:sz w:val="28"/>
          <w:szCs w:val="28"/>
        </w:rPr>
        <w:t>④</w:t>
      </w:r>
      <w:r>
        <w:rPr>
          <w:rFonts w:ascii="宋体" w:hAnsi="宋体" w:eastAsia="楷体" w:cs="宋体"/>
          <w:sz w:val="28"/>
          <w:szCs w:val="28"/>
        </w:rPr>
        <w:fldChar w:fldCharType="end"/>
      </w:r>
      <w:r>
        <w:rPr>
          <w:rFonts w:hint="eastAsia" w:ascii="宋体" w:hAnsi="宋体" w:eastAsia="楷体" w:cs="宋体"/>
          <w:sz w:val="28"/>
          <w:szCs w:val="28"/>
        </w:rPr>
        <w:t>技术效果：采用我们提出解决方案后，效果如何</w:t>
      </w:r>
    </w:p>
    <w:p w14:paraId="2EF944DB">
      <w:pPr>
        <w:spacing w:line="360" w:lineRule="auto"/>
        <w:ind w:firstLine="560" w:firstLineChars="200"/>
        <w:rPr>
          <w:rFonts w:ascii="宋体" w:hAnsi="宋体" w:eastAsia="楷体" w:cs="宋体"/>
          <w:bCs/>
          <w:sz w:val="28"/>
          <w:szCs w:val="28"/>
        </w:rPr>
      </w:pPr>
      <w:r>
        <w:rPr>
          <w:rFonts w:hint="eastAsia" w:ascii="宋体" w:hAnsi="宋体" w:eastAsia="楷体" w:cs="宋体"/>
          <w:sz w:val="28"/>
          <w:szCs w:val="28"/>
        </w:rPr>
        <w:t>具体的格式要求并不重要，只要将为什么会发明本技术，以及结合附图将本技术的具体结构构成描述清楚即可。若文字不好说明，也可以通过流程图来解释</w:t>
      </w:r>
      <w:r>
        <w:rPr>
          <w:rFonts w:hint="eastAsia" w:ascii="宋体" w:hAnsi="宋体" w:eastAsia="楷体" w:cs="宋体"/>
          <w:bCs/>
          <w:sz w:val="28"/>
          <w:szCs w:val="28"/>
        </w:rPr>
        <w:t>。提纲如下（黄色部分为解释）：</w:t>
      </w:r>
    </w:p>
    <w:p w14:paraId="31BCE7A7">
      <w:pPr>
        <w:spacing w:line="360" w:lineRule="auto"/>
        <w:jc w:val="center"/>
        <w:rPr>
          <w:rFonts w:hint="eastAsia" w:ascii="黑体" w:hAnsi="黑体" w:eastAsia="黑体" w:cs="黑体"/>
          <w:b/>
          <w:bCs/>
          <w:sz w:val="44"/>
          <w:szCs w:val="44"/>
        </w:rPr>
      </w:pPr>
    </w:p>
    <w:p w14:paraId="5BA16F43">
      <w:pPr>
        <w:spacing w:before="156" w:beforeLines="50" w:after="156" w:afterLines="50" w:line="360" w:lineRule="auto"/>
        <w:jc w:val="center"/>
        <w:rPr>
          <w:rFonts w:hint="default" w:ascii="黑体" w:hAnsi="黑体" w:eastAsia="黑体" w:cs="黑体"/>
          <w:b/>
          <w:bCs/>
          <w:sz w:val="30"/>
          <w:szCs w:val="30"/>
          <w:lang w:val="en-US" w:eastAsia="zh-CN"/>
        </w:rPr>
      </w:pPr>
      <w:r>
        <w:rPr>
          <w:rFonts w:hint="eastAsia" w:ascii="黑体" w:hAnsi="黑体" w:eastAsia="黑体" w:cs="黑体"/>
          <w:b/>
          <w:bCs/>
          <w:sz w:val="30"/>
          <w:szCs w:val="30"/>
          <w:lang w:val="en-US" w:eastAsia="zh-CN"/>
        </w:rPr>
        <w:t>一种模型融合的方法</w:t>
      </w:r>
    </w:p>
    <w:p w14:paraId="0B78CDBA">
      <w:pPr>
        <w:spacing w:line="360" w:lineRule="auto"/>
        <w:ind w:firstLine="548" w:firstLineChars="196"/>
        <w:rPr>
          <w:rFonts w:hint="eastAsia" w:ascii="Arial" w:hAnsi="Arial" w:cs="Arial"/>
          <w:color w:val="FF0000"/>
          <w:sz w:val="28"/>
          <w:szCs w:val="28"/>
          <w:highlight w:val="yellow"/>
        </w:rPr>
      </w:pPr>
      <w:r>
        <w:rPr>
          <w:rFonts w:hint="eastAsia" w:ascii="Arial" w:hAnsi="Arial" w:cs="Arial"/>
          <w:color w:val="FF0000"/>
          <w:sz w:val="28"/>
          <w:szCs w:val="28"/>
          <w:highlight w:val="yellow"/>
        </w:rPr>
        <w:t>指附加结构或功能限定语的</w:t>
      </w:r>
      <w:r>
        <w:rPr>
          <w:rFonts w:hint="eastAsia" w:ascii="Times New Roman" w:hAnsi="Times New Roman"/>
          <w:color w:val="FF0000"/>
          <w:sz w:val="28"/>
          <w:szCs w:val="28"/>
          <w:highlight w:val="yellow"/>
        </w:rPr>
        <w:t>产品或方法名称</w:t>
      </w:r>
      <w:r>
        <w:rPr>
          <w:rFonts w:ascii="Arial" w:hAnsi="Arial" w:cs="Arial"/>
          <w:color w:val="FF0000"/>
          <w:sz w:val="28"/>
          <w:szCs w:val="28"/>
          <w:highlight w:val="yellow"/>
        </w:rPr>
        <w:t>。名称中不应含有非技术性词语，不得使用商标、型号、人名、地名或商品名称等。</w:t>
      </w:r>
      <w:r>
        <w:rPr>
          <w:rFonts w:hint="eastAsia" w:ascii="Arial" w:hAnsi="Arial" w:cs="Arial"/>
          <w:color w:val="FF0000"/>
          <w:sz w:val="28"/>
          <w:szCs w:val="28"/>
          <w:highlight w:val="yellow"/>
        </w:rPr>
        <w:t>专利名称不要写成某某技术，方法类专利优选XXX方法和XXX工艺作为标题。</w:t>
      </w:r>
    </w:p>
    <w:p w14:paraId="0F96D4AC">
      <w:pPr>
        <w:spacing w:line="360" w:lineRule="auto"/>
        <w:jc w:val="left"/>
        <w:rPr>
          <w:rFonts w:hint="eastAsia" w:ascii="楷体" w:hAnsi="楷体" w:eastAsia="楷体" w:cs="楷体"/>
          <w:b/>
          <w:bCs/>
          <w:sz w:val="28"/>
          <w:szCs w:val="28"/>
          <w:u w:val="single"/>
        </w:rPr>
      </w:pPr>
      <w:r>
        <w:rPr>
          <w:rFonts w:hint="eastAsia" w:ascii="楷体" w:hAnsi="楷体" w:eastAsia="楷体" w:cs="楷体"/>
          <w:b/>
          <w:bCs/>
          <w:sz w:val="28"/>
          <w:szCs w:val="28"/>
          <w:u w:val="single"/>
        </w:rPr>
        <w:t xml:space="preserve">申请人：                                                         </w:t>
      </w:r>
    </w:p>
    <w:p w14:paraId="5CAB22BE">
      <w:pPr>
        <w:spacing w:line="360" w:lineRule="auto"/>
        <w:ind w:firstLine="548" w:firstLineChars="196"/>
        <w:rPr>
          <w:rFonts w:hint="eastAsia" w:ascii="Arial" w:hAnsi="Arial" w:cs="Arial"/>
          <w:color w:val="FF0000"/>
          <w:sz w:val="28"/>
          <w:szCs w:val="28"/>
          <w:highlight w:val="yellow"/>
        </w:rPr>
      </w:pPr>
      <w:r>
        <w:rPr>
          <w:rFonts w:hint="eastAsia" w:ascii="Arial" w:hAnsi="Arial" w:cs="Arial"/>
          <w:color w:val="FF0000"/>
          <w:sz w:val="28"/>
          <w:szCs w:val="28"/>
          <w:highlight w:val="yellow"/>
        </w:rPr>
        <w:t>申请人可以是单位或者个人，也可以是二个以上共同完成的单位。二个以上单位申请，请分别填写第一申请人、第二申请人；职务发明创造的申请人是发明人所在的单位。</w:t>
      </w:r>
    </w:p>
    <w:p w14:paraId="4283A564">
      <w:pPr>
        <w:spacing w:line="360" w:lineRule="auto"/>
        <w:jc w:val="left"/>
        <w:rPr>
          <w:rFonts w:hint="eastAsia" w:ascii="楷体" w:hAnsi="楷体" w:eastAsia="楷体" w:cs="楷体"/>
          <w:b/>
          <w:bCs/>
          <w:sz w:val="28"/>
          <w:szCs w:val="28"/>
          <w:u w:val="single"/>
        </w:rPr>
      </w:pPr>
      <w:r>
        <w:rPr>
          <w:rFonts w:hint="eastAsia" w:ascii="楷体" w:hAnsi="楷体" w:eastAsia="楷体" w:cs="楷体"/>
          <w:b/>
          <w:bCs/>
          <w:sz w:val="28"/>
          <w:szCs w:val="28"/>
          <w:u w:val="single"/>
        </w:rPr>
        <w:t xml:space="preserve">发明人（技术负责人）：      （电话    </w:t>
      </w:r>
      <w:bookmarkStart w:id="0" w:name="_GoBack"/>
      <w:bookmarkEnd w:id="0"/>
      <w:r>
        <w:rPr>
          <w:rFonts w:hint="eastAsia" w:ascii="楷体" w:hAnsi="楷体" w:eastAsia="楷体" w:cs="楷体"/>
          <w:b/>
          <w:bCs/>
          <w:sz w:val="28"/>
          <w:szCs w:val="28"/>
          <w:u w:val="single"/>
        </w:rPr>
        <w:t>） 联系人：         （电话    ）</w:t>
      </w:r>
    </w:p>
    <w:p w14:paraId="7A03EA5A">
      <w:pPr>
        <w:spacing w:line="360" w:lineRule="auto"/>
        <w:ind w:firstLine="548" w:firstLineChars="196"/>
        <w:rPr>
          <w:rFonts w:ascii="Arial" w:hAnsi="Arial" w:cs="Arial"/>
          <w:color w:val="FF0000"/>
          <w:sz w:val="28"/>
          <w:szCs w:val="28"/>
          <w:highlight w:val="yellow"/>
        </w:rPr>
      </w:pPr>
      <w:r>
        <w:rPr>
          <w:rFonts w:hint="eastAsia" w:ascii="Arial" w:hAnsi="Arial" w:cs="Arial"/>
          <w:color w:val="FF0000"/>
          <w:sz w:val="28"/>
          <w:szCs w:val="28"/>
          <w:highlight w:val="yellow"/>
        </w:rPr>
        <w:t>技术负责人与联系人可能是同一人，也可能技术负责人将技术交流交给学生或第三方企业技术人员作为联系人。</w:t>
      </w:r>
    </w:p>
    <w:p w14:paraId="3B52D2C9">
      <w:pPr>
        <w:spacing w:line="360" w:lineRule="auto"/>
        <w:ind w:firstLine="560" w:firstLineChars="200"/>
        <w:jc w:val="left"/>
        <w:rPr>
          <w:rFonts w:hint="eastAsia" w:ascii="黑体" w:hAnsi="黑体" w:eastAsia="黑体" w:cs="黑体"/>
          <w:sz w:val="28"/>
          <w:szCs w:val="28"/>
        </w:rPr>
      </w:pPr>
      <w:r>
        <w:rPr>
          <w:rFonts w:hint="eastAsia" w:ascii="黑体" w:hAnsi="黑体" w:eastAsia="黑体" w:cs="黑体"/>
          <w:sz w:val="28"/>
          <w:szCs w:val="28"/>
        </w:rPr>
        <w:t>一、技术领域</w:t>
      </w:r>
    </w:p>
    <w:p w14:paraId="4ACF6BD9">
      <w:pPr>
        <w:spacing w:line="360" w:lineRule="auto"/>
        <w:ind w:firstLine="470" w:firstLineChars="196"/>
        <w:rPr>
          <w:rFonts w:ascii="宋体" w:hAnsi="宋体" w:eastAsia="宋体" w:cs="宋体"/>
          <w:sz w:val="24"/>
          <w:szCs w:val="24"/>
        </w:rPr>
      </w:pPr>
      <w:r>
        <w:rPr>
          <w:rFonts w:ascii="宋体" w:hAnsi="宋体" w:eastAsia="宋体" w:cs="宋体"/>
          <w:sz w:val="24"/>
          <w:szCs w:val="24"/>
        </w:rPr>
        <w:t>本发明涉及计算机及人工智能技术领域，尤其涉及一种</w:t>
      </w:r>
      <w:r>
        <w:rPr>
          <w:rFonts w:hint="eastAsia" w:ascii="宋体" w:hAnsi="宋体" w:eastAsia="宋体" w:cs="宋体"/>
          <w:sz w:val="24"/>
          <w:szCs w:val="24"/>
          <w:lang w:val="en-US" w:eastAsia="zh-CN"/>
        </w:rPr>
        <w:t>模型融合</w:t>
      </w:r>
      <w:r>
        <w:rPr>
          <w:rFonts w:ascii="宋体" w:hAnsi="宋体" w:eastAsia="宋体" w:cs="宋体"/>
          <w:sz w:val="24"/>
          <w:szCs w:val="24"/>
        </w:rPr>
        <w:t>方法。</w:t>
      </w:r>
    </w:p>
    <w:p w14:paraId="23E508E4">
      <w:pPr>
        <w:numPr>
          <w:ilvl w:val="0"/>
          <w:numId w:val="1"/>
        </w:numPr>
        <w:spacing w:line="360" w:lineRule="auto"/>
        <w:ind w:firstLine="560" w:firstLineChars="200"/>
        <w:jc w:val="left"/>
        <w:rPr>
          <w:rFonts w:hint="eastAsia" w:ascii="黑体" w:hAnsi="黑体" w:eastAsia="黑体" w:cs="黑体"/>
          <w:sz w:val="28"/>
          <w:szCs w:val="28"/>
        </w:rPr>
      </w:pPr>
      <w:r>
        <w:rPr>
          <w:rFonts w:hint="eastAsia" w:ascii="黑体" w:hAnsi="黑体" w:eastAsia="黑体" w:cs="黑体"/>
          <w:sz w:val="28"/>
          <w:szCs w:val="28"/>
        </w:rPr>
        <w:t>背景技术</w:t>
      </w:r>
    </w:p>
    <w:p w14:paraId="31EB3BDA">
      <w:pPr>
        <w:bidi w:val="0"/>
        <w:ind w:firstLine="420" w:firstLineChars="200"/>
      </w:pPr>
      <w:r>
        <w:t>随着深度学习技术的发展，不同任务往往需要针对性地训练独立模型，这导致模型参数规模不断膨胀，带来存储成本高、部署困难以及推理效率低等问题。为了解决上述问题，模型融合技术逐渐受到关注。模型融合是指将多个已训练模型（通常是针对不同任务或数据分布微调得到的模型）的参数进行整合，在尽可能保持各任务性能的前提下，生成一个统一模型。</w:t>
      </w:r>
    </w:p>
    <w:p w14:paraId="2FA096F3">
      <w:pPr>
        <w:bidi w:val="0"/>
        <w:ind w:firstLine="420" w:firstLineChars="200"/>
      </w:pPr>
      <w:r>
        <w:t>模型融合的核心作用在于参数压缩与共享：通过融合多个模型，可以避免重复存储相似或冗余的参数，从而显著减少整体模型体积，同时提升资源利用效率。此外，融合后的模型还具备多任务处理能力，有利于在资源受限环境（如边缘设备或移动端）中部署。</w:t>
      </w:r>
    </w:p>
    <w:p w14:paraId="3E369FD5">
      <w:pPr>
        <w:bidi w:val="0"/>
        <w:ind w:firstLine="420" w:firstLineChars="200"/>
      </w:pPr>
      <w:r>
        <w:t>现有模型融合方法通常基于参数加权、差分合并或掩码选择等策略。例如，一类方法通过对多个模型参数进行线性组合实现融合；另一类方法（如基于掩码的融合方法）尝试从不同任务的参数中选择最相关的部分进行组合，以提高融合质量。然而，这些方法普遍存在如下局限性：</w:t>
      </w:r>
    </w:p>
    <w:p w14:paraId="4D1E1AE4">
      <w:pPr>
        <w:numPr>
          <w:ilvl w:val="0"/>
          <w:numId w:val="2"/>
        </w:numPr>
        <w:bidi w:val="0"/>
        <w:ind w:left="425" w:leftChars="0" w:hanging="425" w:firstLineChars="0"/>
      </w:pPr>
      <w:r>
        <w:t xml:space="preserve">特征强度不平衡问题：不同任务在微调过程中产生的参数变化幅度（即特征强度）存在显著差异。强特征（变化幅度大）在融合过程中容易主导结果，而弱特征（变化幅度小）则容易被掩盖，从而导致部分任务性能显著下降。 </w:t>
      </w:r>
    </w:p>
    <w:p w14:paraId="7CD4CF92">
      <w:pPr>
        <w:numPr>
          <w:ilvl w:val="0"/>
          <w:numId w:val="2"/>
        </w:numPr>
        <w:bidi w:val="0"/>
        <w:ind w:left="425" w:leftChars="0" w:hanging="425" w:firstLineChars="0"/>
      </w:pPr>
      <w:r>
        <w:t xml:space="preserve">弱特征保留能力不足：现有基于掩码的融合方法（如为每个任务构建选择性掩码）在面对特征强度差异较大的情况时，难以有效保留弱特征对应的重要参数维度，导致融合模型对相关任务的表达能力不足。 </w:t>
      </w:r>
    </w:p>
    <w:p w14:paraId="0902A5E0">
      <w:pPr>
        <w:numPr>
          <w:ilvl w:val="0"/>
          <w:numId w:val="2"/>
        </w:numPr>
        <w:bidi w:val="0"/>
        <w:ind w:left="425" w:leftChars="0" w:hanging="425" w:firstLineChars="0"/>
      </w:pPr>
      <w:r>
        <w:t xml:space="preserve">缺乏统一尺度处理机制：现有方法通常直接在原始参数空间进行融合，未对不同任务参数的数值范围进行统一处理，使得不同尺度的特征在融合时存在天然偏置，进一步加剧性能不稳定问题。 </w:t>
      </w:r>
    </w:p>
    <w:p w14:paraId="24CE6367">
      <w:pPr>
        <w:bidi w:val="0"/>
        <w:ind w:firstLine="420" w:firstLineChars="200"/>
        <w:rPr>
          <w:rFonts w:hint="eastAsia"/>
        </w:rPr>
      </w:pPr>
      <w:r>
        <w:t>因此，如何在模型融合过程中有效缓解强弱特征不平衡问题、提升弱特征的表达能力，并实现更加稳定高效的参数压缩与多任务融合，成为当前亟需解决的关键技术问题。</w:t>
      </w:r>
    </w:p>
    <w:p w14:paraId="4A991154">
      <w:pPr>
        <w:spacing w:line="360" w:lineRule="auto"/>
        <w:ind w:firstLine="560" w:firstLineChars="200"/>
        <w:jc w:val="left"/>
        <w:rPr>
          <w:rFonts w:hint="eastAsia" w:ascii="黑体" w:hAnsi="黑体" w:eastAsia="黑体" w:cs="黑体"/>
          <w:sz w:val="28"/>
          <w:szCs w:val="28"/>
        </w:rPr>
      </w:pPr>
      <w:r>
        <w:rPr>
          <w:rFonts w:hint="eastAsia" w:ascii="黑体" w:hAnsi="黑体" w:eastAsia="黑体" w:cs="黑体"/>
          <w:sz w:val="28"/>
          <w:szCs w:val="28"/>
        </w:rPr>
        <w:t>三、发明内容</w:t>
      </w:r>
    </w:p>
    <w:p w14:paraId="16CE9578">
      <w:pPr>
        <w:bidi w:val="0"/>
        <w:rPr>
          <w:rFonts w:hint="eastAsia"/>
        </w:rPr>
      </w:pPr>
      <w:r>
        <w:rPr>
          <w:rFonts w:hint="eastAsia" w:ascii="仿宋" w:hAnsi="仿宋" w:eastAsia="仿宋" w:cs="等线"/>
          <w:szCs w:val="28"/>
        </w:rPr>
        <w:t>本发明的目的在于：</w:t>
      </w:r>
      <w:r>
        <w:t>针对现有模型融合技术在多任务参数压缩过程中存在的不足，本发明的目的在于提出一种基于特征尺度对齐的模型融合方法。现有技术在融合多个任务的微调模型参数时，由于不同任务的参数变化幅度（即特征强度）存在显著差异，容易导致强特征在融合过程中占据主导地位，从而掩盖弱特征，使得部分任务的重要参数被错误丢弃，最终引起融合模型在弱特征任务上的性能下降。为解决上述问题，本发明从方法流程改进的角度出发，在模型融合前引入特征尺度归一化机制，通过对不同任务参数进行尺度对齐，使其在统一数值范围内参与融合，从而有效缓解特征强度不平衡问题。在此基础上，结合掩码构建机制实现任务相关参数的精准提取，从而在实现模型参数压缩的同时，提升多任务性能稳定性与整体融合效果。</w:t>
      </w:r>
    </w:p>
    <w:p w14:paraId="1D802622">
      <w:pPr>
        <w:spacing w:line="360" w:lineRule="auto"/>
        <w:ind w:firstLine="480"/>
        <w:jc w:val="left"/>
        <w:rPr>
          <w:rFonts w:hint="eastAsia" w:ascii="仿宋" w:hAnsi="仿宋" w:eastAsia="仿宋" w:cs="等线"/>
          <w:sz w:val="28"/>
          <w:szCs w:val="28"/>
        </w:rPr>
      </w:pPr>
      <w:r>
        <w:rPr>
          <w:rFonts w:hint="eastAsia" w:ascii="仿宋" w:hAnsi="仿宋" w:eastAsia="仿宋" w:cs="等线"/>
          <w:sz w:val="28"/>
          <w:szCs w:val="28"/>
        </w:rPr>
        <w:t>本发明采用的技术方案：</w:t>
      </w:r>
    </w:p>
    <w:p w14:paraId="7E604A84">
      <w:pPr>
        <w:bidi w:val="0"/>
        <w:ind w:firstLine="420" w:firstLineChars="200"/>
      </w:pPr>
      <w:r>
        <w:t>本发明提出一种基于特征尺度对齐的模型融合方法，整体流程包括特征强度计算阶段、尺度对齐阶段、参数融合阶段以及任务推理阶段，具体如下：</w:t>
      </w:r>
    </w:p>
    <w:p w14:paraId="75481F50">
      <w:pPr>
        <w:bidi w:val="0"/>
        <w:ind w:firstLine="420" w:firstLineChars="200"/>
      </w:pPr>
      <w:r>
        <w:t>步骤一：获取多任务微调参数</w:t>
      </w:r>
    </w:p>
    <w:p w14:paraId="5D80F869">
      <w:pPr>
        <w:bidi w:val="0"/>
      </w:pPr>
      <w:r>
        <w:t xml:space="preserve">首先，基于预训练模型，针对不同任务 </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rPr>
          <w:rFonts w:hint="eastAsia" w:hAnsi="Cambria Math"/>
          <w:i w:val="0"/>
          <w:sz w:val="21"/>
          <w:lang w:val="en-US" w:eastAsia="zh-CN"/>
        </w:rPr>
        <w:t xml:space="preserve"> </w:t>
      </w:r>
      <w:r>
        <w:t>进行微调，得到各任务对应的参数向量：</w:t>
      </w:r>
    </w:p>
    <w:p w14:paraId="0B37A34D">
      <w:pPr>
        <w:bidi w:val="0"/>
      </w:pPr>
      <m:oMathPara>
        <m:oMath>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p>
            <m:sSupPr>
              <m:ctrlPr>
                <w:rPr>
                  <w:rFonts w:hint="default" w:ascii="Cambria Math" w:hAnsi="Cambria Math"/>
                  <w:sz w:val="21"/>
                </w:rPr>
              </m:ctrlPr>
            </m:sSupPr>
            <m:e>
              <m:r>
                <m:rPr>
                  <m:scr m:val="double-struck"/>
                </m:rPr>
                <w:rPr>
                  <w:rFonts w:hint="default" w:ascii="Cambria Math" w:hAnsi="Cambria Math" w:eastAsia="MS Mincho"/>
                  <w:sz w:val="21"/>
                </w:rPr>
                <m:t>ℝ</m:t>
              </m:r>
              <m:ctrlPr>
                <w:rPr>
                  <w:rFonts w:ascii="Cambria Math" w:hAnsi="Cambria Math"/>
                  <w:sz w:val="21"/>
                </w:rPr>
              </m:ctrlPr>
            </m:e>
            <m:sup>
              <m:r>
                <m:rPr/>
                <w:rPr>
                  <w:rFonts w:hint="default" w:ascii="Cambria Math" w:hAnsi="Cambria Math"/>
                  <w:sz w:val="21"/>
                </w:rPr>
                <m:t>P</m:t>
              </m:r>
              <m:ctrlPr>
                <w:rPr>
                  <w:rFonts w:ascii="Cambria Math" w:hAnsi="Cambria Math"/>
                  <w:sz w:val="21"/>
                </w:rPr>
              </m:ctrlPr>
            </m:sup>
          </m:sSup>
        </m:oMath>
      </m:oMathPara>
    </w:p>
    <w:p w14:paraId="06A0D7FD">
      <w:pPr>
        <w:bidi w:val="0"/>
      </w:pPr>
      <w:r>
        <w:t>其中：</w:t>
      </w:r>
    </w:p>
    <w:p w14:paraId="637DFE6D">
      <w:pPr>
        <w:bidi w:val="0"/>
      </w:pPr>
      <m:oMath>
        <m:r>
          <m:rPr/>
          <w:rPr>
            <w:rFonts w:hint="default" w:ascii="Cambria Math" w:hAnsi="Cambria Math"/>
            <w:sz w:val="21"/>
          </w:rPr>
          <m:t>i=1,2,...,N</m:t>
        </m:r>
      </m:oMath>
      <w:r>
        <w:t xml:space="preserve">，表示任务编号； </w:t>
      </w:r>
    </w:p>
    <w:p w14:paraId="372A936C">
      <w:pPr>
        <w:bidi w:val="0"/>
      </w:pPr>
      <m:oMath>
        <m:r>
          <m:rPr/>
          <w:rPr>
            <w:rFonts w:hint="default" w:ascii="Cambria Math" w:hAnsi="Cambria Math"/>
            <w:sz w:val="21"/>
          </w:rPr>
          <m:t>P</m:t>
        </m:r>
      </m:oMath>
      <w:r>
        <w:t xml:space="preserve"> 表示模型参数总维度； </w:t>
      </w:r>
    </w:p>
    <w:p w14:paraId="4DB8B9EA">
      <w:pPr>
        <w:bidi w:val="0"/>
      </w:pPr>
      <m:oMath>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t xml:space="preserve">​ 表示第 </w:t>
      </w:r>
      <m:oMath>
        <m:r>
          <m:rPr/>
          <w:rPr>
            <w:rFonts w:hint="default" w:ascii="Cambria Math" w:hAnsi="Cambria Math"/>
            <w:sz w:val="21"/>
          </w:rPr>
          <m:t>i</m:t>
        </m:r>
      </m:oMath>
      <w:r>
        <w:t xml:space="preserve"> 个任务的微调参数。</w:t>
      </w:r>
    </w:p>
    <w:p w14:paraId="782B0D57">
      <w:pPr>
        <w:bidi w:val="0"/>
      </w:pPr>
      <w:r>
        <w:t>步骤二：计算任务特征强度</w:t>
      </w:r>
    </w:p>
    <w:p w14:paraId="273290E3">
      <w:pPr>
        <w:bidi w:val="0"/>
      </w:pPr>
      <w:r>
        <w:t xml:space="preserve">定义每个任务的特征强度 </w:t>
      </w:r>
      <m:oMath>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rPr>
          <w:rFonts w:hint="eastAsia" w:hAnsi="Cambria Math"/>
          <w:i w:val="0"/>
          <w:sz w:val="21"/>
          <w:lang w:val="en-US" w:eastAsia="zh-CN"/>
        </w:rPr>
        <w:t xml:space="preserve"> </w:t>
      </w:r>
      <w:r>
        <w:t>为其参数向量绝对值的均值：</w:t>
      </w:r>
    </w:p>
    <w:p w14:paraId="48B9F908">
      <w:pPr>
        <w:bidi w:val="0"/>
      </w:pPr>
      <m:oMathPara>
        <m:oMath>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f>
            <m:fPr>
              <m:ctrlPr>
                <w:rPr>
                  <w:rFonts w:hint="default" w:ascii="Cambria Math" w:hAnsi="Cambria Math"/>
                  <w:i/>
                  <w:sz w:val="21"/>
                </w:rPr>
              </m:ctrlPr>
            </m:fPr>
            <m:num>
              <m:r>
                <m:rPr/>
                <w:rPr>
                  <w:rFonts w:hint="default" w:ascii="Cambria Math" w:hAnsi="Cambria Math"/>
                  <w:sz w:val="21"/>
                </w:rPr>
                <m:t>1</m:t>
              </m:r>
              <m:ctrlPr>
                <w:rPr>
                  <w:rFonts w:ascii="Cambria Math" w:hAnsi="Cambria Math"/>
                  <w:sz w:val="21"/>
                </w:rPr>
              </m:ctrlPr>
            </m:num>
            <m:den>
              <m:r>
                <m:rPr/>
                <w:rPr>
                  <w:rFonts w:hint="default" w:ascii="Cambria Math" w:hAnsi="Cambria Math"/>
                  <w:sz w:val="21"/>
                </w:rPr>
                <m:t>P</m:t>
              </m:r>
              <m:ctrlPr>
                <w:rPr>
                  <w:rFonts w:ascii="Cambria Math" w:hAnsi="Cambria Math"/>
                  <w:sz w:val="21"/>
                </w:rPr>
              </m:ctrlPr>
            </m:den>
          </m:f>
          <m:nary>
            <m:naryPr>
              <m:chr m:val="∑"/>
              <m:limLoc m:val="undOvr"/>
              <m:ctrlPr>
                <w:rPr>
                  <w:rFonts w:hint="default" w:ascii="Cambria Math" w:hAnsi="Cambria Math"/>
                  <w:sz w:val="21"/>
                </w:rPr>
              </m:ctrlPr>
            </m:naryPr>
            <m:sub>
              <m:r>
                <m:rPr/>
                <w:rPr>
                  <w:rFonts w:hint="default" w:ascii="Cambria Math" w:hAnsi="Cambria Math"/>
                  <w:sz w:val="21"/>
                </w:rPr>
                <m:t>j=1</m:t>
              </m:r>
              <m:ctrlPr>
                <w:rPr>
                  <w:rFonts w:ascii="Cambria Math" w:hAnsi="Cambria Math"/>
                  <w:sz w:val="21"/>
                </w:rPr>
              </m:ctrlPr>
            </m:sub>
            <m:sup>
              <m:r>
                <m:rPr/>
                <w:rPr>
                  <w:rFonts w:hint="default" w:ascii="Cambria Math" w:hAnsi="Cambria Math"/>
                  <w:sz w:val="21"/>
                </w:rPr>
                <m:t>P</m:t>
              </m:r>
              <m:ctrlPr>
                <w:rPr>
                  <w:rFonts w:ascii="Cambria Math" w:hAnsi="Cambria Math"/>
                  <w:sz w:val="21"/>
                </w:rPr>
              </m:ctrlPr>
            </m:sup>
            <m:e>
              <m:r>
                <m:rPr/>
                <w:rPr>
                  <w:rFonts w:hint="default" w:ascii="Cambria Math" w:hAnsi="Cambria Math"/>
                  <w:sz w:val="21"/>
                </w:rPr>
                <m:t>|</m:t>
              </m:r>
              <m:ctrlPr>
                <w:rPr>
                  <w:rFonts w:ascii="Cambria Math" w:hAnsi="Cambria Math"/>
                  <w:sz w:val="21"/>
                </w:rPr>
              </m:ctrlPr>
            </m:e>
          </m:nary>
          <m:sSubSup>
            <m:sSubSupPr>
              <m:ctrlPr>
                <w:rPr>
                  <w:rFonts w:hint="default" w:ascii="Cambria Math" w:hAnsi="Cambria Math"/>
                  <w:sz w:val="21"/>
                </w:rPr>
              </m:ctrlPr>
            </m:sSubSup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(j)</m:t>
              </m:r>
              <m:ctrlPr>
                <w:rPr>
                  <w:rFonts w:ascii="Cambria Math" w:hAnsi="Cambria Math"/>
                  <w:sz w:val="21"/>
                </w:rPr>
              </m:ctrlPr>
            </m:sup>
          </m:sSubSup>
          <m:r>
            <m:rPr/>
            <w:rPr>
              <w:rFonts w:hint="default" w:ascii="Cambria Math" w:hAnsi="Cambria Math"/>
              <w:sz w:val="21"/>
            </w:rPr>
            <m:t>|</m:t>
          </m:r>
        </m:oMath>
      </m:oMathPara>
    </w:p>
    <w:p w14:paraId="791058AF">
      <w:pPr>
        <w:bidi w:val="0"/>
      </w:pPr>
      <w:r>
        <w:t>其中：</w:t>
      </w:r>
    </w:p>
    <w:p w14:paraId="60C415FA">
      <w:pPr>
        <w:bidi w:val="0"/>
      </w:pPr>
      <m:oMath>
        <m:sSubSup>
          <m:sSubSupPr>
            <m:ctrlPr>
              <w:rPr>
                <w:rFonts w:hint="default" w:ascii="Cambria Math" w:hAnsi="Cambria Math"/>
                <w:sz w:val="21"/>
              </w:rPr>
            </m:ctrlPr>
          </m:sSubSup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(j)</m:t>
            </m:r>
            <m:ctrlPr>
              <w:rPr>
                <w:rFonts w:ascii="Cambria Math" w:hAnsi="Cambria Math"/>
                <w:sz w:val="21"/>
              </w:rPr>
            </m:ctrlPr>
          </m:sup>
        </m:sSubSup>
      </m:oMath>
      <w:r>
        <w:t>表示第</w:t>
      </w:r>
      <m:oMath>
        <m:r>
          <m:rPr/>
          <w:rPr>
            <w:rFonts w:hint="default" w:ascii="Cambria Math" w:hAnsi="Cambria Math"/>
            <w:sz w:val="21"/>
          </w:rPr>
          <m:t>i</m:t>
        </m:r>
      </m:oMath>
      <w:r>
        <w:t xml:space="preserve">个任务在第 </w:t>
      </w:r>
      <m:oMath>
        <m:r>
          <m:rPr/>
          <w:rPr>
            <w:rFonts w:hint="default" w:ascii="Cambria Math" w:hAnsi="Cambria Math"/>
            <w:sz w:val="21"/>
          </w:rPr>
          <m:t>j</m:t>
        </m:r>
      </m:oMath>
      <w:r>
        <w:t xml:space="preserve"> 维的参数值； </w:t>
      </w:r>
    </w:p>
    <w:p w14:paraId="132C5B97">
      <w:pPr>
        <w:bidi w:val="0"/>
      </w:pPr>
      <m:oMath>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t xml:space="preserve">​用于衡量该任务整体特征幅度大小。 </w:t>
      </w:r>
    </w:p>
    <w:p w14:paraId="357B871C">
      <w:pPr>
        <w:bidi w:val="0"/>
      </w:pPr>
      <w:r>
        <w:t>选择特征强度最大的任务作为枢轴任务（pivot task）：</w:t>
      </w:r>
    </w:p>
    <w:p w14:paraId="4A59AC37">
      <w:pPr>
        <w:bidi w:val="0"/>
      </w:pPr>
      <m:oMathPara>
        <m:oMath>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pivot</m:t>
              </m:r>
              <m:ctrlPr>
                <w:rPr>
                  <w:rFonts w:ascii="Cambria Math" w:hAnsi="Cambria Math"/>
                  <w:sz w:val="21"/>
                </w:rPr>
              </m:ctrlPr>
            </m:sub>
          </m:sSub>
          <m:r>
            <m:rPr/>
            <w:rPr>
              <w:rFonts w:hint="default" w:ascii="Cambria Math" w:hAnsi="Cambria Math"/>
              <w:sz w:val="21"/>
            </w:rPr>
            <m:t>=</m:t>
          </m:r>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w:rPr>
                      <w:rFonts w:hint="default" w:ascii="Cambria Math" w:hAnsi="Cambria Math"/>
                      <w:sz w:val="21"/>
                    </w:rPr>
                    <m:t>i</m:t>
                  </m:r>
                  <m:ctrlPr>
                    <w:rPr>
                      <w:rFonts w:ascii="Cambria Math" w:hAnsi="Cambria Math"/>
                      <w:sz w:val="21"/>
                    </w:rPr>
                  </m:ctrlPr>
                </m:lim>
              </m:limLow>
              <m:ctrlPr>
                <w:rPr>
                  <w:rFonts w:hint="default" w:ascii="Cambria Math" w:hAnsi="Cambria Math"/>
                  <w:sz w:val="21"/>
                </w:rPr>
              </m:ctrlPr>
            </m:fName>
            <m:e>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e>
          </m:func>
        </m:oMath>
      </m:oMathPara>
    </w:p>
    <w:p w14:paraId="4C182344">
      <w:pPr>
        <w:bidi w:val="0"/>
      </w:pPr>
      <w:r>
        <w:t>步骤三：特征尺度对齐</w:t>
      </w:r>
    </w:p>
    <w:p w14:paraId="0C8606AB">
      <w:pPr>
        <w:bidi w:val="0"/>
      </w:pPr>
      <w:r>
        <w:t>针对每个任务</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t>，计算缩放因子：</w:t>
      </w:r>
    </w:p>
    <w:p w14:paraId="62565C39">
      <w:pPr>
        <w:bidi w:val="0"/>
      </w:pPr>
      <m:oMathPara>
        <m:oMath>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f>
            <m:fPr>
              <m:ctrlPr>
                <w:rPr>
                  <w:rFonts w:hint="default" w:ascii="Cambria Math" w:hAnsi="Cambria Math"/>
                  <w:i/>
                  <w:sz w:val="21"/>
                </w:rPr>
              </m:ctrlPr>
            </m:fPr>
            <m:num>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pivot</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den>
          </m:f>
        </m:oMath>
      </m:oMathPara>
    </w:p>
    <w:p w14:paraId="4CDF39BC">
      <w:pPr>
        <w:bidi w:val="0"/>
      </w:pPr>
      <w:r>
        <w:t>并对原始参数进行缩放，得到尺度对齐后的参数：</w:t>
      </w:r>
    </w:p>
    <w:p w14:paraId="3FA805CD">
      <w:pPr>
        <w:bidi w:val="0"/>
      </w:pPr>
      <m:oMathPara>
        <m:oMath>
          <m:sSub>
            <m:sSubPr>
              <m:ctrlPr>
                <w:rPr>
                  <w:rFonts w:hint="default" w:ascii="Cambria Math" w:hAnsi="Cambria Math"/>
                  <w:sz w:val="21"/>
                </w:rPr>
              </m:ctrlPr>
            </m:sSubPr>
            <m:e>
              <m:acc>
                <m:accPr>
                  <m:chr m:val="̃"/>
                  <m:ctrlPr>
                    <w:rPr>
                      <w:rFonts w:hint="default" w:ascii="Cambria Math" w:hAnsi="Cambria Math"/>
                      <w:sz w:val="21"/>
                    </w:rPr>
                  </m:ctrlPr>
                </m:accPr>
                <m:e>
                  <m:r>
                    <m:rPr/>
                    <w:rPr>
                      <w:rFonts w:hint="default" w:ascii="Cambria Math" w:hAnsi="Cambria Math"/>
                      <w:sz w:val="21"/>
                    </w:rPr>
                    <m:t>p</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r</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p</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oMath>
      </m:oMathPara>
    </w:p>
    <w:p w14:paraId="4922184E">
      <w:pPr>
        <w:bidi w:val="0"/>
      </w:pPr>
      <w:r>
        <w:t>其中：</w:t>
      </w:r>
    </w:p>
    <w:p w14:paraId="67FEC73A">
      <w:pPr>
        <w:bidi w:val="0"/>
      </w:pPr>
      <m:oMath>
        <m:sSub>
          <m:sSubPr>
            <m:ctrlPr>
              <w:rPr>
                <w:rFonts w:hint="default" w:ascii="Cambria Math" w:hAnsi="Cambria Math"/>
                <w:sz w:val="21"/>
              </w:rPr>
            </m:ctrlPr>
          </m:sSubPr>
          <m:e>
            <m:acc>
              <m:accPr>
                <m:chr m:val="̃"/>
                <m:ctrlPr>
                  <w:rPr>
                    <w:rFonts w:hint="default" w:ascii="Cambria Math" w:hAnsi="Cambria Math"/>
                    <w:sz w:val="21"/>
                  </w:rPr>
                </m:ctrlPr>
              </m:accPr>
              <m:e>
                <m:r>
                  <m:rPr/>
                  <w:rPr>
                    <w:rFonts w:hint="default" w:ascii="Cambria Math" w:hAnsi="Cambria Math"/>
                    <w:sz w:val="21"/>
                  </w:rPr>
                  <m:t>p</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oMath>
      <w:r>
        <w:t xml:space="preserve"> 表示缩放后的参数； </w:t>
      </w:r>
    </w:p>
    <w:p w14:paraId="2DF9E681">
      <w:pPr>
        <w:bidi w:val="0"/>
      </w:pPr>
      <w:r>
        <w:t xml:space="preserve">该步骤的作用是将所有任务参数映射到统一尺度空间，避免弱特征被强特征掩盖。 </w:t>
      </w:r>
    </w:p>
    <w:p w14:paraId="0FBE27B0">
      <w:pPr>
        <w:bidi w:val="0"/>
      </w:pPr>
      <w:r>
        <w:t>步骤四：融合参数构建</w:t>
      </w:r>
    </w:p>
    <w:p w14:paraId="47B797BD">
      <w:pPr>
        <w:bidi w:val="0"/>
      </w:pPr>
      <w:r>
        <w:t>基于尺度对齐后的参数</w:t>
      </w:r>
      <m:oMath>
        <m:sSub>
          <m:sSubPr>
            <m:ctrlPr>
              <w:rPr>
                <w:rFonts w:hint="default" w:ascii="Cambria Math" w:hAnsi="Cambria Math"/>
                <w:sz w:val="21"/>
              </w:rPr>
            </m:ctrlPr>
          </m:sSubPr>
          <m:e>
            <m:acc>
              <m:accPr>
                <m:chr m:val="̃"/>
                <m:ctrlPr>
                  <w:rPr>
                    <w:rFonts w:hint="default" w:ascii="Cambria Math" w:hAnsi="Cambria Math"/>
                    <w:sz w:val="21"/>
                  </w:rPr>
                </m:ctrlPr>
              </m:accPr>
              <m:e>
                <m:r>
                  <m:rPr/>
                  <w:rPr>
                    <w:rFonts w:hint="default" w:ascii="Cambria Math" w:hAnsi="Cambria Math"/>
                    <w:sz w:val="21"/>
                  </w:rPr>
                  <m:t>p</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oMath>
      <w:r>
        <w:t>，构建融合参数</w:t>
      </w:r>
      <m:oMath>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fusion</m:t>
            </m:r>
            <m:ctrlPr>
              <w:rPr>
                <w:rFonts w:ascii="Cambria Math" w:hAnsi="Cambria Math"/>
                <w:sz w:val="21"/>
              </w:rPr>
            </m:ctrlPr>
          </m:sub>
        </m:sSub>
      </m:oMath>
      <w:r>
        <w:t>，</w:t>
      </w:r>
      <w:r>
        <w:rPr>
          <w:rFonts w:hint="eastAsia"/>
          <w:lang w:val="en-US" w:eastAsia="zh-CN"/>
        </w:rPr>
        <w:t>构造方式通过</w:t>
      </w:r>
      <w:r>
        <w:t>最大值融合</w:t>
      </w:r>
      <w:r>
        <w:rPr>
          <w:rFonts w:hint="eastAsia"/>
          <w:lang w:val="en-US" w:eastAsia="zh-CN"/>
        </w:rPr>
        <w:t>实现</w:t>
      </w:r>
      <w:r>
        <w:t>：</w:t>
      </w:r>
    </w:p>
    <w:p w14:paraId="4144D547">
      <w:pPr>
        <w:bidi w:val="0"/>
        <w:rPr>
          <w:rFonts w:hint="default" w:hAnsi="Cambria Math"/>
          <w:i w:val="0"/>
          <w:sz w:val="21"/>
        </w:rPr>
      </w:pPr>
      <m:oMathPara>
        <m:oMath>
          <m:sSubSup>
            <m:sSubSupPr>
              <m:ctrlPr>
                <w:rPr>
                  <w:rFonts w:hint="default" w:ascii="Cambria Math" w:hAnsi="Cambria Math"/>
                  <w:sz w:val="21"/>
                </w:rPr>
              </m:ctrlPr>
            </m:sSubSup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fusion</m:t>
              </m:r>
              <m:ctrlPr>
                <w:rPr>
                  <w:rFonts w:ascii="Cambria Math" w:hAnsi="Cambria Math"/>
                  <w:sz w:val="21"/>
                </w:rPr>
              </m:ctrlPr>
            </m:sub>
            <m:sup>
              <m:r>
                <m:rPr/>
                <w:rPr>
                  <w:rFonts w:hint="default" w:ascii="Cambria Math" w:hAnsi="Cambria Math"/>
                  <w:sz w:val="21"/>
                </w:rPr>
                <m:t>(j)</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acc>
                <m:accPr>
                  <m:chr m:val="̃"/>
                  <m:ctrlPr>
                    <w:rPr>
                      <w:rFonts w:hint="default" w:ascii="Cambria Math" w:hAnsi="Cambria Math"/>
                      <w:sz w:val="21"/>
                    </w:rPr>
                  </m:ctrlPr>
                </m:accPr>
                <m:e>
                  <m:r>
                    <m:rPr/>
                    <w:rPr>
                      <w:rFonts w:hint="default" w:ascii="Cambria Math" w:hAnsi="Cambria Math"/>
                      <w:sz w:val="21"/>
                    </w:rPr>
                    <m:t>p</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k</m:t>
              </m:r>
              <m:ctrlPr>
                <w:rPr>
                  <w:rFonts w:hint="default" w:ascii="Cambria Math" w:hAnsi="Cambria Math"/>
                  <w:sz w:val="21"/>
                </w:rPr>
              </m:ctrlPr>
            </m:sub>
            <m:sup>
              <m:r>
                <m:rPr/>
                <w:rPr>
                  <w:rFonts w:hint="default" w:ascii="Cambria Math" w:hAnsi="Cambria Math"/>
                  <w:sz w:val="21"/>
                </w:rPr>
                <m:t>(j)</m:t>
              </m:r>
              <m:ctrlPr>
                <w:rPr>
                  <w:rFonts w:hint="default" w:ascii="Cambria Math" w:hAnsi="Cambria Math"/>
                  <w:sz w:val="21"/>
                </w:rPr>
              </m:ctrlPr>
            </m:sup>
          </m:sSubSup>
          <m:r>
            <m:rPr/>
            <w:rPr>
              <w:rFonts w:hint="default" w:ascii="Cambria Math" w:hAnsi="Cambria Math"/>
              <w:sz w:val="21"/>
            </w:rPr>
            <m:t>, k=</m:t>
          </m:r>
          <m:func>
            <m:funcPr>
              <m:ctrlPr>
                <w:rPr>
                  <w:rFonts w:hint="default" w:ascii="Cambria Math" w:hAnsi="Cambria Math"/>
                  <w:sz w:val="21"/>
                </w:rPr>
              </m:ctrlPr>
            </m:funcPr>
            <m:fName>
              <m:r>
                <m:rPr/>
                <w:rPr>
                  <w:rFonts w:hint="default" w:ascii="Cambria Math" w:hAnsi="Cambria Math"/>
                  <w:sz w:val="21"/>
                </w:rPr>
                <m:t>arg</m:t>
              </m:r>
              <m:ctrlPr>
                <w:rPr>
                  <w:rFonts w:hint="default" w:ascii="Cambria Math" w:hAnsi="Cambria Math"/>
                  <w:sz w:val="21"/>
                </w:rPr>
              </m:ctrlPr>
            </m:fName>
            <m:e>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w:rPr>
                          <w:rFonts w:hint="default" w:ascii="Cambria Math" w:hAnsi="Cambria Math"/>
                          <w:sz w:val="21"/>
                        </w:rPr>
                        <m:t>i</m:t>
                      </m:r>
                      <m:ctrlPr>
                        <w:rPr>
                          <w:rFonts w:ascii="Cambria Math" w:hAnsi="Cambria Math"/>
                          <w:sz w:val="21"/>
                        </w:rPr>
                      </m:ctrlPr>
                    </m:lim>
                  </m:limLow>
                  <m:ctrlPr>
                    <w:rPr>
                      <w:rFonts w:hint="default" w:ascii="Cambria Math" w:hAnsi="Cambria Math"/>
                      <w:sz w:val="21"/>
                    </w:rPr>
                  </m:ctrlPr>
                </m:fName>
                <m:e>
                  <m:r>
                    <m:rPr/>
                    <w:rPr>
                      <w:rFonts w:hint="default" w:ascii="Cambria Math" w:hAnsi="Cambria Math"/>
                      <w:sz w:val="21"/>
                    </w:rPr>
                    <m:t>|</m:t>
                  </m:r>
                  <m:ctrlPr>
                    <w:rPr>
                      <w:rFonts w:hint="default" w:ascii="Cambria Math" w:hAnsi="Cambria Math"/>
                      <w:sz w:val="21"/>
                    </w:rPr>
                  </m:ctrlPr>
                </m:e>
              </m:func>
              <m:ctrlPr>
                <w:rPr>
                  <w:rFonts w:hint="default" w:ascii="Cambria Math" w:hAnsi="Cambria Math"/>
                  <w:sz w:val="21"/>
                </w:rPr>
              </m:ctrlPr>
            </m:e>
          </m:func>
          <m:sSubSup>
            <m:sSubSupPr>
              <m:ctrlPr>
                <w:rPr>
                  <w:rFonts w:hint="default" w:ascii="Cambria Math" w:hAnsi="Cambria Math"/>
                  <w:sz w:val="21"/>
                </w:rPr>
              </m:ctrlPr>
            </m:sSubSupPr>
            <m:e>
              <m:acc>
                <m:accPr>
                  <m:chr m:val="̃"/>
                  <m:ctrlPr>
                    <w:rPr>
                      <w:rFonts w:hint="default" w:ascii="Cambria Math" w:hAnsi="Cambria Math"/>
                      <w:sz w:val="21"/>
                    </w:rPr>
                  </m:ctrlPr>
                </m:accPr>
                <m:e>
                  <m:r>
                    <m:rPr/>
                    <w:rPr>
                      <w:rFonts w:hint="default" w:ascii="Cambria Math" w:hAnsi="Cambria Math"/>
                      <w:sz w:val="21"/>
                    </w:rPr>
                    <m:t>p</m:t>
                  </m:r>
                  <m:ctrlPr>
                    <w:rPr>
                      <w:rFonts w:hint="default" w:ascii="Cambria Math" w:hAnsi="Cambria Math"/>
                      <w:sz w:val="21"/>
                    </w:rPr>
                  </m:ctrlPr>
                </m:e>
              </m:acc>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up>
              <m:r>
                <m:rPr/>
                <w:rPr>
                  <w:rFonts w:hint="default" w:ascii="Cambria Math" w:hAnsi="Cambria Math"/>
                  <w:sz w:val="21"/>
                </w:rPr>
                <m:t>(j)</m:t>
              </m:r>
              <m:ctrlPr>
                <w:rPr>
                  <w:rFonts w:hint="default" w:ascii="Cambria Math" w:hAnsi="Cambria Math"/>
                  <w:sz w:val="21"/>
                </w:rPr>
              </m:ctrlPr>
            </m:sup>
          </m:sSubSup>
          <m:r>
            <m:rPr/>
            <w:rPr>
              <w:rFonts w:hint="default" w:ascii="Cambria Math" w:hAnsi="Cambria Math"/>
              <w:sz w:val="21"/>
            </w:rPr>
            <m:t>|</m:t>
          </m:r>
        </m:oMath>
      </m:oMathPara>
    </w:p>
    <w:p w14:paraId="7CD1CEC7">
      <w:pPr>
        <w:bidi w:val="0"/>
        <w:rPr>
          <w:rFonts w:hint="default" w:hAnsi="Cambria Math" w:eastAsia="宋体"/>
          <w:i w:val="0"/>
          <w:sz w:val="21"/>
          <w:lang w:val="en-US" w:eastAsia="zh-CN"/>
        </w:rPr>
      </w:pPr>
      <m:oMath>
        <m:sSubSup>
          <m:sSubSupPr>
            <m:ctrlPr>
              <w:rPr>
                <w:rFonts w:hint="default" w:ascii="Cambria Math" w:hAnsi="Cambria Math"/>
                <w:sz w:val="21"/>
              </w:rPr>
            </m:ctrlPr>
          </m:sSubSup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fusion</m:t>
            </m:r>
            <m:ctrlPr>
              <w:rPr>
                <w:rFonts w:ascii="Cambria Math" w:hAnsi="Cambria Math"/>
                <w:sz w:val="21"/>
              </w:rPr>
            </m:ctrlPr>
          </m:sub>
          <m:sup>
            <m:r>
              <m:rPr/>
              <w:rPr>
                <w:rFonts w:hint="default" w:ascii="Cambria Math" w:hAnsi="Cambria Math"/>
                <w:sz w:val="21"/>
              </w:rPr>
              <m:t>(j)</m:t>
            </m:r>
            <m:ctrlPr>
              <w:rPr>
                <w:rFonts w:ascii="Cambria Math" w:hAnsi="Cambria Math"/>
                <w:sz w:val="21"/>
              </w:rPr>
            </m:ctrlPr>
          </m:sup>
        </m:sSubSup>
      </m:oMath>
      <w:r>
        <w:rPr>
          <w:rFonts w:hint="eastAsia" w:hAnsi="Cambria Math"/>
          <w:i w:val="0"/>
          <w:sz w:val="21"/>
          <w:lang w:eastAsia="zh-CN"/>
        </w:rPr>
        <w:t>、</w:t>
      </w:r>
      <m:oMath>
        <m:sSubSup>
          <m:sSubSupPr>
            <m:ctrlPr>
              <w:rPr>
                <w:rFonts w:hint="default" w:ascii="Cambria Math" w:hAnsi="Cambria Math"/>
                <w:sz w:val="21"/>
              </w:rPr>
            </m:ctrlPr>
          </m:sSubSupPr>
          <m:e>
            <m:acc>
              <m:accPr>
                <m:chr m:val="̃"/>
                <m:ctrlPr>
                  <w:rPr>
                    <w:rFonts w:hint="default" w:ascii="Cambria Math" w:hAnsi="Cambria Math"/>
                    <w:sz w:val="21"/>
                  </w:rPr>
                </m:ctrlPr>
              </m:accPr>
              <m:e>
                <m:r>
                  <m:rPr/>
                  <w:rPr>
                    <w:rFonts w:hint="default" w:ascii="Cambria Math" w:hAnsi="Cambria Math"/>
                    <w:sz w:val="21"/>
                  </w:rPr>
                  <m:t>p</m:t>
                </m:r>
                <m:ctrlPr>
                  <w:rPr>
                    <w:rFonts w:hint="default" w:ascii="Cambria Math" w:hAnsi="Cambria Math"/>
                    <w:sz w:val="21"/>
                  </w:rPr>
                </m:ctrlPr>
              </m:e>
            </m:acc>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up>
            <m:r>
              <m:rPr/>
              <w:rPr>
                <w:rFonts w:hint="default" w:ascii="Cambria Math" w:hAnsi="Cambria Math"/>
                <w:sz w:val="21"/>
              </w:rPr>
              <m:t>(j)</m:t>
            </m:r>
            <m:ctrlPr>
              <w:rPr>
                <w:rFonts w:hint="default" w:ascii="Cambria Math" w:hAnsi="Cambria Math"/>
                <w:sz w:val="21"/>
              </w:rPr>
            </m:ctrlPr>
          </m:sup>
        </m:sSubSup>
      </m:oMath>
      <w:r>
        <w:rPr>
          <w:rFonts w:hint="eastAsia" w:hAnsi="Cambria Math"/>
          <w:i w:val="0"/>
          <w:sz w:val="21"/>
          <w:lang w:val="en-US" w:eastAsia="zh-CN"/>
        </w:rPr>
        <w:t>表示相应向量在第</w:t>
      </w:r>
      <m:oMath>
        <m:r>
          <m:rPr/>
          <w:rPr>
            <w:rFonts w:hint="default" w:ascii="Cambria Math" w:hAnsi="Cambria Math"/>
            <w:sz w:val="21"/>
          </w:rPr>
          <m:t>j</m:t>
        </m:r>
      </m:oMath>
      <w:r>
        <w:rPr>
          <w:rFonts w:hint="eastAsia" w:hAnsi="Cambria Math"/>
          <w:i w:val="0"/>
          <w:sz w:val="21"/>
          <w:lang w:val="en-US" w:eastAsia="zh-CN"/>
        </w:rPr>
        <w:t>维度上的值</w:t>
      </w:r>
    </w:p>
    <w:p w14:paraId="27991375">
      <w:pPr>
        <w:bidi w:val="0"/>
      </w:pPr>
    </w:p>
    <w:p w14:paraId="32859363">
      <w:pPr>
        <w:bidi w:val="0"/>
      </w:pPr>
      <w:r>
        <w:t>步骤五：构建任务掩码（Mask构建）</w:t>
      </w:r>
    </w:p>
    <w:p w14:paraId="4FFDC910">
      <w:pPr>
        <w:bidi w:val="0"/>
      </w:pPr>
      <w:r>
        <w:t>针对每个任务</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t xml:space="preserve">，构建二值掩码 </w:t>
      </w:r>
      <m:oMath>
        <m:sSub>
          <m:sSubPr>
            <m:ctrlPr>
              <w:rPr>
                <w:rFonts w:hint="default" w:ascii="Cambria Math" w:hAnsi="Cambria Math"/>
                <w:sz w:val="21"/>
              </w:rPr>
            </m:ctrlPr>
          </m:sSub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∈{0,1</m:t>
        </m:r>
        <m:sSup>
          <m:sSupPr>
            <m:ctrlPr>
              <w:rPr>
                <w:rFonts w:hint="default" w:ascii="Cambria Math" w:hAnsi="Cambria Math"/>
                <w:sz w:val="21"/>
              </w:rPr>
            </m:ctrlPr>
          </m:sSupPr>
          <m:e>
            <m:r>
              <m:rPr/>
              <w:rPr>
                <w:rFonts w:hint="default" w:ascii="Cambria Math" w:hAnsi="Cambria Math"/>
                <w:sz w:val="21"/>
              </w:rPr>
              <m:t>}</m:t>
            </m:r>
            <m:ctrlPr>
              <w:rPr>
                <w:rFonts w:ascii="Cambria Math" w:hAnsi="Cambria Math"/>
                <w:sz w:val="21"/>
              </w:rPr>
            </m:ctrlPr>
          </m:e>
          <m:sup>
            <m:r>
              <m:rPr/>
              <w:rPr>
                <w:rFonts w:hint="default" w:ascii="Cambria Math" w:hAnsi="Cambria Math"/>
                <w:sz w:val="21"/>
              </w:rPr>
              <m:t>P</m:t>
            </m:r>
            <m:ctrlPr>
              <w:rPr>
                <w:rFonts w:ascii="Cambria Math" w:hAnsi="Cambria Math"/>
                <w:sz w:val="21"/>
              </w:rPr>
            </m:ctrlPr>
          </m:sup>
        </m:sSup>
      </m:oMath>
      <w:r>
        <w:t>，用于筛选与该任务最相关的参数：</w:t>
      </w:r>
    </w:p>
    <w:p w14:paraId="211AEF3B">
      <w:pPr>
        <w:bidi w:val="0"/>
      </w:pPr>
      <m:oMathPara>
        <m:oMath>
          <m:sSubSup>
            <m:sSubSupPr>
              <m:ctrlPr>
                <w:rPr>
                  <w:rFonts w:hint="default" w:ascii="Cambria Math" w:hAnsi="Cambria Math"/>
                  <w:sz w:val="21"/>
                </w:rPr>
              </m:ctrlPr>
            </m:sSubSup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(j)</m:t>
              </m:r>
              <m:ctrlPr>
                <w:rPr>
                  <w:rFonts w:ascii="Cambria Math" w:hAnsi="Cambria Math"/>
                  <w:sz w:val="21"/>
                </w:rPr>
              </m:ctrlPr>
            </m:sup>
          </m:sSubSup>
          <m:r>
            <m:rPr/>
            <w:rPr>
              <w:rFonts w:hint="default" w:ascii="Cambria Math" w:hAnsi="Cambria Math"/>
              <w:sz w:val="21"/>
            </w:rPr>
            <m:t>=</m:t>
          </m:r>
          <m:r>
            <m:rPr>
              <m:sty m:val="b"/>
            </m:rPr>
            <w:rPr>
              <w:rFonts w:hint="default" w:ascii="Cambria Math" w:hAnsi="Cambria Math"/>
              <w:sz w:val="21"/>
            </w:rPr>
            <m:t>1</m:t>
          </m:r>
          <m:d>
            <m:dPr>
              <m:begChr m:val="{"/>
              <m:endChr m:val="}"/>
              <m:ctrlPr>
                <w:rPr>
                  <w:rFonts w:hint="default" w:ascii="Cambria Math" w:hAnsi="Cambria Math"/>
                  <w:sz w:val="21"/>
                </w:rPr>
              </m:ctrlPr>
            </m:dPr>
            <m:e>
              <m:r>
                <m:rPr/>
                <w:rPr>
                  <w:rFonts w:hint="default" w:ascii="Cambria Math" w:hAnsi="Cambria Math"/>
                  <w:sz w:val="21"/>
                </w:rPr>
                <m:t>|</m:t>
              </m:r>
              <m:sSubSup>
                <m:sSubSupPr>
                  <m:ctrlPr>
                    <w:rPr>
                      <w:rFonts w:hint="default" w:ascii="Cambria Math" w:hAnsi="Cambria Math"/>
                      <w:sz w:val="21"/>
                    </w:rPr>
                  </m:ctrlPr>
                </m:sSubSupPr>
                <m:e>
                  <m:acc>
                    <m:accPr>
                      <m:chr m:val="̃"/>
                      <m:ctrlPr>
                        <w:rPr>
                          <w:rFonts w:hint="default" w:ascii="Cambria Math" w:hAnsi="Cambria Math"/>
                          <w:sz w:val="21"/>
                        </w:rPr>
                      </m:ctrlPr>
                    </m:accPr>
                    <m:e>
                      <m:r>
                        <m:rPr/>
                        <w:rPr>
                          <w:rFonts w:hint="default" w:ascii="Cambria Math" w:hAnsi="Cambria Math"/>
                          <w:sz w:val="21"/>
                        </w:rPr>
                        <m:t>p</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up>
                  <m:r>
                    <m:rPr/>
                    <w:rPr>
                      <w:rFonts w:hint="default" w:ascii="Cambria Math" w:hAnsi="Cambria Math"/>
                      <w:sz w:val="21"/>
                    </w:rPr>
                    <m:t>(j)</m:t>
                  </m:r>
                  <m:ctrlPr>
                    <w:rPr>
                      <w:rFonts w:hint="default"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p</m:t>
                  </m:r>
                  <m:ctrlPr>
                    <w:rPr>
                      <w:rFonts w:hint="default" w:ascii="Cambria Math" w:hAnsi="Cambria Math"/>
                      <w:sz w:val="21"/>
                    </w:rPr>
                  </m:ctrlPr>
                </m:e>
                <m:sub>
                  <m:r>
                    <m:rPr/>
                    <w:rPr>
                      <w:rFonts w:hint="default" w:ascii="Cambria Math" w:hAnsi="Cambria Math"/>
                      <w:sz w:val="21"/>
                    </w:rPr>
                    <m:t>fusion</m:t>
                  </m:r>
                  <m:ctrlPr>
                    <w:rPr>
                      <w:rFonts w:hint="default" w:ascii="Cambria Math" w:hAnsi="Cambria Math"/>
                      <w:sz w:val="21"/>
                    </w:rPr>
                  </m:ctrlPr>
                </m:sub>
                <m:sup>
                  <m:r>
                    <m:rPr/>
                    <w:rPr>
                      <w:rFonts w:hint="default" w:ascii="Cambria Math" w:hAnsi="Cambria Math"/>
                      <w:sz w:val="21"/>
                    </w:rPr>
                    <m:t>(j)</m:t>
                  </m:r>
                  <m:ctrlPr>
                    <w:rPr>
                      <w:rFonts w:hint="default"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acc>
                    <m:accPr>
                      <m:chr m:val="̃"/>
                      <m:ctrlPr>
                        <w:rPr>
                          <w:rFonts w:hint="default" w:ascii="Cambria Math" w:hAnsi="Cambria Math"/>
                          <w:sz w:val="21"/>
                        </w:rPr>
                      </m:ctrlPr>
                    </m:accPr>
                    <m:e>
                      <m:r>
                        <m:rPr/>
                        <w:rPr>
                          <w:rFonts w:hint="default" w:ascii="Cambria Math" w:hAnsi="Cambria Math"/>
                          <w:sz w:val="21"/>
                        </w:rPr>
                        <m:t>p</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up>
                  <m:r>
                    <m:rPr/>
                    <w:rPr>
                      <w:rFonts w:hint="default" w:ascii="Cambria Math" w:hAnsi="Cambria Math"/>
                      <w:sz w:val="21"/>
                    </w:rPr>
                    <m:t>(j)</m:t>
                  </m:r>
                  <m:ctrlPr>
                    <w:rPr>
                      <w:rFonts w:hint="default" w:ascii="Cambria Math" w:hAnsi="Cambria Math"/>
                      <w:sz w:val="21"/>
                    </w:rPr>
                  </m:ctrlPr>
                </m:sup>
              </m:sSubSup>
              <m:r>
                <m:rPr/>
                <w:rPr>
                  <w:rFonts w:hint="default" w:ascii="Cambria Math" w:hAnsi="Cambria Math"/>
                  <w:sz w:val="21"/>
                </w:rPr>
                <m:t>|</m:t>
              </m:r>
              <m:ctrlPr>
                <w:rPr>
                  <w:rFonts w:hint="default" w:ascii="Cambria Math" w:hAnsi="Cambria Math"/>
                  <w:sz w:val="21"/>
                </w:rPr>
              </m:ctrlPr>
            </m:e>
          </m:d>
        </m:oMath>
      </m:oMathPara>
    </w:p>
    <w:p w14:paraId="3AEEBB00">
      <w:pPr>
        <w:bidi w:val="0"/>
      </w:pPr>
      <w:r>
        <w:t>其中：</w:t>
      </w:r>
    </w:p>
    <w:p w14:paraId="2AADF106">
      <w:pPr>
        <w:bidi w:val="0"/>
      </w:pPr>
      <m:oMath>
        <m:r>
          <m:rPr>
            <m:sty m:val="b"/>
          </m:rPr>
          <w:rPr>
            <w:rFonts w:hint="default" w:ascii="Cambria Math" w:hAnsi="Cambria Math"/>
            <w:sz w:val="21"/>
          </w:rPr>
          <m:t>1</m:t>
        </m:r>
        <m:r>
          <m:rPr/>
          <w:rPr>
            <w:rFonts w:hint="default" w:ascii="Cambria Math" w:hAnsi="Cambria Math"/>
            <w:sz w:val="21"/>
          </w:rPr>
          <m:t>{⋅}</m:t>
        </m:r>
      </m:oMath>
      <w:r>
        <w:t xml:space="preserve">为指示函数；当条件成立时，该维度保留，否则置零。 </w:t>
      </w:r>
    </w:p>
    <w:p w14:paraId="7F46DA45">
      <w:pPr>
        <w:bidi w:val="0"/>
      </w:pPr>
      <w:r>
        <w:t>步骤六：任务推理与反缩放</w:t>
      </w:r>
    </w:p>
    <w:p w14:paraId="5E619E23">
      <w:pPr>
        <w:bidi w:val="0"/>
      </w:pPr>
      <w:r>
        <w:t>在推理阶段，对任务</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t>，先通过掩码提取参数：</w:t>
      </w:r>
    </w:p>
    <w:p w14:paraId="6E29E6AD">
      <w:pPr>
        <w:bidi w:val="0"/>
      </w:pPr>
      <m:oMathPara>
        <m:oMath>
          <m:sSubSup>
            <m:sSubSupPr>
              <m:ctrlPr>
                <w:rPr>
                  <w:rFonts w:hint="default" w:ascii="Cambria Math" w:hAnsi="Cambria Math"/>
                  <w:sz w:val="21"/>
                </w:rPr>
              </m:ctrlPr>
            </m:sSubSup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infer</m:t>
              </m:r>
              <m:ctrlPr>
                <w:rPr>
                  <w:rFonts w:ascii="Cambria Math" w:hAnsi="Cambria Math"/>
                  <w:sz w:val="21"/>
                </w:rPr>
              </m:ctrlPr>
            </m:sup>
          </m:sSub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fusion</m:t>
              </m:r>
              <m:ctrlPr>
                <w:rPr>
                  <w:rFonts w:ascii="Cambria Math" w:hAnsi="Cambria Math"/>
                  <w:sz w:val="21"/>
                </w:rPr>
              </m:ctrlPr>
            </m:sub>
          </m:sSub>
        </m:oMath>
      </m:oMathPara>
    </w:p>
    <w:p w14:paraId="486BC010">
      <w:pPr>
        <w:bidi w:val="0"/>
      </w:pPr>
      <w:r>
        <w:t>然后进行反向尺度恢复：</w:t>
      </w:r>
    </w:p>
    <w:p w14:paraId="615FB2CD">
      <w:pPr>
        <w:bidi w:val="0"/>
      </w:pPr>
      <m:oMathPara>
        <m:oMath>
          <m:sSubSup>
            <m:sSubSupPr>
              <m:ctrlPr>
                <w:rPr>
                  <w:rFonts w:hint="default" w:ascii="Cambria Math" w:hAnsi="Cambria Math"/>
                  <w:sz w:val="21"/>
                </w:rPr>
              </m:ctrlPr>
            </m:sSubSup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final</m:t>
              </m:r>
              <m:ctrlPr>
                <w:rPr>
                  <w:rFonts w:ascii="Cambria Math" w:hAnsi="Cambria Math"/>
                  <w:sz w:val="21"/>
                </w:rPr>
              </m:ctrlPr>
            </m:sup>
          </m:sSubSup>
          <m:r>
            <m:rPr/>
            <w:rPr>
              <w:rFonts w:hint="default" w:ascii="Cambria Math" w:hAnsi="Cambria Math"/>
              <w:sz w:val="21"/>
            </w:rPr>
            <m:t>=</m:t>
          </m:r>
          <m:f>
            <m:fPr>
              <m:ctrlPr>
                <w:rPr>
                  <w:rFonts w:hint="default" w:ascii="Cambria Math" w:hAnsi="Cambria Math"/>
                  <w:i/>
                  <w:sz w:val="21"/>
                </w:rPr>
              </m:ctrlPr>
            </m:fPr>
            <m:num>
              <m:r>
                <m:rPr/>
                <w:rPr>
                  <w:rFonts w:hint="default" w:ascii="Cambria Math" w:hAnsi="Cambria Math"/>
                  <w:sz w:val="21"/>
                </w:rPr>
                <m:t>1</m:t>
              </m:r>
              <m:ctrlPr>
                <w:rPr>
                  <w:rFonts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den>
          </m:f>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p</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up>
              <m:r>
                <m:rPr/>
                <w:rPr>
                  <w:rFonts w:hint="default" w:ascii="Cambria Math" w:hAnsi="Cambria Math"/>
                  <w:sz w:val="21"/>
                </w:rPr>
                <m:t>infer</m:t>
              </m:r>
              <m:ctrlPr>
                <w:rPr>
                  <w:rFonts w:hint="default" w:ascii="Cambria Math" w:hAnsi="Cambria Math"/>
                  <w:sz w:val="21"/>
                </w:rPr>
              </m:ctrlPr>
            </m:sup>
          </m:sSubSup>
        </m:oMath>
      </m:oMathPara>
    </w:p>
    <w:p w14:paraId="30FCD6EC">
      <w:pPr>
        <w:bidi w:val="0"/>
      </w:pPr>
      <w:r>
        <w:t>其中：</w:t>
      </w:r>
    </w:p>
    <w:p w14:paraId="64C25130">
      <w:pPr>
        <w:bidi w:val="0"/>
      </w:pPr>
      <m:oMath>
        <m:r>
          <m:rPr/>
          <w:rPr>
            <w:rFonts w:hint="default" w:ascii="Cambria Math" w:hAnsi="Cambria Math"/>
            <w:sz w:val="21"/>
          </w:rPr>
          <m:t>⊙</m:t>
        </m:r>
      </m:oMath>
      <w:r>
        <w:t xml:space="preserve">表示逐元素乘积； </w:t>
      </w:r>
    </w:p>
    <w:p w14:paraId="21BC4704">
      <w:pPr>
        <w:bidi w:val="0"/>
        <w:rPr>
          <w:rFonts w:hint="eastAsia" w:ascii="仿宋" w:hAnsi="仿宋" w:eastAsia="仿宋" w:cs="等线"/>
          <w:sz w:val="28"/>
          <w:szCs w:val="28"/>
        </w:rPr>
      </w:pPr>
      <m:oMath>
        <m:sSubSup>
          <m:sSubSupPr>
            <m:ctrlPr>
              <w:rPr>
                <w:rFonts w:hint="default" w:ascii="Cambria Math" w:hAnsi="Cambria Math"/>
                <w:sz w:val="21"/>
              </w:rPr>
            </m:ctrlPr>
          </m:sSubSup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final</m:t>
            </m:r>
            <m:ctrlPr>
              <w:rPr>
                <w:rFonts w:ascii="Cambria Math" w:hAnsi="Cambria Math"/>
                <w:sz w:val="21"/>
              </w:rPr>
            </m:ctrlPr>
          </m:sup>
        </m:sSubSup>
      </m:oMath>
      <w:r>
        <w:t xml:space="preserve">为最终用于任务推理的参数。 </w:t>
      </w:r>
    </w:p>
    <w:p w14:paraId="7983F539">
      <w:pPr>
        <w:spacing w:line="360" w:lineRule="auto"/>
        <w:ind w:firstLine="480"/>
        <w:jc w:val="left"/>
        <w:rPr>
          <w:rFonts w:hint="eastAsia" w:ascii="仿宋" w:hAnsi="仿宋" w:eastAsia="仿宋" w:cs="等线"/>
          <w:sz w:val="28"/>
          <w:szCs w:val="28"/>
        </w:rPr>
      </w:pPr>
      <w:r>
        <w:rPr>
          <w:rFonts w:hint="eastAsia" w:ascii="仿宋" w:hAnsi="仿宋" w:eastAsia="仿宋" w:cs="等线"/>
          <w:sz w:val="28"/>
          <w:szCs w:val="28"/>
        </w:rPr>
        <w:t>与现有技术相比，本发明的有益效果在于：</w:t>
      </w:r>
    </w:p>
    <w:p w14:paraId="0C0FD3E5">
      <w:pPr>
        <w:bidi w:val="0"/>
        <w:ind w:left="0" w:leftChars="0" w:firstLine="0" w:firstLineChars="0"/>
      </w:pPr>
      <w:r>
        <w:t>有效缓解特征强弱不平衡问题</w:t>
      </w:r>
      <w:r>
        <w:rPr>
          <w:rFonts w:hint="eastAsia"/>
          <w:lang w:eastAsia="zh-CN"/>
        </w:rPr>
        <w:t>：</w:t>
      </w:r>
      <w:r>
        <w:t>通过引入特征尺度对齐机制，将不同任务参数映射到统一数值空间，避免强特征主导融合过程，从根本上解决了现有方法中弱特征被掩盖的问题。</w:t>
      </w:r>
    </w:p>
    <w:p w14:paraId="6B7E958D">
      <w:pPr>
        <w:bidi w:val="0"/>
        <w:ind w:left="0" w:leftChars="0" w:firstLine="0" w:firstLineChars="0"/>
      </w:pPr>
      <w:r>
        <w:t>显著提升弱特征任务性能</w:t>
      </w:r>
      <w:r>
        <w:rPr>
          <w:rFonts w:hint="eastAsia"/>
          <w:lang w:eastAsia="zh-CN"/>
        </w:rPr>
        <w:t>：</w:t>
      </w:r>
      <w:r>
        <w:t xml:space="preserve">在掩码构建前进行尺度归一化，使得弱特征在融合参数中得到保留，从而提升相关任务的推理精度，尤其是在参数变化幅度较小的任务中效果显著。 </w:t>
      </w:r>
    </w:p>
    <w:p w14:paraId="1B68DD29">
      <w:pPr>
        <w:bidi w:val="0"/>
        <w:ind w:left="0" w:leftChars="0" w:firstLine="0" w:firstLineChars="0"/>
      </w:pPr>
      <w:r>
        <w:t>增强掩码选择的准确性</w:t>
      </w:r>
      <w:r>
        <w:rPr>
          <w:rFonts w:hint="eastAsia"/>
          <w:lang w:eastAsia="zh-CN"/>
        </w:rPr>
        <w:t>：</w:t>
      </w:r>
      <w:r>
        <w:t xml:space="preserve">由于融合前参数分布更加均衡，掩码构建过程能够更加准确地识别任务相关参数维度，减少误删关键参数的情况。 </w:t>
      </w:r>
    </w:p>
    <w:p w14:paraId="0AD10C37">
      <w:pPr>
        <w:bidi w:val="0"/>
        <w:ind w:left="0" w:leftChars="0" w:firstLine="0" w:firstLineChars="0"/>
      </w:pPr>
      <w:r>
        <w:t>保持高效参数压缩能力</w:t>
      </w:r>
      <w:r>
        <w:rPr>
          <w:rFonts w:hint="eastAsia"/>
          <w:lang w:eastAsia="zh-CN"/>
        </w:rPr>
        <w:t>：</w:t>
      </w:r>
      <w:r>
        <w:t>本发明在</w:t>
      </w:r>
      <w:r>
        <w:rPr>
          <w:rFonts w:hint="eastAsia"/>
          <w:lang w:val="en-US" w:eastAsia="zh-CN"/>
        </w:rPr>
        <w:t>不显著增加额外</w:t>
      </w:r>
      <w:r>
        <w:t xml:space="preserve">模型参数规模的前提下，实现多任务模型融合，仍具备良好的参数压缩效果，适用于资源受限场景。 </w:t>
      </w:r>
    </w:p>
    <w:p w14:paraId="0A4DBB20">
      <w:pPr>
        <w:bidi w:val="0"/>
        <w:ind w:left="0" w:leftChars="0" w:firstLine="0" w:firstLineChars="0"/>
        <w:rPr>
          <w:rFonts w:hint="eastAsia" w:ascii="仿宋" w:hAnsi="仿宋" w:eastAsia="仿宋" w:cs="等线"/>
          <w:sz w:val="28"/>
          <w:szCs w:val="28"/>
        </w:rPr>
      </w:pPr>
      <w:r>
        <w:t>提升整体融合稳定性</w:t>
      </w:r>
      <w:r>
        <w:rPr>
          <w:rFonts w:hint="eastAsia"/>
          <w:lang w:eastAsia="zh-CN"/>
        </w:rPr>
        <w:t>：</w:t>
      </w:r>
      <w:r>
        <w:t>实验结果表明，本发明方法在多任务</w:t>
      </w:r>
      <w:r>
        <w:rPr>
          <w:rFonts w:hint="eastAsia"/>
          <w:lang w:val="en-US" w:eastAsia="zh-CN"/>
        </w:rPr>
        <w:t>模型融合场景下，融合后的模型能够保持左右任务原始模型近乎100%的性能</w:t>
      </w:r>
      <w:r>
        <w:t>。</w:t>
      </w:r>
    </w:p>
    <w:p w14:paraId="65E963A7">
      <w:pPr>
        <w:spacing w:line="360" w:lineRule="auto"/>
        <w:ind w:firstLine="562" w:firstLineChars="200"/>
        <w:jc w:val="left"/>
        <w:rPr>
          <w:rFonts w:hint="eastAsia" w:ascii="仿宋" w:hAnsi="仿宋" w:eastAsia="仿宋" w:cs="等线"/>
          <w:b/>
          <w:bCs/>
          <w:sz w:val="28"/>
          <w:szCs w:val="28"/>
          <w:u w:val="single"/>
        </w:rPr>
      </w:pPr>
      <w:r>
        <w:rPr>
          <w:rFonts w:hint="eastAsia" w:ascii="仿宋" w:hAnsi="仿宋" w:eastAsia="仿宋" w:cs="等线"/>
          <w:b/>
          <w:bCs/>
          <w:sz w:val="28"/>
          <w:szCs w:val="28"/>
          <w:u w:val="single"/>
        </w:rPr>
        <w:t>附图说明</w:t>
      </w:r>
    </w:p>
    <w:p w14:paraId="1257DB85">
      <w:pPr>
        <w:spacing w:line="360" w:lineRule="auto"/>
        <w:ind w:firstLine="480"/>
        <w:jc w:val="left"/>
        <w:rPr>
          <w:rFonts w:hint="eastAsia" w:ascii="仿宋" w:hAnsi="仿宋" w:eastAsia="仿宋" w:cs="等线"/>
          <w:b/>
          <w:bCs/>
          <w:sz w:val="28"/>
          <w:szCs w:val="28"/>
        </w:rPr>
      </w:pPr>
      <w:r>
        <w:rPr>
          <w:rFonts w:hint="eastAsia" w:ascii="仿宋" w:hAnsi="仿宋" w:eastAsia="仿宋" w:cs="等线"/>
          <w:sz w:val="28"/>
          <w:szCs w:val="28"/>
        </w:rPr>
        <w:t>图1为</w:t>
      </w:r>
      <w:r>
        <w:rPr>
          <w:rFonts w:ascii="宋体" w:hAnsi="宋体" w:eastAsia="宋体" w:cs="宋体"/>
          <w:sz w:val="24"/>
          <w:szCs w:val="24"/>
        </w:rPr>
        <w:t>本发明方法的实施流程图；</w:t>
      </w:r>
    </w:p>
    <w:p w14:paraId="76F2D300">
      <w:pPr>
        <w:spacing w:line="360" w:lineRule="auto"/>
        <w:ind w:firstLine="560"/>
        <w:jc w:val="left"/>
        <w:rPr>
          <w:rFonts w:hint="eastAsia" w:ascii="仿宋" w:hAnsi="仿宋" w:eastAsia="仿宋" w:cs="等线"/>
          <w:sz w:val="28"/>
          <w:szCs w:val="28"/>
        </w:rPr>
      </w:pPr>
      <w:r>
        <w:rPr>
          <w:rFonts w:hint="eastAsia" w:ascii="黑体" w:hAnsi="黑体" w:eastAsia="黑体" w:cs="黑体"/>
          <w:sz w:val="28"/>
          <w:szCs w:val="28"/>
        </w:rPr>
        <w:t>四、具体实施方式</w:t>
      </w:r>
    </w:p>
    <w:p w14:paraId="44EBE6FF">
      <w:pPr>
        <w:bidi w:val="0"/>
      </w:pPr>
      <w:r>
        <w:t>下面结合附图和具体实施例对本发明提供的技术方案作进一步详细说明。本实施例以多任务程序理解与程序生成场景为例，对本发明方法的具体应用过程进行说明，但本发明不限于该实施例。</w:t>
      </w:r>
    </w:p>
    <w:p w14:paraId="4B697FDC">
      <w:pPr>
        <w:bidi w:val="0"/>
      </w:pPr>
      <w:r>
        <w:t>实施例一：多编程语言</w:t>
      </w:r>
      <w:r>
        <w:rPr>
          <w:rFonts w:hint="eastAsia"/>
          <w:lang w:val="en-US" w:eastAsia="zh-CN"/>
        </w:rPr>
        <w:t>多</w:t>
      </w:r>
      <w:r>
        <w:t>任务的模型融合</w:t>
      </w:r>
    </w:p>
    <w:p w14:paraId="3997FABD">
      <w:pPr>
        <w:bidi w:val="0"/>
        <w:rPr>
          <w:rFonts w:hint="eastAsia" w:eastAsia="宋体"/>
          <w:lang w:val="en-US" w:eastAsia="zh-CN"/>
        </w:rPr>
      </w:pPr>
      <w:r>
        <w:rPr>
          <w:rFonts w:hint="eastAsia"/>
        </w:rPr>
        <w:t>图1为本发明方法的实施流程图</w:t>
      </w:r>
      <w:r>
        <w:rPr>
          <w:rFonts w:hint="eastAsia"/>
          <w:lang w:eastAsia="zh-CN"/>
        </w:rPr>
        <w:t>。</w:t>
      </w:r>
    </w:p>
    <w:p w14:paraId="443FCD04">
      <w:pPr>
        <w:bidi w:val="0"/>
      </w:pPr>
      <w:r>
        <w:t>在本实施例中，执行主体为模型训练与融合系统，该系统基于统一预训练模型，针对不同编程语言及不同任务类型进行微调，并利用本发明方法进行模型融合与推理。</w:t>
      </w:r>
    </w:p>
    <w:p w14:paraId="54E3D91D">
      <w:pPr>
        <w:bidi w:val="0"/>
      </w:pPr>
      <w:r>
        <w:t>步骤一：模型训练模块获取多任务微调模型</w:t>
      </w:r>
    </w:p>
    <w:p w14:paraId="235CD22F">
      <w:pPr>
        <w:bidi w:val="0"/>
      </w:pPr>
      <w:r>
        <w:t>模型训练模块分别对以下六类任务进行微调训练：</w:t>
      </w:r>
    </w:p>
    <w:p w14:paraId="54D6FA94">
      <w:pPr>
        <w:bidi w:val="0"/>
      </w:pPr>
      <w:r>
        <w:t xml:space="preserve">Java语言程序理解任务： </w:t>
      </w:r>
    </w:p>
    <w:p w14:paraId="37B14B43">
      <w:pPr>
        <w:bidi w:val="0"/>
      </w:pPr>
      <w:r>
        <w:t xml:space="preserve">代码搜索任务 </w:t>
      </w:r>
    </w:p>
    <w:p w14:paraId="18C8ED49">
      <w:pPr>
        <w:bidi w:val="0"/>
      </w:pPr>
      <w:r>
        <w:t xml:space="preserve">代码克隆检测任务 </w:t>
      </w:r>
    </w:p>
    <w:p w14:paraId="634A1CAB">
      <w:pPr>
        <w:bidi w:val="0"/>
      </w:pPr>
      <w:r>
        <w:t xml:space="preserve">漏洞检测任务 </w:t>
      </w:r>
    </w:p>
    <w:p w14:paraId="4E4F1C4C">
      <w:pPr>
        <w:bidi w:val="0"/>
      </w:pPr>
      <w:r>
        <w:t xml:space="preserve">Python语言程序生成任务： </w:t>
      </w:r>
    </w:p>
    <w:p w14:paraId="5C95C2FA">
      <w:pPr>
        <w:bidi w:val="0"/>
      </w:pPr>
      <w:r>
        <w:t xml:space="preserve">代码生成任务 </w:t>
      </w:r>
    </w:p>
    <w:p w14:paraId="326D95DF">
      <w:pPr>
        <w:bidi w:val="0"/>
      </w:pPr>
      <w:r>
        <w:t xml:space="preserve">代码修复任务 </w:t>
      </w:r>
    </w:p>
    <w:p w14:paraId="10A3C061">
      <w:pPr>
        <w:bidi w:val="0"/>
      </w:pPr>
      <w:r>
        <w:t xml:space="preserve">代码摘要任务 </w:t>
      </w:r>
    </w:p>
    <w:p w14:paraId="1833B523">
      <w:pPr>
        <w:bidi w:val="0"/>
      </w:pPr>
      <w:r>
        <w:t>具体地，模型训练模块执行如下操作：</w:t>
      </w:r>
      <w:r>
        <w:br w:type="textWrapping"/>
      </w:r>
      <w:r>
        <w:t xml:space="preserve">基于统一预训练模型，分别加载上述六类任务的数据集，对模型进行独立微调训练，得到六个任务特定模型参数 </w:t>
      </w:r>
      <m:oMath>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t>，其中</w:t>
      </w:r>
      <m:oMath>
        <m:r>
          <m:rPr/>
          <w:rPr>
            <w:rFonts w:hint="default" w:ascii="Cambria Math" w:hAnsi="Cambria Math"/>
            <w:sz w:val="21"/>
          </w:rPr>
          <m:t>i=1,2,...,6</m:t>
        </m:r>
      </m:oMath>
      <w:r>
        <w:t>。</w:t>
      </w:r>
    </w:p>
    <w:p w14:paraId="75B27359">
      <w:pPr>
        <w:bidi w:val="0"/>
      </w:pPr>
      <w:r>
        <w:t>步骤二：尺度计算模块计算各任务特征强度</w:t>
      </w:r>
    </w:p>
    <w:p w14:paraId="7BA5A8CF">
      <w:pPr>
        <w:bidi w:val="0"/>
      </w:pPr>
      <w:r>
        <w:t>尺度计算模块对每个任务模型参数进行统计分析，计算其特征强度。</w:t>
      </w:r>
    </w:p>
    <w:p w14:paraId="67F2ACAB">
      <w:pPr>
        <w:bidi w:val="0"/>
      </w:pPr>
      <w:r>
        <w:t>具体地，尺度计算模块执行如下操作：</w:t>
      </w:r>
      <w:r>
        <w:br w:type="textWrapping"/>
      </w:r>
      <w:r>
        <w:t>对每个任务参数</w:t>
      </w:r>
      <m:oMath>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t xml:space="preserve">，计算其绝对值均值作为特征强度 </w:t>
      </w:r>
      <m:oMath>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t>，并选取最大值对应任务作为基准任务。</w:t>
      </w:r>
    </w:p>
    <w:p w14:paraId="752DB478">
      <w:pPr>
        <w:bidi w:val="0"/>
      </w:pPr>
      <w:r>
        <w:t>在本实施例中，程序理解类任务与程序生成类任务之间的参数幅度存在明显差异，其中漏洞检测任务的参数变化幅度明显较小，属于弱特征任务。</w:t>
      </w:r>
    </w:p>
    <w:p w14:paraId="1BD5389C">
      <w:pPr>
        <w:bidi w:val="0"/>
      </w:pPr>
      <w:r>
        <w:t>步骤三：尺度对齐模块执行参数放缩</w:t>
      </w:r>
    </w:p>
    <w:p w14:paraId="11AC85D6">
      <w:pPr>
        <w:bidi w:val="0"/>
      </w:pPr>
      <w:r>
        <w:t>尺度对齐模块对各任务参数进行放缩处理，使其统一到同一尺度。</w:t>
      </w:r>
    </w:p>
    <w:p w14:paraId="2D30E3B8">
      <w:pPr>
        <w:bidi w:val="0"/>
      </w:pPr>
      <w:r>
        <w:t>具体地，尺度对齐模块执行如下操作：</w:t>
      </w:r>
      <w:r>
        <w:br w:type="textWrapping"/>
      </w:r>
      <w:r>
        <w:t>根据各任务特征强度计算缩放因子</w:t>
      </w:r>
      <m:oMath>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t>，并对参数进行放缩，得到尺度对齐后的参数</w:t>
      </w:r>
      <m:oMath>
        <m:sSub>
          <m:sSubPr>
            <m:ctrlPr>
              <w:rPr>
                <w:rFonts w:hint="default" w:ascii="Cambria Math" w:hAnsi="Cambria Math"/>
              </w:rPr>
            </m:ctrlPr>
          </m:sSubPr>
          <m:e>
            <m:acc>
              <m:accPr>
                <m:chr m:val="̃"/>
                <m:ctrlPr>
                  <w:rPr>
                    <w:rFonts w:hint="default" w:ascii="Cambria Math" w:hAnsi="Cambria Math"/>
                  </w:rPr>
                </m:ctrlPr>
              </m:accPr>
              <m:e>
                <m:r>
                  <m:rPr/>
                  <w:rPr>
                    <w:rFonts w:hint="default" w:ascii="Cambria Math" w:hAnsi="Cambria Math"/>
                  </w:rPr>
                  <m:t>p</m:t>
                </m:r>
                <m:ctrlPr>
                  <w:rPr>
                    <w:rFonts w:ascii="Cambria Math" w:hAnsi="Cambria Math"/>
                  </w:rPr>
                </m:ctrlPr>
              </m:e>
            </m:acc>
            <m:ctrlPr>
              <w:rPr>
                <w:rFonts w:hint="default" w:ascii="Cambria Math" w:hAnsi="Cambria Math"/>
              </w:rPr>
            </m:ctrlPr>
          </m:e>
          <m:sub>
            <m:r>
              <m:rPr/>
              <w:rPr>
                <w:rFonts w:hint="default" w:ascii="Cambria Math" w:hAnsi="Cambria Math"/>
              </w:rPr>
              <m:t>i</m:t>
            </m:r>
            <m:ctrlPr>
              <w:rPr>
                <w:rFonts w:hint="default" w:ascii="Cambria Math" w:hAnsi="Cambria Math"/>
              </w:rPr>
            </m:ctrlPr>
          </m:sub>
        </m:sSub>
      </m:oMath>
      <w:r>
        <w:t>。</w:t>
      </w:r>
    </w:p>
    <w:p w14:paraId="66170B29">
      <w:pPr>
        <w:bidi w:val="0"/>
      </w:pPr>
      <w:r>
        <w:t>通过该步骤，使得原本幅度较小的漏洞检测任务参数在数值上得到增强，从而在后续融合过程中能够与其他任务具有同等影响力。</w:t>
      </w:r>
    </w:p>
    <w:p w14:paraId="4576B5B3">
      <w:pPr>
        <w:bidi w:val="0"/>
      </w:pPr>
      <w:r>
        <w:t>步骤四：融合模块生成融合参数</w:t>
      </w:r>
    </w:p>
    <w:p w14:paraId="4626D4AF">
      <w:pPr>
        <w:bidi w:val="0"/>
      </w:pPr>
      <w:r>
        <w:t>融合模块对尺度对齐后的参数执行最大值融合操作，生成融合参数。</w:t>
      </w:r>
    </w:p>
    <w:p w14:paraId="42F17152">
      <w:pPr>
        <w:bidi w:val="0"/>
      </w:pPr>
      <w:r>
        <w:t>具体地，融合模块执行如下操作：</w:t>
      </w:r>
      <w:r>
        <w:br w:type="textWrapping"/>
      </w:r>
      <w:r>
        <w:t>对每一参数维度，选取绝对值最大的参数作为该维度融合结果，得到融合参数</w:t>
      </w:r>
      <m:oMath>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fusion</m:t>
            </m:r>
            <m:ctrlPr>
              <w:rPr>
                <w:rFonts w:ascii="Cambria Math" w:hAnsi="Cambria Math"/>
                <w:sz w:val="21"/>
              </w:rPr>
            </m:ctrlPr>
          </m:sub>
        </m:sSub>
      </m:oMath>
      <w:r>
        <w:t>。</w:t>
      </w:r>
    </w:p>
    <w:p w14:paraId="0147B5D8">
      <w:pPr>
        <w:bidi w:val="0"/>
      </w:pPr>
      <w:r>
        <w:t>步骤五：掩码构建模块生成任务掩码</w:t>
      </w:r>
    </w:p>
    <w:p w14:paraId="7CB1532B">
      <w:pPr>
        <w:bidi w:val="0"/>
      </w:pPr>
      <w:r>
        <w:t>掩码构建模块为每个任务构建1-bit参数保留掩码。</w:t>
      </w:r>
    </w:p>
    <w:p w14:paraId="78D16BBE">
      <w:pPr>
        <w:bidi w:val="0"/>
      </w:pPr>
      <w:r>
        <w:t>具体地，掩码构建模块执行如下操作：</w:t>
      </w:r>
      <w:r>
        <w:br w:type="textWrapping"/>
      </w:r>
      <w:r>
        <w:t>基于尺度对齐后的参数</w:t>
      </w:r>
      <m:oMath>
        <m:sSub>
          <m:sSubPr>
            <m:ctrlPr>
              <w:rPr>
                <w:rFonts w:hint="default" w:ascii="Cambria Math" w:hAnsi="Cambria Math"/>
                <w:sz w:val="21"/>
              </w:rPr>
            </m:ctrlPr>
          </m:sSubPr>
          <m:e>
            <m:acc>
              <m:accPr>
                <m:chr m:val="̃"/>
                <m:ctrlPr>
                  <w:rPr>
                    <w:rFonts w:hint="default" w:ascii="Cambria Math" w:hAnsi="Cambria Math"/>
                    <w:sz w:val="21"/>
                  </w:rPr>
                </m:ctrlPr>
              </m:accPr>
              <m:e>
                <m:r>
                  <m:rPr/>
                  <w:rPr>
                    <w:rFonts w:hint="default" w:ascii="Cambria Math" w:hAnsi="Cambria Math"/>
                    <w:sz w:val="21"/>
                  </w:rPr>
                  <m:t>p</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oMath>
      <w:r>
        <w:t>与融合参数</w:t>
      </w:r>
      <m:oMath>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fusion</m:t>
            </m:r>
            <m:ctrlPr>
              <w:rPr>
                <w:rFonts w:ascii="Cambria Math" w:hAnsi="Cambria Math"/>
                <w:sz w:val="21"/>
              </w:rPr>
            </m:ctrlPr>
          </m:sub>
        </m:sSub>
      </m:oMath>
      <w:r>
        <w:t>，计算掩码</w:t>
      </w:r>
      <m:oMath>
        <m:sSub>
          <m:sSubPr>
            <m:ctrlPr>
              <w:rPr>
                <w:rFonts w:hint="default" w:ascii="Cambria Math" w:hAnsi="Cambria Math"/>
                <w:sz w:val="21"/>
              </w:rPr>
            </m:ctrlPr>
          </m:sSub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t>​，用于标识与任务相关的重要参数。</w:t>
      </w:r>
    </w:p>
    <w:p w14:paraId="778EF310">
      <w:pPr>
        <w:bidi w:val="0"/>
      </w:pPr>
      <w:r>
        <w:t>步骤六：推理模块提取任务相关参数并恢复尺度</w:t>
      </w:r>
    </w:p>
    <w:p w14:paraId="5924F245">
      <w:pPr>
        <w:bidi w:val="0"/>
      </w:pPr>
      <w:r>
        <w:t>推理模块在推理阶段执行如下操作：</w:t>
      </w:r>
      <w:r>
        <w:br w:type="textWrapping"/>
      </w:r>
      <w:r>
        <w:t>首先利用任务掩码从融合参数中提取任务相关参数；</w:t>
      </w:r>
      <w:r>
        <w:br w:type="textWrapping"/>
      </w:r>
      <w:r>
        <w:t>然后通过反向放缩操作，将参数恢复至原始尺度，得到任务专用参数。</w:t>
      </w:r>
    </w:p>
    <w:p w14:paraId="09AC79BB">
      <w:pPr>
        <w:bidi w:val="0"/>
      </w:pPr>
      <w:r>
        <w:t>步骤七：推理模块执行多任务推理</w:t>
      </w:r>
    </w:p>
    <w:p w14:paraId="31FA4A78">
      <w:pPr>
        <w:bidi w:val="0"/>
      </w:pPr>
      <w:r>
        <w:t>推理模块将恢复后的参数加载至模型中，对不同任务分别执行推理，输出对应结果。</w:t>
      </w:r>
    </w:p>
    <w:p w14:paraId="55921C1C">
      <w:pPr>
        <w:bidi w:val="0"/>
      </w:pPr>
      <w:r>
        <w:t>实施效果</w:t>
      </w:r>
    </w:p>
    <w:p w14:paraId="0BCEC5C7">
      <w:pPr>
        <w:bidi w:val="0"/>
      </w:pPr>
      <w:r>
        <w:t>在上述实施例中，对融合模型在六个任务上的性能进行评估，实验条件如下：</w:t>
      </w:r>
    </w:p>
    <w:p w14:paraId="7E25EDF7">
      <w:pPr>
        <w:bidi w:val="0"/>
      </w:pPr>
      <w:r>
        <w:t xml:space="preserve">使用相同预训练模型作为基础模型； </w:t>
      </w:r>
    </w:p>
    <w:p w14:paraId="40B1E149">
      <w:pPr>
        <w:bidi w:val="0"/>
      </w:pPr>
      <w:r>
        <w:t xml:space="preserve">各任务均采用标准数据集进行训练与测试； </w:t>
      </w:r>
    </w:p>
    <w:p w14:paraId="075768ED">
      <w:pPr>
        <w:bidi w:val="0"/>
      </w:pPr>
      <w:r>
        <w:t xml:space="preserve">对比方法为未采用参数放缩策略的模型融合方法。 </w:t>
      </w:r>
    </w:p>
    <w:p w14:paraId="468A93F1">
      <w:pPr>
        <w:bidi w:val="0"/>
      </w:pPr>
      <w:r>
        <w:t>实验结果表明：</w:t>
      </w:r>
    </w:p>
    <w:p w14:paraId="13CAAFBF">
      <w:pPr>
        <w:bidi w:val="0"/>
      </w:pPr>
      <w:r>
        <w:t>整体性能保持性</w:t>
      </w:r>
      <w:r>
        <w:br w:type="textWrapping"/>
      </w:r>
      <w:r>
        <w:t xml:space="preserve">本发明方法在所有六个任务上均保持了与各自独立微调模型100%一致的性能水平，未出现性能下降现象。 </w:t>
      </w:r>
    </w:p>
    <w:p w14:paraId="14A75E39">
      <w:pPr>
        <w:bidi w:val="0"/>
      </w:pPr>
      <w:r>
        <w:t>弱特征任务显著提升</w:t>
      </w:r>
      <w:r>
        <w:br w:type="textWrapping"/>
      </w:r>
      <w:r>
        <w:t>在漏洞检测任务中，相较于未采用尺度放缩策略的方法，本发明实现了63.49%的相对性能提升，显著改善了弱特征任务在融合过程中的性能退化问题。</w:t>
      </w:r>
    </w:p>
    <w:p w14:paraId="2C44E3EF">
      <w:pPr>
        <w:spacing w:line="360" w:lineRule="auto"/>
        <w:ind w:firstLine="560" w:firstLineChars="200"/>
        <w:rPr>
          <w:rFonts w:hint="eastAsia" w:ascii="宋体" w:hAnsi="宋体" w:eastAsia="楷体" w:cs="宋体"/>
          <w:b/>
          <w:bCs/>
          <w:sz w:val="24"/>
        </w:rPr>
      </w:pPr>
      <w:r>
        <w:rPr>
          <w:rFonts w:hint="eastAsia" w:ascii="黑体" w:hAnsi="黑体" w:eastAsia="黑体" w:cs="黑体"/>
          <w:sz w:val="28"/>
          <w:szCs w:val="28"/>
        </w:rPr>
        <w:t>五、有益效果</w:t>
      </w:r>
    </w:p>
    <w:p w14:paraId="6A6EBF28">
      <w:pPr>
        <w:bidi w:val="0"/>
        <w:ind w:left="0" w:leftChars="0" w:firstLine="0" w:firstLineChars="0"/>
      </w:pPr>
      <w:r>
        <w:t>有效缓解特征强弱不平衡问题</w:t>
      </w:r>
      <w:r>
        <w:rPr>
          <w:rFonts w:hint="eastAsia"/>
          <w:lang w:eastAsia="zh-CN"/>
        </w:rPr>
        <w:t>：</w:t>
      </w:r>
      <w:r>
        <w:t>通过引入特征尺度对齐机制，将不同任务参数映射到统一数值空间，避免强特征主导融合过程，从根本上解决了现有方法中弱特征被掩盖的问题。</w:t>
      </w:r>
    </w:p>
    <w:p w14:paraId="1765D7C4">
      <w:pPr>
        <w:bidi w:val="0"/>
        <w:ind w:left="0" w:leftChars="0" w:firstLine="0" w:firstLineChars="0"/>
      </w:pPr>
      <w:r>
        <w:t>显著提升弱特征任务性能</w:t>
      </w:r>
      <w:r>
        <w:rPr>
          <w:rFonts w:hint="eastAsia"/>
          <w:lang w:eastAsia="zh-CN"/>
        </w:rPr>
        <w:t>：</w:t>
      </w:r>
      <w:r>
        <w:t xml:space="preserve">在掩码构建前进行尺度归一化，使得弱特征在融合参数中得到保留，从而提升相关任务的推理精度，尤其是在参数变化幅度较小的任务中效果显著。 </w:t>
      </w:r>
    </w:p>
    <w:p w14:paraId="332096CD">
      <w:pPr>
        <w:bidi w:val="0"/>
        <w:ind w:left="0" w:leftChars="0" w:firstLine="0" w:firstLineChars="0"/>
      </w:pPr>
      <w:r>
        <w:t>增强掩码选择的准确性</w:t>
      </w:r>
      <w:r>
        <w:rPr>
          <w:rFonts w:hint="eastAsia"/>
          <w:lang w:eastAsia="zh-CN"/>
        </w:rPr>
        <w:t>：</w:t>
      </w:r>
      <w:r>
        <w:t xml:space="preserve">由于融合前参数分布更加均衡，掩码构建过程能够更加准确地识别任务相关参数维度，减少误删关键参数的情况。 </w:t>
      </w:r>
    </w:p>
    <w:p w14:paraId="36190B31">
      <w:pPr>
        <w:bidi w:val="0"/>
        <w:ind w:left="0" w:leftChars="0" w:firstLine="0" w:firstLineChars="0"/>
      </w:pPr>
      <w:r>
        <w:t>保持高效参数压缩能力</w:t>
      </w:r>
      <w:r>
        <w:rPr>
          <w:rFonts w:hint="eastAsia"/>
          <w:lang w:eastAsia="zh-CN"/>
        </w:rPr>
        <w:t>：</w:t>
      </w:r>
      <w:r>
        <w:t>本发明在</w:t>
      </w:r>
      <w:r>
        <w:rPr>
          <w:rFonts w:hint="eastAsia"/>
          <w:lang w:val="en-US" w:eastAsia="zh-CN"/>
        </w:rPr>
        <w:t>不显著增加额外</w:t>
      </w:r>
      <w:r>
        <w:t xml:space="preserve">模型参数规模的前提下，实现多任务模型融合，仍具备良好的参数压缩效果，适用于资源受限场景。 </w:t>
      </w:r>
    </w:p>
    <w:p w14:paraId="4E575C8B">
      <w:pPr>
        <w:bidi w:val="0"/>
        <w:ind w:left="0" w:leftChars="0" w:firstLine="0" w:firstLineChars="0"/>
        <w:rPr>
          <w:rFonts w:hint="eastAsia" w:ascii="仿宋" w:hAnsi="仿宋" w:eastAsia="仿宋" w:cs="等线"/>
          <w:sz w:val="28"/>
          <w:szCs w:val="28"/>
        </w:rPr>
      </w:pPr>
      <w:r>
        <w:t>提升整体融合稳定性</w:t>
      </w:r>
      <w:r>
        <w:rPr>
          <w:rFonts w:hint="eastAsia"/>
          <w:lang w:eastAsia="zh-CN"/>
        </w:rPr>
        <w:t>：</w:t>
      </w:r>
      <w:r>
        <w:t>实验结果表明，本发明方法在多任务</w:t>
      </w:r>
      <w:r>
        <w:rPr>
          <w:rFonts w:hint="eastAsia"/>
          <w:lang w:val="en-US" w:eastAsia="zh-CN"/>
        </w:rPr>
        <w:t>模型融合场景下，融合后的模型能够保持左右任务原始模型近乎100%的性能</w:t>
      </w:r>
      <w:r>
        <w:t>。</w:t>
      </w:r>
    </w:p>
    <w:p w14:paraId="09E2CE9C">
      <w:pPr>
        <w:spacing w:line="360" w:lineRule="auto"/>
        <w:ind w:firstLine="560" w:firstLineChars="200"/>
        <w:rPr>
          <w:rFonts w:hint="eastAsia" w:ascii="Arial" w:hAnsi="Arial" w:cs="Arial"/>
          <w:color w:val="FF0000"/>
          <w:sz w:val="28"/>
          <w:szCs w:val="28"/>
          <w:highlight w:val="yellow"/>
        </w:rPr>
      </w:pPr>
    </w:p>
    <w:p w14:paraId="7855985F">
      <w:pPr>
        <w:spacing w:line="360" w:lineRule="auto"/>
        <w:ind w:firstLine="560"/>
        <w:jc w:val="left"/>
        <w:rPr>
          <w:rFonts w:hint="eastAsia" w:ascii="仿宋" w:hAnsi="仿宋" w:eastAsia="仿宋" w:cs="等线"/>
          <w:sz w:val="28"/>
          <w:szCs w:val="28"/>
        </w:rPr>
      </w:pPr>
      <w:r>
        <w:rPr>
          <w:rFonts w:hint="eastAsia" w:ascii="仿宋" w:hAnsi="仿宋" w:eastAsia="仿宋" w:cs="等线"/>
          <w:sz w:val="28"/>
          <w:szCs w:val="28"/>
        </w:rPr>
        <w:t>以上所述，仅为本发明较佳的具体实施方式，但本发明的保护范围并不局限于此，任何熟悉本领域的技术人员在本发明揭露的技术范围内，根据本发明的技术方案及其发明构思加以等同替换或改变，都应该涵盖在本发明的保护范围之内。</w:t>
      </w:r>
    </w:p>
    <w:p w14:paraId="42F1CC21">
      <w:pPr>
        <w:spacing w:line="360" w:lineRule="auto"/>
        <w:rPr>
          <w:rFonts w:hint="eastAsia" w:ascii="黑体" w:hAnsi="黑体" w:eastAsia="黑体" w:cs="黑体"/>
          <w:bCs/>
          <w:sz w:val="24"/>
        </w:rPr>
      </w:pPr>
    </w:p>
    <w:p w14:paraId="2A67353D">
      <w:pPr>
        <w:spacing w:line="360" w:lineRule="auto"/>
        <w:jc w:val="center"/>
        <w:rPr>
          <w:rFonts w:hint="eastAsia" w:ascii="黑体" w:hAnsi="黑体" w:eastAsia="黑体" w:cs="黑体"/>
          <w:bCs/>
          <w:sz w:val="24"/>
          <w:lang w:eastAsia="zh-CN"/>
        </w:rPr>
      </w:pPr>
      <w:r>
        <w:rPr>
          <w:rFonts w:hint="eastAsia" w:ascii="黑体" w:hAnsi="黑体" w:eastAsia="黑体" w:cs="黑体"/>
          <w:bCs/>
          <w:sz w:val="24"/>
          <w:lang w:eastAsia="zh-CN"/>
        </w:rPr>
        <w:drawing>
          <wp:inline distT="0" distB="0" distL="114300" distR="114300">
            <wp:extent cx="1183005" cy="3641725"/>
            <wp:effectExtent l="0" t="0" r="5715" b="635"/>
            <wp:docPr id="5"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
                    <pic:cNvPicPr>
                      <a:picLocks noChangeAspect="1"/>
                    </pic:cNvPicPr>
                  </pic:nvPicPr>
                  <pic:blipFill>
                    <a:blip r:embed="rId8"/>
                    <a:stretch>
                      <a:fillRect/>
                    </a:stretch>
                  </pic:blipFill>
                  <pic:spPr>
                    <a:xfrm>
                      <a:off x="0" y="0"/>
                      <a:ext cx="1183005" cy="3641725"/>
                    </a:xfrm>
                    <a:prstGeom prst="rect">
                      <a:avLst/>
                    </a:prstGeom>
                  </pic:spPr>
                </pic:pic>
              </a:graphicData>
            </a:graphic>
          </wp:inline>
        </w:drawing>
      </w:r>
    </w:p>
    <w:p w14:paraId="062D4932">
      <w:pPr>
        <w:spacing w:line="360" w:lineRule="auto"/>
        <w:jc w:val="center"/>
        <w:rPr>
          <w:rFonts w:hint="default" w:ascii="黑体" w:hAnsi="黑体" w:eastAsia="黑体" w:cs="黑体"/>
          <w:bCs/>
          <w:sz w:val="24"/>
          <w:lang w:val="en-US" w:eastAsia="zh-CN"/>
        </w:rPr>
      </w:pPr>
      <w:r>
        <w:rPr>
          <w:rFonts w:hint="eastAsia" w:ascii="黑体" w:hAnsi="黑体" w:eastAsia="黑体" w:cs="黑体"/>
          <w:bCs/>
          <w:sz w:val="24"/>
          <w:lang w:val="en-US" w:eastAsia="zh-CN"/>
        </w:rPr>
        <w:t>图1</w:t>
      </w:r>
    </w:p>
    <w:p w14:paraId="20CCF79B">
      <w:pPr>
        <w:spacing w:line="360" w:lineRule="auto"/>
        <w:rPr>
          <w:rFonts w:ascii="黑体" w:hAnsi="黑体" w:eastAsia="黑体" w:cs="黑体"/>
          <w:bCs/>
          <w:sz w:val="24"/>
        </w:rPr>
      </w:pPr>
      <w:r>
        <w:rPr>
          <w:rFonts w:hint="eastAsia" w:ascii="黑体" w:hAnsi="黑体" w:eastAsia="黑体" w:cs="黑体"/>
          <w:bCs/>
          <w:sz w:val="24"/>
        </w:rPr>
        <w:br w:type="page"/>
      </w:r>
      <w:r>
        <w:rPr>
          <w:rFonts w:hint="eastAsia" w:ascii="黑体" w:hAnsi="黑体" w:eastAsia="黑体" w:cs="黑体"/>
          <w:bCs/>
          <w:sz w:val="24"/>
        </w:rPr>
        <w:t>示例：</w:t>
      </w:r>
    </w:p>
    <w:p w14:paraId="0C53323B">
      <w:pPr>
        <w:spacing w:line="360" w:lineRule="auto"/>
        <w:ind w:firstLine="480" w:firstLineChars="200"/>
        <w:jc w:val="center"/>
        <w:rPr>
          <w:rFonts w:hint="eastAsia" w:ascii="黑体" w:hAnsi="黑体" w:eastAsia="黑体" w:cs="黑体"/>
          <w:bCs/>
          <w:sz w:val="24"/>
        </w:rPr>
      </w:pPr>
    </w:p>
    <w:p w14:paraId="136BCD28">
      <w:pPr>
        <w:spacing w:line="360" w:lineRule="auto"/>
        <w:ind w:firstLine="480" w:firstLineChars="200"/>
        <w:jc w:val="center"/>
        <w:rPr>
          <w:rFonts w:hint="eastAsia" w:ascii="黑体" w:hAnsi="黑体" w:eastAsia="黑体" w:cs="黑体"/>
          <w:b/>
          <w:bCs/>
          <w:sz w:val="24"/>
        </w:rPr>
      </w:pPr>
      <w:r>
        <w:rPr>
          <w:rFonts w:hint="eastAsia" w:ascii="黑体" w:hAnsi="黑体" w:eastAsia="黑体" w:cs="黑体"/>
          <w:bCs/>
          <w:sz w:val="24"/>
        </w:rPr>
        <w:t>一种基于OCR图像识别技术的智能发票登记方法</w:t>
      </w:r>
    </w:p>
    <w:p w14:paraId="4AE9657D">
      <w:pPr>
        <w:spacing w:line="360" w:lineRule="auto"/>
        <w:jc w:val="left"/>
        <w:rPr>
          <w:rFonts w:hint="eastAsia" w:ascii="楷体" w:hAnsi="楷体" w:eastAsia="楷体" w:cs="楷体"/>
          <w:b/>
          <w:bCs/>
          <w:sz w:val="28"/>
          <w:szCs w:val="28"/>
          <w:u w:val="single"/>
        </w:rPr>
      </w:pPr>
    </w:p>
    <w:p w14:paraId="534E4408">
      <w:pPr>
        <w:spacing w:line="360" w:lineRule="auto"/>
        <w:jc w:val="left"/>
        <w:rPr>
          <w:rFonts w:hint="eastAsia" w:ascii="楷体" w:hAnsi="楷体" w:eastAsia="楷体" w:cs="楷体"/>
          <w:b/>
          <w:bCs/>
          <w:sz w:val="28"/>
          <w:szCs w:val="28"/>
          <w:u w:val="single"/>
        </w:rPr>
      </w:pPr>
      <w:r>
        <w:rPr>
          <w:rFonts w:hint="eastAsia" w:ascii="楷体" w:hAnsi="楷体" w:eastAsia="楷体" w:cs="楷体"/>
          <w:b/>
          <w:bCs/>
          <w:sz w:val="28"/>
          <w:szCs w:val="28"/>
          <w:u w:val="single"/>
        </w:rPr>
        <w:t>申请人：**********部队、*****公司</w:t>
      </w:r>
    </w:p>
    <w:p w14:paraId="03C3F009">
      <w:pPr>
        <w:spacing w:line="360" w:lineRule="auto"/>
        <w:jc w:val="left"/>
        <w:rPr>
          <w:rFonts w:hint="eastAsia" w:ascii="楷体" w:hAnsi="楷体" w:eastAsia="楷体" w:cs="楷体"/>
          <w:b/>
          <w:bCs/>
          <w:sz w:val="28"/>
          <w:szCs w:val="28"/>
          <w:u w:val="single"/>
        </w:rPr>
      </w:pPr>
      <w:r>
        <w:rPr>
          <w:rFonts w:hint="eastAsia" w:ascii="楷体" w:hAnsi="楷体" w:eastAsia="楷体" w:cs="楷体"/>
          <w:b/>
          <w:bCs/>
          <w:sz w:val="28"/>
          <w:szCs w:val="28"/>
          <w:u w:val="single"/>
        </w:rPr>
        <w:t>发明人（技术负责人）：张**（135******** ） 联系人：王**（189********）</w:t>
      </w:r>
    </w:p>
    <w:p w14:paraId="092D9A88">
      <w:pPr>
        <w:spacing w:line="360" w:lineRule="auto"/>
        <w:ind w:firstLine="482" w:firstLineChars="200"/>
        <w:rPr>
          <w:rFonts w:hint="eastAsia" w:ascii="宋体" w:hAnsi="宋体" w:eastAsia="楷体" w:cs="宋体"/>
          <w:b/>
          <w:bCs/>
          <w:sz w:val="24"/>
        </w:rPr>
      </w:pPr>
    </w:p>
    <w:p w14:paraId="441B849E">
      <w:pPr>
        <w:spacing w:line="360" w:lineRule="auto"/>
        <w:ind w:firstLine="482" w:firstLineChars="200"/>
        <w:rPr>
          <w:rFonts w:hint="eastAsia" w:ascii="宋体" w:hAnsi="宋体" w:eastAsia="楷体" w:cs="宋体"/>
          <w:b/>
          <w:bCs/>
          <w:sz w:val="24"/>
        </w:rPr>
      </w:pPr>
      <w:r>
        <w:rPr>
          <w:rFonts w:hint="eastAsia" w:ascii="宋体" w:hAnsi="宋体" w:eastAsia="楷体" w:cs="宋体"/>
          <w:b/>
          <w:bCs/>
          <w:sz w:val="24"/>
        </w:rPr>
        <w:t>缩略语和关键术语定义</w:t>
      </w:r>
    </w:p>
    <w:p w14:paraId="15B0BB66">
      <w:pPr>
        <w:spacing w:line="360" w:lineRule="auto"/>
        <w:ind w:firstLine="481"/>
        <w:rPr>
          <w:rFonts w:hint="eastAsia" w:ascii="宋体" w:hAnsi="宋体" w:eastAsia="楷体" w:cs="宋体"/>
          <w:bCs/>
          <w:color w:val="FF0000"/>
          <w:sz w:val="24"/>
        </w:rPr>
      </w:pPr>
      <w:r>
        <w:rPr>
          <w:rFonts w:hint="eastAsia" w:ascii="宋体" w:hAnsi="宋体" w:eastAsia="楷体" w:cs="宋体"/>
          <w:bCs/>
          <w:color w:val="FF0000"/>
          <w:sz w:val="24"/>
        </w:rPr>
        <w:t>解释技术交底书中所出现的专有缩略语及关键术语（如无，可省略）</w:t>
      </w:r>
    </w:p>
    <w:p w14:paraId="1635352C">
      <w:pPr>
        <w:spacing w:line="360" w:lineRule="auto"/>
        <w:ind w:firstLine="480" w:firstLineChars="200"/>
        <w:rPr>
          <w:rFonts w:hint="eastAsia" w:ascii="宋体" w:hAnsi="宋体" w:eastAsia="楷体" w:cs="宋体"/>
          <w:bCs/>
          <w:sz w:val="24"/>
        </w:rPr>
      </w:pPr>
      <w:r>
        <w:rPr>
          <w:rFonts w:hint="eastAsia" w:ascii="宋体" w:hAnsi="宋体" w:eastAsia="楷体" w:cs="宋体"/>
          <w:bCs/>
          <w:sz w:val="24"/>
        </w:rPr>
        <w:t>OCR（</w:t>
      </w:r>
      <w:r>
        <w:rPr>
          <w:rFonts w:hint="eastAsia" w:ascii="宋体" w:hAnsi="宋体" w:eastAsia="楷体" w:cs="宋体"/>
          <w:sz w:val="24"/>
        </w:rPr>
        <w:t>Optical Character Recognition，光学字符识别</w:t>
      </w:r>
      <w:r>
        <w:rPr>
          <w:rFonts w:hint="eastAsia" w:ascii="宋体" w:hAnsi="宋体" w:eastAsia="楷体" w:cs="宋体"/>
          <w:bCs/>
          <w:sz w:val="24"/>
        </w:rPr>
        <w:t>）技术，是通过图像处理技术手段，将图像（影像）上的文字、表格、图像转化为电子版的数据，通过计算机程序，快速实现数据信息的采集。</w:t>
      </w:r>
    </w:p>
    <w:p w14:paraId="07F8A0F6">
      <w:pPr>
        <w:spacing w:line="360" w:lineRule="auto"/>
        <w:ind w:firstLine="481"/>
        <w:rPr>
          <w:rFonts w:ascii="宋体" w:hAnsi="宋体" w:eastAsia="楷体" w:cs="宋体"/>
          <w:bCs/>
          <w:color w:val="FF0000"/>
          <w:sz w:val="24"/>
        </w:rPr>
      </w:pPr>
    </w:p>
    <w:p w14:paraId="3E148DC1">
      <w:pPr>
        <w:spacing w:line="360" w:lineRule="auto"/>
        <w:ind w:firstLine="482" w:firstLineChars="200"/>
        <w:rPr>
          <w:rFonts w:ascii="宋体" w:hAnsi="宋体" w:eastAsia="楷体" w:cs="宋体"/>
          <w:b/>
          <w:bCs/>
          <w:sz w:val="24"/>
        </w:rPr>
      </w:pPr>
      <w:r>
        <w:rPr>
          <w:rFonts w:hint="eastAsia" w:ascii="宋体" w:hAnsi="宋体" w:eastAsia="楷体" w:cs="宋体"/>
          <w:b/>
          <w:bCs/>
          <w:sz w:val="24"/>
        </w:rPr>
        <w:t>一、技术领域</w:t>
      </w:r>
    </w:p>
    <w:p w14:paraId="0C4C2204">
      <w:pPr>
        <w:spacing w:line="360" w:lineRule="auto"/>
        <w:ind w:firstLine="482" w:firstLineChars="200"/>
        <w:rPr>
          <w:rFonts w:ascii="宋体" w:hAnsi="宋体" w:eastAsia="楷体" w:cs="宋体"/>
          <w:b/>
          <w:bCs/>
          <w:sz w:val="24"/>
        </w:rPr>
      </w:pPr>
      <w:r>
        <w:rPr>
          <w:rFonts w:hint="eastAsia" w:ascii="宋体" w:hAnsi="宋体" w:eastAsia="楷体" w:cs="宋体"/>
          <w:b/>
          <w:bCs/>
          <w:sz w:val="24"/>
        </w:rPr>
        <w:t>1.1技术领域。</w:t>
      </w:r>
    </w:p>
    <w:p w14:paraId="14E0274D">
      <w:pPr>
        <w:spacing w:line="360" w:lineRule="auto"/>
        <w:ind w:firstLine="480" w:firstLineChars="200"/>
        <w:rPr>
          <w:rFonts w:hint="eastAsia" w:ascii="宋体" w:hAnsi="宋体" w:eastAsia="楷体" w:cs="宋体"/>
          <w:bCs/>
          <w:color w:val="FF0000"/>
          <w:sz w:val="24"/>
        </w:rPr>
      </w:pPr>
      <w:r>
        <w:rPr>
          <w:rFonts w:hint="eastAsia" w:ascii="宋体" w:hAnsi="宋体" w:eastAsia="楷体" w:cs="宋体"/>
          <w:bCs/>
          <w:color w:val="FF0000"/>
          <w:sz w:val="24"/>
        </w:rPr>
        <w:t>简述本技术</w:t>
      </w:r>
      <w:r>
        <w:rPr>
          <w:rFonts w:hint="eastAsia" w:ascii="宋体" w:hAnsi="宋体" w:eastAsia="楷体" w:cs="宋体"/>
          <w:color w:val="FF0000"/>
          <w:sz w:val="24"/>
        </w:rPr>
        <w:t>涉及</w:t>
      </w:r>
      <w:r>
        <w:rPr>
          <w:rFonts w:hint="eastAsia" w:ascii="宋体" w:hAnsi="宋体" w:eastAsia="楷体" w:cs="宋体"/>
          <w:bCs/>
          <w:color w:val="FF0000"/>
          <w:sz w:val="24"/>
        </w:rPr>
        <w:t>哪个领域的什么技术。例如，计算机技术，互联网技术、通信技术、数据处理技术、图像处理技术等。</w:t>
      </w:r>
    </w:p>
    <w:p w14:paraId="79FAA5E1">
      <w:pPr>
        <w:spacing w:line="360" w:lineRule="auto"/>
        <w:ind w:firstLine="480" w:firstLineChars="200"/>
        <w:rPr>
          <w:rFonts w:hint="eastAsia" w:ascii="宋体" w:hAnsi="宋体" w:eastAsia="楷体" w:cs="宋体"/>
          <w:bCs/>
          <w:sz w:val="24"/>
        </w:rPr>
      </w:pPr>
      <w:r>
        <w:rPr>
          <w:rFonts w:hint="eastAsia" w:ascii="宋体" w:hAnsi="宋体" w:eastAsia="楷体" w:cs="宋体"/>
          <w:bCs/>
          <w:sz w:val="24"/>
        </w:rPr>
        <w:t>本发明涉及发票信息管理技术领域,具体涉及一种基于OCR图像识别技术的智能发票登记技术及方法。</w:t>
      </w:r>
    </w:p>
    <w:p w14:paraId="116ED6B8">
      <w:pPr>
        <w:spacing w:line="360" w:lineRule="auto"/>
        <w:ind w:firstLine="480" w:firstLineChars="200"/>
        <w:rPr>
          <w:rFonts w:hint="eastAsia" w:ascii="宋体" w:hAnsi="宋体" w:eastAsia="楷体" w:cs="宋体"/>
          <w:bCs/>
          <w:color w:val="FF0000"/>
          <w:sz w:val="24"/>
        </w:rPr>
      </w:pPr>
    </w:p>
    <w:p w14:paraId="52FD6544">
      <w:pPr>
        <w:spacing w:line="360" w:lineRule="auto"/>
        <w:ind w:firstLine="482" w:firstLineChars="200"/>
        <w:rPr>
          <w:rFonts w:ascii="宋体" w:hAnsi="宋体" w:eastAsia="楷体" w:cs="宋体"/>
          <w:b/>
          <w:bCs/>
          <w:sz w:val="24"/>
        </w:rPr>
      </w:pPr>
      <w:r>
        <w:rPr>
          <w:rFonts w:hint="eastAsia" w:ascii="宋体" w:hAnsi="宋体" w:eastAsia="楷体" w:cs="宋体"/>
          <w:b/>
          <w:bCs/>
          <w:sz w:val="24"/>
        </w:rPr>
        <w:t>1.2相关产品。</w:t>
      </w:r>
    </w:p>
    <w:p w14:paraId="1B73447E">
      <w:pPr>
        <w:spacing w:line="360" w:lineRule="auto"/>
        <w:ind w:firstLine="480" w:firstLineChars="200"/>
        <w:rPr>
          <w:rFonts w:ascii="宋体" w:hAnsi="宋体" w:eastAsia="楷体" w:cs="宋体"/>
          <w:bCs/>
          <w:color w:val="FF0000"/>
          <w:sz w:val="24"/>
        </w:rPr>
      </w:pPr>
      <w:r>
        <w:rPr>
          <w:rFonts w:hint="eastAsia" w:ascii="宋体" w:hAnsi="宋体" w:eastAsia="楷体" w:cs="宋体"/>
          <w:bCs/>
          <w:color w:val="FF0000"/>
          <w:sz w:val="24"/>
        </w:rPr>
        <w:t>本技术是否应用于的具体产品，如果是，请提供具体产品的名称，例如智能手机、个人电脑、移动平板、穿戴式设备、数码相机等，有助于专利工程师理解这项技术。</w:t>
      </w:r>
    </w:p>
    <w:p w14:paraId="7CD3D922">
      <w:pPr>
        <w:spacing w:line="360" w:lineRule="auto"/>
        <w:ind w:firstLine="480" w:firstLineChars="200"/>
        <w:rPr>
          <w:rFonts w:ascii="宋体" w:hAnsi="宋体" w:cs="宋体"/>
          <w:b/>
          <w:bCs/>
          <w:color w:val="FF0000"/>
          <w:sz w:val="24"/>
        </w:rPr>
      </w:pPr>
      <w:r>
        <w:rPr>
          <w:rFonts w:hint="eastAsia" w:ascii="宋体" w:hAnsi="宋体" w:eastAsia="楷体" w:cs="宋体"/>
          <w:bCs/>
          <w:sz w:val="24"/>
        </w:rPr>
        <w:t>本技术产品为智能发票登记系统，利用人工智能的图像识别技术，实现发票信息的采集、存储、查验。主要用于对合同的支付申请业务，为支付申请人提供高效、准确、安全的发票登记和查验手段，提高发票登记效率，减低发票审查风险，进而保障财务资金支付安全。</w:t>
      </w:r>
    </w:p>
    <w:p w14:paraId="337C2661">
      <w:pPr>
        <w:spacing w:line="360" w:lineRule="auto"/>
        <w:ind w:firstLine="482" w:firstLineChars="200"/>
        <w:rPr>
          <w:rFonts w:hint="eastAsia" w:ascii="宋体" w:hAnsi="宋体" w:eastAsia="楷体" w:cs="宋体"/>
          <w:b/>
          <w:bCs/>
          <w:sz w:val="24"/>
        </w:rPr>
      </w:pPr>
    </w:p>
    <w:p w14:paraId="7F0126CB">
      <w:pPr>
        <w:spacing w:line="360" w:lineRule="auto"/>
        <w:ind w:firstLine="482" w:firstLineChars="200"/>
        <w:rPr>
          <w:rFonts w:hint="eastAsia" w:ascii="宋体" w:hAnsi="宋体" w:eastAsia="楷体" w:cs="宋体"/>
          <w:b/>
          <w:bCs/>
          <w:sz w:val="24"/>
        </w:rPr>
      </w:pPr>
      <w:r>
        <w:rPr>
          <w:rFonts w:hint="eastAsia" w:ascii="宋体" w:hAnsi="宋体" w:eastAsia="楷体" w:cs="宋体"/>
          <w:b/>
          <w:bCs/>
          <w:sz w:val="24"/>
        </w:rPr>
        <w:t>二、背景技术</w:t>
      </w:r>
    </w:p>
    <w:p w14:paraId="6642C994">
      <w:pPr>
        <w:spacing w:line="360" w:lineRule="auto"/>
        <w:ind w:firstLine="482" w:firstLineChars="200"/>
        <w:rPr>
          <w:rFonts w:ascii="宋体" w:hAnsi="宋体" w:eastAsia="楷体" w:cs="宋体"/>
          <w:sz w:val="24"/>
        </w:rPr>
      </w:pPr>
      <w:r>
        <w:rPr>
          <w:rFonts w:hint="eastAsia" w:ascii="宋体" w:hAnsi="宋体" w:eastAsia="楷体" w:cs="宋体"/>
          <w:b/>
          <w:sz w:val="24"/>
        </w:rPr>
        <w:t>2.1原有技术存在什么缺陷和不足，或者在产品研发中碰到什么新的技术难题需要解决。</w:t>
      </w:r>
      <w:r>
        <w:rPr>
          <w:rFonts w:hint="eastAsia" w:ascii="宋体" w:hAnsi="宋体" w:eastAsia="楷体" w:cs="宋体"/>
          <w:sz w:val="24"/>
        </w:rPr>
        <w:t>（可以结合图进行说明）</w:t>
      </w:r>
    </w:p>
    <w:p w14:paraId="4A9363FB">
      <w:pPr>
        <w:spacing w:line="360" w:lineRule="auto"/>
        <w:ind w:firstLine="480"/>
        <w:rPr>
          <w:rFonts w:hint="eastAsia" w:ascii="宋体" w:hAnsi="宋体" w:eastAsia="楷体" w:cs="宋体"/>
          <w:color w:val="FF0000"/>
          <w:sz w:val="24"/>
        </w:rPr>
      </w:pPr>
      <w:r>
        <w:rPr>
          <w:rFonts w:hint="eastAsia" w:ascii="宋体" w:hAnsi="宋体" w:eastAsia="楷体" w:cs="宋体"/>
          <w:color w:val="FF0000"/>
          <w:sz w:val="24"/>
        </w:rPr>
        <w:t>本部分主要是为了说明本技术的来龙去脉，即产生这类技术的动因和目的是什么。</w:t>
      </w:r>
    </w:p>
    <w:p w14:paraId="13273E09">
      <w:pPr>
        <w:spacing w:line="360" w:lineRule="auto"/>
        <w:ind w:firstLine="480"/>
        <w:rPr>
          <w:rFonts w:hint="eastAsia" w:ascii="宋体" w:hAnsi="宋体" w:eastAsia="楷体" w:cs="宋体"/>
          <w:sz w:val="24"/>
        </w:rPr>
      </w:pPr>
      <w:r>
        <w:rPr>
          <w:rFonts w:hint="eastAsia" w:ascii="宋体" w:hAnsi="宋体" w:eastAsia="楷体" w:cs="宋体"/>
          <w:sz w:val="24"/>
        </w:rPr>
        <w:t>随着科技的不断发展,自动智能化技术、人工智能技术给人们的生活带来了很多的便利。而在信息获取过程中,语言和文字更是我们获取信息最基本、最重要的途径。在图像识别技术领域,还有一个非常重要的细分领域—OCR,是指借助光学设备检查纸上打印的字符,通过检测暗、亮的模式确定其形状,然后用字符识别方法将形状翻译成计算机文字的过程,就是计算机对文字的阅读。但一旦文字以图片的形式表现出来,就对我们获取和处理文字平添了很多麻烦。这一方面表现为数字世界中由于特定原因被存储称图片格式的文字;另一方面是我们在现实生活中看到的所有物理形态的文字。所以我们需要借助OCR技术将这些文字和信息提取出来。故而OCR图像识别技术开始得到重视和发展。</w:t>
      </w:r>
    </w:p>
    <w:p w14:paraId="6BFB9B65">
      <w:pPr>
        <w:spacing w:line="360" w:lineRule="auto"/>
        <w:rPr>
          <w:rFonts w:hint="eastAsia" w:ascii="宋体" w:hAnsi="宋体" w:eastAsia="楷体" w:cs="宋体"/>
          <w:sz w:val="24"/>
        </w:rPr>
      </w:pPr>
      <w:r>
        <w:rPr>
          <w:rFonts w:hint="eastAsia" w:ascii="宋体" w:hAnsi="宋体" w:eastAsia="楷体" w:cs="宋体"/>
          <w:sz w:val="24"/>
        </w:rPr>
        <w:t xml:space="preserve">    然而在发票信息管理技术领域中,仍拘泥于传统的工作形式。众所周知，发票管理是财务管理业务中最主要的工作之一，合同付款业务都必须登记发票。发票管理工作主要包括：登记发票、查验发票真伪。</w:t>
      </w:r>
    </w:p>
    <w:p w14:paraId="4ECC30C8">
      <w:pPr>
        <w:spacing w:line="360" w:lineRule="auto"/>
        <w:ind w:firstLine="480" w:firstLineChars="200"/>
        <w:rPr>
          <w:rFonts w:hint="eastAsia" w:ascii="宋体" w:hAnsi="宋体" w:eastAsia="楷体" w:cs="宋体"/>
          <w:sz w:val="24"/>
        </w:rPr>
      </w:pPr>
      <w:r>
        <w:rPr>
          <w:rFonts w:hint="eastAsia" w:ascii="宋体" w:hAnsi="宋体" w:eastAsia="楷体" w:cs="宋体"/>
          <w:sz w:val="24"/>
        </w:rPr>
        <w:t>面对合同付款业务所产生的大量的发票，往往最让人头疼和费时费力的事情，就是登记发票，经办人所需要做的事情将就是一张张发票手工人为的登记发票信息！这样就要花费大量的人力、物力和时间,而且还有存在出现输入错误的风险,出错率高,该方法极为不便。</w:t>
      </w:r>
    </w:p>
    <w:p w14:paraId="46B6793F">
      <w:pPr>
        <w:spacing w:line="360" w:lineRule="auto"/>
        <w:ind w:firstLine="480" w:firstLineChars="200"/>
        <w:rPr>
          <w:rFonts w:hint="eastAsia" w:ascii="宋体" w:hAnsi="宋体" w:eastAsia="楷体" w:cs="宋体"/>
          <w:sz w:val="24"/>
        </w:rPr>
      </w:pPr>
      <w:r>
        <w:rPr>
          <w:rFonts w:hint="eastAsia" w:ascii="宋体" w:hAnsi="宋体" w:eastAsia="楷体" w:cs="宋体"/>
          <w:sz w:val="24"/>
        </w:rPr>
        <w:t>除此之外，每次都要上税务局网站查验大量发票的真伪。不仅财务工作压力大，有的时候业务人员、经办人员也很痛苦：指责财务人员为什么这么不信任我们？而且查验发票的真伪的工作还是必须要做的，否则税务查的时候，如果是假发票就要被踢除出来，成本就要变小，就要上税，如果发票假的比较多，估计还要罚款。</w:t>
      </w:r>
    </w:p>
    <w:p w14:paraId="09DF1BDC">
      <w:pPr>
        <w:spacing w:line="360" w:lineRule="auto"/>
        <w:ind w:firstLine="482" w:firstLineChars="200"/>
        <w:rPr>
          <w:rFonts w:hint="eastAsia" w:ascii="宋体" w:hAnsi="宋体" w:eastAsia="楷体" w:cs="宋体"/>
          <w:b/>
          <w:bCs/>
          <w:sz w:val="24"/>
        </w:rPr>
      </w:pPr>
      <w:r>
        <w:rPr>
          <w:rFonts w:hint="eastAsia" w:ascii="宋体" w:hAnsi="宋体" w:eastAsia="楷体" w:cs="宋体"/>
          <w:b/>
          <w:bCs/>
          <w:sz w:val="24"/>
        </w:rPr>
        <w:t>三、发明内容</w:t>
      </w:r>
      <w:r>
        <w:rPr>
          <w:rFonts w:hint="eastAsia" w:ascii="宋体" w:hAnsi="宋体" w:eastAsia="楷体" w:cs="宋体"/>
          <w:bCs/>
          <w:sz w:val="24"/>
        </w:rPr>
        <w:t>（对本技术的</w:t>
      </w:r>
      <w:r>
        <w:rPr>
          <w:rFonts w:hint="eastAsia" w:ascii="宋体" w:hAnsi="宋体" w:eastAsia="楷体" w:cs="宋体"/>
          <w:bCs/>
          <w:color w:val="FF0000"/>
          <w:sz w:val="24"/>
        </w:rPr>
        <w:t>结构/构造/施工步骤</w:t>
      </w:r>
      <w:r>
        <w:rPr>
          <w:rFonts w:hint="eastAsia" w:ascii="宋体" w:hAnsi="宋体" w:eastAsia="楷体" w:cs="宋体"/>
          <w:bCs/>
          <w:sz w:val="24"/>
        </w:rPr>
        <w:t>进行概括说明）</w:t>
      </w:r>
    </w:p>
    <w:p w14:paraId="52030F00">
      <w:pPr>
        <w:spacing w:line="360" w:lineRule="auto"/>
        <w:ind w:firstLine="482" w:firstLineChars="200"/>
        <w:rPr>
          <w:rFonts w:ascii="宋体" w:hAnsi="宋体" w:eastAsia="楷体" w:cs="宋体"/>
          <w:b/>
          <w:sz w:val="24"/>
        </w:rPr>
      </w:pPr>
      <w:r>
        <w:rPr>
          <w:rFonts w:hint="eastAsia" w:ascii="宋体" w:hAnsi="宋体" w:eastAsia="楷体" w:cs="宋体"/>
          <w:b/>
          <w:sz w:val="24"/>
        </w:rPr>
        <w:t>3.1 本技术概括介绍。</w:t>
      </w:r>
    </w:p>
    <w:p w14:paraId="1B01CAD4">
      <w:pPr>
        <w:spacing w:line="360" w:lineRule="auto"/>
        <w:ind w:firstLine="480" w:firstLineChars="200"/>
        <w:rPr>
          <w:rFonts w:ascii="宋体" w:hAnsi="宋体" w:eastAsia="楷体" w:cs="宋体"/>
          <w:color w:val="FF0000"/>
          <w:sz w:val="24"/>
        </w:rPr>
      </w:pPr>
      <w:r>
        <w:rPr>
          <w:rFonts w:hint="eastAsia" w:ascii="宋体" w:hAnsi="宋体" w:eastAsia="楷体" w:cs="宋体"/>
          <w:color w:val="FF0000"/>
          <w:sz w:val="24"/>
        </w:rPr>
        <w:t>结合图，从</w:t>
      </w:r>
      <w:r>
        <w:rPr>
          <w:rFonts w:hint="eastAsia" w:ascii="宋体" w:hAnsi="宋体" w:eastAsia="楷体" w:cs="宋体"/>
          <w:b/>
          <w:bCs/>
          <w:color w:val="FF0000"/>
          <w:sz w:val="24"/>
          <w:u w:val="single"/>
        </w:rPr>
        <w:t>方法步骤/方法流程/方法线程/改进结构</w:t>
      </w:r>
      <w:r>
        <w:rPr>
          <w:rFonts w:hint="eastAsia" w:ascii="宋体" w:hAnsi="宋体" w:eastAsia="楷体" w:cs="宋体"/>
          <w:color w:val="FF0000"/>
          <w:sz w:val="24"/>
        </w:rPr>
        <w:t>的角度，对技术进行概括性的描述。</w:t>
      </w:r>
    </w:p>
    <w:p w14:paraId="18CC479F">
      <w:pPr>
        <w:spacing w:line="360" w:lineRule="auto"/>
        <w:ind w:firstLine="480" w:firstLineChars="200"/>
        <w:rPr>
          <w:rFonts w:hint="eastAsia" w:ascii="宋体" w:hAnsi="宋体" w:eastAsia="楷体" w:cs="宋体"/>
          <w:sz w:val="24"/>
        </w:rPr>
      </w:pPr>
      <w:r>
        <w:rPr>
          <w:rFonts w:hint="eastAsia" w:ascii="宋体" w:hAnsi="宋体" w:eastAsia="楷体" w:cs="宋体"/>
          <w:sz w:val="24"/>
        </w:rPr>
        <w:t>智能发票登记是基于人工智能技术能力，利用OCR识别技术，对增值税专用发票扫描识别，快速完成表单、票据的信息采集。同时，在发票识别采集完发票信息后，系统会自动上传到与国税局对接的财务发票中心的验真几要素，如：发票代码、发票号码、日期、金额、校验码（专票无）等，验别发票的真伪性，并返回发票票面的全部信息，准确率100%！</w:t>
      </w:r>
    </w:p>
    <w:p w14:paraId="26B7A170">
      <w:pPr>
        <w:spacing w:line="360" w:lineRule="auto"/>
        <w:ind w:firstLine="480" w:firstLineChars="200"/>
        <w:rPr>
          <w:rFonts w:hint="eastAsia" w:ascii="宋体" w:hAnsi="宋体" w:eastAsia="楷体" w:cs="宋体"/>
          <w:b/>
          <w:sz w:val="24"/>
        </w:rPr>
      </w:pPr>
      <w:r>
        <w:rPr>
          <w:rFonts w:hint="eastAsia" w:ascii="宋体" w:hAnsi="宋体" w:eastAsia="楷体" w:cs="宋体"/>
          <w:sz w:val="24"/>
        </w:rPr>
        <w:t>在电网管理平台系统的支付模块中部署智能发票登记功能，通将发票扫描件或电子发票文件进行批量上传，</w:t>
      </w:r>
      <w:r>
        <w:rPr>
          <w:rFonts w:hint="eastAsia" w:ascii="宋体" w:hAnsi="宋体" w:eastAsia="楷体" w:cs="宋体"/>
          <w:bCs/>
          <w:sz w:val="24"/>
        </w:rPr>
        <w:t>利用OCR识别技术对票面关键信息进行自动识别提取，通过设定的识别区域，识别要素字段，调用专用字符识别核心，进行区域识别，并根据识别结果进行识别后处理，最后输出结构化的识别结果，</w:t>
      </w:r>
      <w:r>
        <w:rPr>
          <w:rFonts w:hint="eastAsia" w:ascii="宋体" w:hAnsi="宋体" w:eastAsia="楷体" w:cs="宋体"/>
          <w:sz w:val="24"/>
        </w:rPr>
        <w:t>获取发票代码、发票号码等关键信息，</w:t>
      </w:r>
      <w:r>
        <w:rPr>
          <w:rFonts w:hint="eastAsia" w:ascii="宋体" w:hAnsi="宋体" w:eastAsia="楷体" w:cs="宋体"/>
          <w:bCs/>
          <w:sz w:val="24"/>
        </w:rPr>
        <w:t>输出到业务系统归档以供后续查询利用。</w:t>
      </w:r>
      <w:r>
        <w:rPr>
          <w:rFonts w:hint="eastAsia" w:ascii="宋体" w:hAnsi="宋体" w:eastAsia="楷体" w:cs="宋体"/>
          <w:sz w:val="24"/>
        </w:rPr>
        <w:t>通过发票代码、发票号码从财务发票中心获取全量的发票基本信息，并检验该发票是否为真发票；将发票基本信息传递回发票列表，展示出发票关键信息及附件。</w:t>
      </w:r>
    </w:p>
    <w:p w14:paraId="0938A4DC">
      <w:pPr>
        <w:spacing w:line="360" w:lineRule="auto"/>
        <w:ind w:firstLine="482" w:firstLineChars="200"/>
        <w:rPr>
          <w:rFonts w:hint="eastAsia" w:ascii="宋体" w:hAnsi="宋体" w:eastAsia="楷体" w:cs="宋体"/>
          <w:b/>
          <w:sz w:val="24"/>
        </w:rPr>
      </w:pPr>
      <w:r>
        <w:rPr>
          <w:rFonts w:hint="eastAsia" w:ascii="宋体" w:hAnsi="宋体" w:eastAsia="楷体" w:cs="宋体"/>
          <w:b/>
          <w:sz w:val="24"/>
        </w:rPr>
        <w:t>3.2 本技术原理说明。</w:t>
      </w:r>
    </w:p>
    <w:p w14:paraId="488AE249">
      <w:pPr>
        <w:spacing w:line="360" w:lineRule="auto"/>
        <w:ind w:firstLine="480" w:firstLineChars="200"/>
        <w:rPr>
          <w:rFonts w:ascii="宋体" w:hAnsi="宋体" w:eastAsia="楷体" w:cs="宋体"/>
          <w:sz w:val="24"/>
        </w:rPr>
      </w:pPr>
      <w:r>
        <w:rPr>
          <w:rFonts w:hint="eastAsia" w:ascii="宋体" w:hAnsi="宋体" w:eastAsia="楷体" w:cs="宋体"/>
          <w:color w:val="FF0000"/>
          <w:sz w:val="24"/>
        </w:rPr>
        <w:t>阐述为什么上述技术可以解决上述背景技术中所提及的技术问题。如果可以推理说明的，用文字进行说明即可。如果需要实验数据来证明和支持的，需要给出具体的实验条件和实验数据。</w:t>
      </w:r>
    </w:p>
    <w:p w14:paraId="2C49C54C">
      <w:pPr>
        <w:spacing w:line="360" w:lineRule="auto"/>
        <w:ind w:firstLine="480" w:firstLineChars="200"/>
        <w:rPr>
          <w:rFonts w:hint="eastAsia" w:ascii="宋体" w:hAnsi="宋体" w:eastAsia="楷体" w:cs="宋体"/>
          <w:sz w:val="24"/>
        </w:rPr>
      </w:pPr>
      <w:r>
        <w:rPr>
          <w:rFonts w:hint="eastAsia" w:ascii="宋体" w:hAnsi="宋体" w:eastAsia="楷体" w:cs="宋体"/>
          <w:sz w:val="24"/>
        </w:rPr>
        <w:t>基于深度学习技术，形成一种简化到只有检测、识别、后处理3个主要步骤的DeepOCR识别流程，如图：</w:t>
      </w:r>
    </w:p>
    <w:p w14:paraId="34C95E8C">
      <w:pPr>
        <w:spacing w:line="360" w:lineRule="auto"/>
        <w:rPr>
          <w:rFonts w:hint="eastAsia" w:ascii="宋体" w:hAnsi="宋体" w:eastAsia="楷体" w:cs="宋体"/>
          <w:bCs/>
          <w:sz w:val="24"/>
        </w:rPr>
      </w:pPr>
      <w:r>
        <w:rPr>
          <w:rFonts w:ascii="宋体" w:hAnsi="宋体" w:cs="宋体"/>
          <w:sz w:val="24"/>
        </w:rPr>
        <w:drawing>
          <wp:inline distT="0" distB="0" distL="114300" distR="114300">
            <wp:extent cx="5321300" cy="2876550"/>
            <wp:effectExtent l="0" t="0" r="12700" b="3810"/>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a:blip r:embed="rId9"/>
                    <a:stretch>
                      <a:fillRect/>
                    </a:stretch>
                  </pic:blipFill>
                  <pic:spPr>
                    <a:xfrm>
                      <a:off x="0" y="0"/>
                      <a:ext cx="5321300" cy="2876550"/>
                    </a:xfrm>
                    <a:prstGeom prst="rect">
                      <a:avLst/>
                    </a:prstGeom>
                    <a:noFill/>
                    <a:ln>
                      <a:noFill/>
                    </a:ln>
                  </pic:spPr>
                </pic:pic>
              </a:graphicData>
            </a:graphic>
          </wp:inline>
        </w:drawing>
      </w:r>
    </w:p>
    <w:p w14:paraId="4DCF3B32">
      <w:pPr>
        <w:spacing w:line="360" w:lineRule="auto"/>
        <w:ind w:firstLine="480" w:firstLineChars="200"/>
        <w:rPr>
          <w:rFonts w:hint="eastAsia" w:ascii="宋体" w:hAnsi="宋体" w:eastAsia="楷体" w:cs="宋体"/>
          <w:bCs/>
          <w:sz w:val="24"/>
        </w:rPr>
      </w:pPr>
      <w:r>
        <w:rPr>
          <w:rFonts w:hint="eastAsia" w:ascii="宋体" w:hAnsi="宋体" w:eastAsia="楷体" w:cs="宋体"/>
          <w:bCs/>
          <w:sz w:val="24"/>
        </w:rPr>
        <w:t>本发明涉及了一种基于OCR图像识别技术的智能发票登记技术及方法，通过采集单元采集发票图片信息数据，OCR图像识别单元基于OCR图像识别技术并结合人工智能深度学习算法对发票图片信息数据进行识别读取以获得OCR图像识别结果，发票信息验证处理单元对OCR图像识别结果的发票类型进行鉴别并在鉴别结果为增值税发票时自动调用税务局增值税发票真伪查验平台进行真伪查验，发票信息存储管理单元存储鉴别结果为非增值税发票的OCR图像识别结果，同时将查验结果为真的增值税发票的OCR图像识别结果进行重复归集核查后进行相应存储，发票信息分类展示单元对发票信息数据进行分类展示处理，综合地实现发票信息数据的采集、识别、查验、处理与存储的全过程。</w:t>
      </w:r>
    </w:p>
    <w:p w14:paraId="0279E382">
      <w:pPr>
        <w:spacing w:line="360" w:lineRule="auto"/>
        <w:ind w:firstLine="482" w:firstLineChars="200"/>
        <w:rPr>
          <w:rFonts w:ascii="宋体" w:hAnsi="宋体" w:eastAsia="楷体" w:cs="宋体"/>
          <w:bCs/>
          <w:sz w:val="24"/>
        </w:rPr>
      </w:pPr>
      <w:r>
        <w:rPr>
          <w:rFonts w:hint="eastAsia" w:ascii="宋体" w:hAnsi="宋体" w:eastAsia="楷体" w:cs="宋体"/>
          <w:b/>
          <w:bCs/>
          <w:sz w:val="24"/>
        </w:rPr>
        <w:t>四、具体实施方式</w:t>
      </w:r>
      <w:r>
        <w:rPr>
          <w:rFonts w:hint="eastAsia" w:ascii="宋体" w:hAnsi="宋体" w:eastAsia="楷体" w:cs="宋体"/>
          <w:bCs/>
          <w:sz w:val="24"/>
        </w:rPr>
        <w:t>（结合本文附图对</w:t>
      </w:r>
      <w:r>
        <w:rPr>
          <w:rFonts w:hint="eastAsia" w:ascii="宋体" w:hAnsi="宋体" w:eastAsia="楷体" w:cs="宋体"/>
          <w:bCs/>
          <w:color w:val="FF0000"/>
          <w:sz w:val="24"/>
        </w:rPr>
        <w:t>结构/构造/施工步骤</w:t>
      </w:r>
      <w:r>
        <w:rPr>
          <w:rFonts w:hint="eastAsia" w:ascii="宋体" w:hAnsi="宋体" w:eastAsia="楷体" w:cs="宋体"/>
          <w:bCs/>
          <w:sz w:val="24"/>
        </w:rPr>
        <w:t>进行详细说明）</w:t>
      </w:r>
    </w:p>
    <w:p w14:paraId="34084336">
      <w:pPr>
        <w:spacing w:line="360" w:lineRule="auto"/>
        <w:ind w:firstLine="480" w:firstLineChars="200"/>
        <w:rPr>
          <w:rFonts w:hint="eastAsia" w:ascii="宋体" w:hAnsi="宋体" w:eastAsia="楷体" w:cs="宋体"/>
          <w:color w:val="FF0000"/>
          <w:sz w:val="24"/>
        </w:rPr>
      </w:pPr>
      <w:r>
        <w:rPr>
          <w:rFonts w:hint="eastAsia" w:ascii="宋体" w:hAnsi="宋体" w:eastAsia="楷体" w:cs="宋体"/>
          <w:bCs/>
          <w:color w:val="FF0000"/>
          <w:sz w:val="24"/>
        </w:rPr>
        <w:t>在本部分中，结合附图从</w:t>
      </w:r>
      <w:r>
        <w:rPr>
          <w:rFonts w:hint="eastAsia" w:ascii="宋体" w:hAnsi="宋体" w:eastAsia="楷体" w:cs="宋体"/>
          <w:b/>
          <w:bCs/>
          <w:color w:val="FF0000"/>
          <w:sz w:val="24"/>
          <w:u w:val="single"/>
        </w:rPr>
        <w:t>方法步骤/方法流程/方法线程/改进结构</w:t>
      </w:r>
      <w:r>
        <w:rPr>
          <w:rFonts w:hint="eastAsia" w:ascii="宋体" w:hAnsi="宋体" w:eastAsia="楷体" w:cs="宋体"/>
          <w:bCs/>
          <w:color w:val="FF0000"/>
          <w:sz w:val="24"/>
        </w:rPr>
        <w:t>角度，对本技术做出详细说明。</w:t>
      </w:r>
      <w:r>
        <w:rPr>
          <w:rFonts w:hint="eastAsia" w:ascii="宋体" w:hAnsi="宋体" w:eastAsia="楷体" w:cs="宋体"/>
          <w:color w:val="FF0000"/>
          <w:sz w:val="24"/>
        </w:rPr>
        <w:t>对于</w:t>
      </w:r>
      <w:r>
        <w:rPr>
          <w:rFonts w:hint="eastAsia" w:ascii="宋体" w:hAnsi="宋体" w:eastAsia="楷体" w:cs="宋体"/>
          <w:color w:val="FF0000"/>
          <w:sz w:val="24"/>
          <w:u w:val="single"/>
        </w:rPr>
        <w:t>方法步骤/方法流程/方法线程</w:t>
      </w:r>
      <w:r>
        <w:rPr>
          <w:rFonts w:hint="eastAsia" w:ascii="宋体" w:hAnsi="宋体" w:eastAsia="楷体" w:cs="宋体"/>
          <w:color w:val="FF0000"/>
          <w:sz w:val="24"/>
        </w:rPr>
        <w:t>，其描述方式为：执行主体+动作。</w:t>
      </w:r>
    </w:p>
    <w:p w14:paraId="097BA0F0">
      <w:pPr>
        <w:spacing w:line="360" w:lineRule="auto"/>
        <w:ind w:firstLine="480"/>
        <w:rPr>
          <w:rFonts w:ascii="宋体" w:hAnsi="宋体" w:eastAsia="楷体" w:cs="宋体"/>
          <w:bCs/>
          <w:sz w:val="24"/>
        </w:rPr>
      </w:pPr>
      <w:r>
        <w:rPr>
          <w:rFonts w:ascii="宋体" w:hAnsi="宋体" w:eastAsia="楷体" w:cs="宋体"/>
          <w:bCs/>
          <w:sz w:val="24"/>
        </w:rPr>
        <w:t>在采集发票图片信息数据后利用OCR图像识别技术结合卷积神经网络深度学习算法(CNN识别服务算法)﹑循环神经网络深度学习算法(RNN识别服务算法)以及时序分类算法(CTC识别服务算法)对发票图片信息数据进行识别读取以获得OCR图像识别结果,大大提高了发票图片信息识别读取的速度与效率,且优选地,所述OCR图像识别结果为结构化发票信息数据。</w:t>
      </w:r>
    </w:p>
    <w:p w14:paraId="18922AE2">
      <w:pPr>
        <w:spacing w:line="360" w:lineRule="auto"/>
        <w:ind w:firstLine="480"/>
        <w:rPr>
          <w:rFonts w:hint="eastAsia" w:ascii="宋体" w:hAnsi="宋体" w:eastAsia="楷体" w:cs="宋体"/>
          <w:bCs/>
          <w:sz w:val="24"/>
        </w:rPr>
      </w:pPr>
      <w:r>
        <w:rPr>
          <w:rFonts w:hint="eastAsia" w:ascii="宋体" w:hAnsi="宋体" w:eastAsia="楷体" w:cs="宋体"/>
          <w:bCs/>
          <w:sz w:val="24"/>
        </w:rPr>
        <w:t>模型输入：发票图片，模型输出参数：发票代码、发票代码、日期、金额、税额、税价合计、校验码。</w:t>
      </w:r>
    </w:p>
    <w:p w14:paraId="438E4AB0">
      <w:pPr>
        <w:spacing w:line="360" w:lineRule="auto"/>
        <w:ind w:firstLine="480"/>
        <w:rPr>
          <w:rFonts w:ascii="宋体" w:hAnsi="宋体" w:eastAsia="楷体" w:cs="宋体"/>
          <w:bCs/>
          <w:sz w:val="24"/>
        </w:rPr>
      </w:pPr>
      <w:r>
        <w:rPr>
          <w:rFonts w:ascii="宋体" w:hAnsi="宋体" w:eastAsia="楷体" w:cs="宋体"/>
          <w:bCs/>
          <w:sz w:val="24"/>
        </w:rPr>
        <w:t>下面详细介绍一下发票号码，发票代码，发票日期，发票校验码，发票不含税金额如何通过卷积神经网络训练出符合识别率要求的模型：</w:t>
      </w:r>
    </w:p>
    <w:p w14:paraId="20A55499">
      <w:pPr>
        <w:spacing w:line="360" w:lineRule="auto"/>
        <w:ind w:firstLine="480"/>
        <w:rPr>
          <w:rFonts w:ascii="宋体" w:hAnsi="宋体" w:eastAsia="楷体" w:cs="宋体"/>
          <w:bCs/>
          <w:sz w:val="24"/>
        </w:rPr>
      </w:pPr>
      <w:r>
        <w:rPr>
          <w:rFonts w:ascii="宋体" w:hAnsi="宋体" w:eastAsia="楷体" w:cs="宋体"/>
          <w:bCs/>
          <w:sz w:val="24"/>
        </w:rPr>
        <w:t>这里以发票代码为例，描述整个模型训练产生的流程。</w:t>
      </w:r>
    </w:p>
    <w:p w14:paraId="12BA352B">
      <w:pPr>
        <w:spacing w:line="360" w:lineRule="auto"/>
        <w:ind w:firstLine="480"/>
        <w:rPr>
          <w:rFonts w:ascii="宋体" w:hAnsi="宋体" w:eastAsia="楷体" w:cs="宋体"/>
          <w:bCs/>
          <w:sz w:val="24"/>
        </w:rPr>
      </w:pPr>
      <w:r>
        <w:rPr>
          <w:rFonts w:ascii="宋体" w:hAnsi="宋体" w:eastAsia="楷体" w:cs="宋体"/>
          <w:bCs/>
          <w:sz w:val="24"/>
        </w:rPr>
        <w:t>1.样本采集；收集大量的增值税发票影像,理论上讲，越多越好；</w:t>
      </w:r>
    </w:p>
    <w:p w14:paraId="4F83EE7B">
      <w:pPr>
        <w:spacing w:line="360" w:lineRule="auto"/>
        <w:ind w:firstLine="480"/>
        <w:rPr>
          <w:rFonts w:ascii="宋体" w:hAnsi="宋体" w:eastAsia="楷体" w:cs="宋体"/>
          <w:bCs/>
          <w:sz w:val="24"/>
        </w:rPr>
      </w:pPr>
      <w:r>
        <w:rPr>
          <w:rFonts w:ascii="宋体" w:hAnsi="宋体" w:eastAsia="楷体" w:cs="宋体"/>
          <w:bCs/>
          <w:sz w:val="24"/>
        </w:rPr>
        <w:t>2.样本要素区域采集：将发票中的发票代码部分的图片从发票影像中裁剪出来，保存至一个样本文件夹Daima，下面的Python伪代码展示了如何将发票代码从发票影像中截取出来并进行保存；</w:t>
      </w:r>
    </w:p>
    <w:p w14:paraId="733900C0">
      <w:pPr>
        <w:spacing w:line="360" w:lineRule="auto"/>
        <w:ind w:firstLine="480"/>
        <w:rPr>
          <w:rFonts w:ascii="宋体" w:hAnsi="宋体" w:eastAsia="楷体" w:cs="宋体"/>
          <w:bCs/>
          <w:sz w:val="24"/>
        </w:rPr>
      </w:pPr>
      <w:r>
        <w:rPr>
          <w:rFonts w:ascii="宋体" w:hAnsi="宋体" w:eastAsia="楷体" w:cs="宋体"/>
          <w:bCs/>
          <w:sz w:val="24"/>
        </w:rPr>
        <w:t>3.将发票代码拆分为0-9的单个数值的图片，每一个数值创建一个对应的文件夹来保存；由于组成发票代码每一个数值的字符字体和大小都相同，因此可以采用平均拆分的方式，将上述发票代码图片进行分拆保存，下面是将发票代码图片拆分成单个字符图片的Python伪代码：</w:t>
      </w:r>
    </w:p>
    <w:p w14:paraId="2AC12313">
      <w:pPr>
        <w:spacing w:line="360" w:lineRule="auto"/>
        <w:ind w:firstLine="480"/>
        <w:rPr>
          <w:rFonts w:hint="eastAsia" w:ascii="宋体" w:hAnsi="宋体" w:eastAsia="楷体" w:cs="宋体"/>
          <w:bCs/>
          <w:sz w:val="24"/>
        </w:rPr>
      </w:pPr>
      <w:r>
        <w:rPr>
          <w:rFonts w:ascii="宋体" w:hAnsi="宋体" w:eastAsia="楷体" w:cs="宋体"/>
          <w:bCs/>
          <w:sz w:val="24"/>
        </w:rPr>
        <w:t>图片拆分后，我们人工根据拆分出来的每一个图片将其分别归类到0-9对应的文件中</w:t>
      </w:r>
      <w:r>
        <w:rPr>
          <w:rFonts w:hint="eastAsia" w:ascii="宋体" w:hAnsi="宋体" w:eastAsia="楷体" w:cs="宋体"/>
          <w:bCs/>
          <w:sz w:val="24"/>
        </w:rPr>
        <w:t>。每个文件夹中保存的是每个拆分出来的与文件夹名称一致的图片；</w:t>
      </w:r>
    </w:p>
    <w:p w14:paraId="39EE433B">
      <w:pPr>
        <w:spacing w:line="360" w:lineRule="auto"/>
        <w:ind w:firstLine="480"/>
        <w:rPr>
          <w:rFonts w:ascii="宋体" w:hAnsi="宋体" w:eastAsia="楷体" w:cs="宋体"/>
          <w:bCs/>
          <w:sz w:val="24"/>
        </w:rPr>
      </w:pPr>
      <w:r>
        <w:rPr>
          <w:rFonts w:ascii="宋体" w:hAnsi="宋体" w:eastAsia="楷体" w:cs="宋体"/>
          <w:bCs/>
          <w:sz w:val="24"/>
        </w:rPr>
        <w:t>4.构造神经网络，训练生成模型文件；</w:t>
      </w:r>
    </w:p>
    <w:p w14:paraId="2C55111C">
      <w:pPr>
        <w:spacing w:line="360" w:lineRule="auto"/>
        <w:ind w:firstLine="480"/>
        <w:rPr>
          <w:rFonts w:ascii="宋体" w:hAnsi="宋体" w:eastAsia="楷体" w:cs="宋体"/>
          <w:bCs/>
          <w:sz w:val="24"/>
        </w:rPr>
      </w:pPr>
      <w:r>
        <w:rPr>
          <w:rFonts w:ascii="宋体" w:hAnsi="宋体" w:eastAsia="楷体" w:cs="宋体"/>
          <w:bCs/>
          <w:sz w:val="24"/>
        </w:rPr>
        <w:t>构造神经网络的步骤如下：</w:t>
      </w:r>
    </w:p>
    <w:p w14:paraId="55B7A744">
      <w:pPr>
        <w:spacing w:line="360" w:lineRule="auto"/>
        <w:ind w:firstLine="480"/>
        <w:rPr>
          <w:rFonts w:ascii="宋体" w:hAnsi="宋体" w:eastAsia="楷体" w:cs="宋体"/>
          <w:bCs/>
          <w:sz w:val="24"/>
        </w:rPr>
      </w:pPr>
      <w:r>
        <w:rPr>
          <w:rFonts w:ascii="宋体" w:hAnsi="宋体" w:eastAsia="楷体" w:cs="宋体"/>
          <w:bCs/>
          <w:sz w:val="24"/>
        </w:rPr>
        <w:t>a. 本发明使用Keras作为构造神经网络的框架；</w:t>
      </w:r>
    </w:p>
    <w:p w14:paraId="3530BE4C">
      <w:pPr>
        <w:spacing w:line="360" w:lineRule="auto"/>
        <w:ind w:firstLine="480"/>
        <w:rPr>
          <w:rFonts w:ascii="宋体" w:hAnsi="宋体" w:eastAsia="楷体" w:cs="宋体"/>
          <w:bCs/>
          <w:sz w:val="24"/>
        </w:rPr>
      </w:pPr>
      <w:r>
        <w:rPr>
          <w:rFonts w:ascii="宋体" w:hAnsi="宋体" w:eastAsia="楷体" w:cs="宋体"/>
          <w:bCs/>
          <w:sz w:val="24"/>
        </w:rPr>
        <w:t>b. 将前面提到的按单个字符拆分的图片逐个读出，并将其转换为二值化的灰度图；</w:t>
      </w:r>
    </w:p>
    <w:p w14:paraId="75EFCEA4">
      <w:pPr>
        <w:spacing w:line="360" w:lineRule="auto"/>
        <w:ind w:firstLine="480"/>
        <w:rPr>
          <w:rFonts w:ascii="宋体" w:hAnsi="宋体" w:eastAsia="楷体" w:cs="宋体"/>
          <w:bCs/>
          <w:sz w:val="24"/>
        </w:rPr>
      </w:pPr>
      <w:r>
        <w:rPr>
          <w:rFonts w:ascii="宋体" w:hAnsi="宋体" w:eastAsia="楷体" w:cs="宋体"/>
          <w:bCs/>
          <w:sz w:val="24"/>
        </w:rPr>
        <w:t>c. 创建一个与文件夹名称对应的标签数组，使其与二值化的数据对应；</w:t>
      </w:r>
    </w:p>
    <w:p w14:paraId="59752F47">
      <w:pPr>
        <w:spacing w:line="360" w:lineRule="auto"/>
        <w:ind w:firstLine="480"/>
        <w:rPr>
          <w:rFonts w:ascii="宋体" w:hAnsi="宋体" w:eastAsia="楷体" w:cs="宋体"/>
          <w:bCs/>
          <w:sz w:val="24"/>
        </w:rPr>
      </w:pPr>
      <w:r>
        <w:rPr>
          <w:rFonts w:ascii="宋体" w:hAnsi="宋体" w:eastAsia="楷体" w:cs="宋体"/>
          <w:bCs/>
          <w:sz w:val="24"/>
        </w:rPr>
        <w:t>d. 创建一个有三层的卷积神经网络，第一层网络映射上述二值化数列值，图像大小与拆分后的图像大小一致；</w:t>
      </w:r>
    </w:p>
    <w:p w14:paraId="039075DD">
      <w:pPr>
        <w:spacing w:line="360" w:lineRule="auto"/>
        <w:ind w:firstLine="480"/>
        <w:rPr>
          <w:rFonts w:ascii="宋体" w:hAnsi="宋体" w:eastAsia="楷体" w:cs="宋体"/>
          <w:bCs/>
          <w:sz w:val="24"/>
        </w:rPr>
      </w:pPr>
      <w:r>
        <w:rPr>
          <w:rFonts w:ascii="宋体" w:hAnsi="宋体" w:eastAsia="楷体" w:cs="宋体"/>
          <w:bCs/>
          <w:sz w:val="24"/>
        </w:rPr>
        <w:t>e. 创建一个具有最大化池的卷积层；</w:t>
      </w:r>
    </w:p>
    <w:p w14:paraId="2F4507BE">
      <w:pPr>
        <w:spacing w:line="360" w:lineRule="auto"/>
        <w:ind w:firstLine="480"/>
        <w:rPr>
          <w:rFonts w:ascii="宋体" w:hAnsi="宋体" w:eastAsia="楷体" w:cs="宋体"/>
          <w:bCs/>
          <w:sz w:val="24"/>
        </w:rPr>
      </w:pPr>
      <w:r>
        <w:rPr>
          <w:rFonts w:ascii="宋体" w:hAnsi="宋体" w:eastAsia="楷体" w:cs="宋体"/>
          <w:bCs/>
          <w:sz w:val="24"/>
        </w:rPr>
        <w:t>f. 创建一个含有500节点的隐藏层；</w:t>
      </w:r>
    </w:p>
    <w:p w14:paraId="1B575D07">
      <w:pPr>
        <w:spacing w:line="360" w:lineRule="auto"/>
        <w:ind w:firstLine="480"/>
        <w:rPr>
          <w:rFonts w:ascii="宋体" w:hAnsi="宋体" w:eastAsia="楷体" w:cs="宋体"/>
          <w:bCs/>
          <w:sz w:val="24"/>
        </w:rPr>
      </w:pPr>
      <w:r>
        <w:rPr>
          <w:rFonts w:ascii="宋体" w:hAnsi="宋体" w:eastAsia="楷体" w:cs="宋体"/>
          <w:bCs/>
          <w:sz w:val="24"/>
        </w:rPr>
        <w:t>g. 创建一个含有指定数量的输出层；如发票代码，输出层只包含0-9这十个字符，因此输出层的数量为10；</w:t>
      </w:r>
    </w:p>
    <w:p w14:paraId="321CC540">
      <w:pPr>
        <w:spacing w:line="360" w:lineRule="auto"/>
        <w:ind w:firstLine="480"/>
        <w:rPr>
          <w:rFonts w:ascii="宋体" w:hAnsi="宋体" w:eastAsia="楷体" w:cs="宋体"/>
          <w:bCs/>
          <w:sz w:val="24"/>
        </w:rPr>
      </w:pPr>
      <w:r>
        <w:rPr>
          <w:rFonts w:ascii="宋体" w:hAnsi="宋体" w:eastAsia="楷体" w:cs="宋体"/>
          <w:bCs/>
          <w:sz w:val="24"/>
        </w:rPr>
        <w:t>h. 使用Keras 模型框架进行训练；</w:t>
      </w:r>
    </w:p>
    <w:p w14:paraId="6A1E8892">
      <w:pPr>
        <w:spacing w:line="360" w:lineRule="auto"/>
        <w:ind w:firstLine="480"/>
        <w:rPr>
          <w:rFonts w:ascii="宋体" w:hAnsi="宋体" w:eastAsia="楷体" w:cs="宋体"/>
          <w:bCs/>
          <w:sz w:val="24"/>
        </w:rPr>
      </w:pPr>
      <w:r>
        <w:rPr>
          <w:rFonts w:ascii="宋体" w:hAnsi="宋体" w:eastAsia="楷体" w:cs="宋体"/>
          <w:bCs/>
          <w:sz w:val="24"/>
        </w:rPr>
        <w:t>i. 保存模型；</w:t>
      </w:r>
    </w:p>
    <w:p w14:paraId="3E1D4E5C">
      <w:pPr>
        <w:spacing w:line="360" w:lineRule="auto"/>
        <w:ind w:firstLine="480"/>
        <w:rPr>
          <w:rFonts w:ascii="宋体" w:hAnsi="宋体" w:eastAsia="楷体" w:cs="宋体"/>
          <w:bCs/>
          <w:sz w:val="24"/>
        </w:rPr>
      </w:pPr>
      <w:r>
        <w:rPr>
          <w:rFonts w:ascii="宋体" w:hAnsi="宋体" w:eastAsia="楷体" w:cs="宋体"/>
          <w:bCs/>
          <w:sz w:val="24"/>
        </w:rPr>
        <w:t>对所述OCR图像识别结果的发票</w:t>
      </w:r>
      <w:r>
        <w:rPr>
          <w:rFonts w:hint="eastAsia" w:ascii="宋体" w:hAnsi="宋体" w:eastAsia="楷体" w:cs="宋体"/>
          <w:bCs/>
          <w:sz w:val="24"/>
        </w:rPr>
        <w:t>结构化数据</w:t>
      </w:r>
      <w:r>
        <w:rPr>
          <w:rFonts w:ascii="宋体" w:hAnsi="宋体" w:eastAsia="楷体" w:cs="宋体"/>
          <w:bCs/>
          <w:sz w:val="24"/>
        </w:rPr>
        <w:t>进行鉴别具体为:基于发票代码和/或发票号码并结合</w:t>
      </w:r>
      <w:r>
        <w:rPr>
          <w:rFonts w:hint="eastAsia" w:ascii="宋体" w:hAnsi="宋体" w:eastAsia="楷体" w:cs="宋体"/>
          <w:bCs/>
          <w:sz w:val="24"/>
        </w:rPr>
        <w:t>已与税务局联通的电网管理平台财务发票共享中心的</w:t>
      </w:r>
      <w:r>
        <w:rPr>
          <w:rFonts w:ascii="宋体" w:hAnsi="宋体" w:eastAsia="楷体" w:cs="宋体"/>
          <w:bCs/>
          <w:sz w:val="24"/>
        </w:rPr>
        <w:t>发票类型判断规则对所述OCR图像识别结果的发票类型进行鉴别,因为OCR识别服务仅仅是对图片的文字信息进行读取而无法辨别发票的真伪,所以在获得OCR图像识别结果后发票类型鉴定模块首先获取发票代码和/或发票号码,然后根据税务机关的判断</w:t>
      </w:r>
      <w:r>
        <w:rPr>
          <w:rFonts w:hint="eastAsia" w:ascii="宋体" w:hAnsi="宋体" w:eastAsia="楷体" w:cs="宋体"/>
          <w:bCs/>
          <w:sz w:val="24"/>
        </w:rPr>
        <w:t>规则查验</w:t>
      </w:r>
      <w:r>
        <w:rPr>
          <w:rFonts w:ascii="宋体" w:hAnsi="宋体" w:eastAsia="楷体" w:cs="宋体"/>
          <w:bCs/>
          <w:sz w:val="24"/>
        </w:rPr>
        <w:t>发票的</w:t>
      </w:r>
      <w:r>
        <w:rPr>
          <w:rFonts w:hint="eastAsia" w:ascii="宋体" w:hAnsi="宋体" w:eastAsia="楷体" w:cs="宋体"/>
          <w:bCs/>
          <w:sz w:val="24"/>
        </w:rPr>
        <w:t>真伪后，返回查验结果。</w:t>
      </w:r>
    </w:p>
    <w:p w14:paraId="3409680F">
      <w:pPr>
        <w:spacing w:line="360" w:lineRule="auto"/>
      </w:pPr>
    </w:p>
    <w:p w14:paraId="6EB654EF">
      <w:pPr>
        <w:spacing w:line="360" w:lineRule="auto"/>
      </w:pPr>
      <w:r>
        <w:drawing>
          <wp:inline distT="0" distB="0" distL="114300" distR="114300">
            <wp:extent cx="5268595" cy="7218045"/>
            <wp:effectExtent l="0" t="0" r="4445" b="571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0"/>
                    <a:stretch>
                      <a:fillRect/>
                    </a:stretch>
                  </pic:blipFill>
                  <pic:spPr>
                    <a:xfrm>
                      <a:off x="0" y="0"/>
                      <a:ext cx="5268595" cy="7218045"/>
                    </a:xfrm>
                    <a:prstGeom prst="rect">
                      <a:avLst/>
                    </a:prstGeom>
                    <a:noFill/>
                    <a:ln>
                      <a:noFill/>
                    </a:ln>
                  </pic:spPr>
                </pic:pic>
              </a:graphicData>
            </a:graphic>
          </wp:inline>
        </w:drawing>
      </w:r>
    </w:p>
    <w:p w14:paraId="57EF9FAA">
      <w:pPr>
        <w:spacing w:line="360" w:lineRule="auto"/>
        <w:rPr>
          <w:rFonts w:hint="eastAsia" w:ascii="楷体" w:hAnsi="楷体" w:eastAsia="楷体" w:cs="楷体"/>
          <w:bCs/>
          <w:sz w:val="24"/>
        </w:rPr>
      </w:pPr>
      <w:r>
        <w:drawing>
          <wp:inline distT="0" distB="0" distL="114300" distR="114300">
            <wp:extent cx="5263515" cy="2444750"/>
            <wp:effectExtent l="0" t="0" r="9525" b="889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1"/>
                    <a:stretch>
                      <a:fillRect/>
                    </a:stretch>
                  </pic:blipFill>
                  <pic:spPr>
                    <a:xfrm>
                      <a:off x="0" y="0"/>
                      <a:ext cx="5263515" cy="2444750"/>
                    </a:xfrm>
                    <a:prstGeom prst="rect">
                      <a:avLst/>
                    </a:prstGeom>
                    <a:noFill/>
                    <a:ln>
                      <a:noFill/>
                    </a:ln>
                  </pic:spPr>
                </pic:pic>
              </a:graphicData>
            </a:graphic>
          </wp:inline>
        </w:drawing>
      </w:r>
    </w:p>
    <w:p w14:paraId="11569040">
      <w:pPr>
        <w:spacing w:line="360" w:lineRule="auto"/>
        <w:ind w:firstLine="480" w:firstLineChars="200"/>
        <w:rPr>
          <w:rFonts w:hint="eastAsia" w:ascii="楷体" w:hAnsi="楷体" w:eastAsia="楷体" w:cs="楷体"/>
          <w:bCs/>
          <w:sz w:val="24"/>
        </w:rPr>
      </w:pPr>
      <w:r>
        <w:rPr>
          <w:rFonts w:hint="eastAsia" w:ascii="楷体" w:hAnsi="楷体" w:eastAsia="楷体" w:cs="楷体"/>
          <w:bCs/>
          <w:sz w:val="24"/>
        </w:rPr>
        <w:t>首先是输入高清晰度的发票图像文件，将扫描发票的使用最高的分辨率，保存图片时不要进行压缩，尽量采用电子发票原文件。对于人眼来说，清晰度模糊一点并不影响阅读。但是对算法来说，高清晰高质量图片处理起来会容易的多。然后是图片预处理，对文字区域检测时可采用高斯滤波，文字识别时候采用锐化处理。另外一个细节就是识别左上角的二维码，二维码中包含发票里面大部分有用信息，并且识别的结果基本上无误差。因为二维码模糊，残缺等问题，直接采用zxing进行识别，大约仅有40%的识别率。通过分析zxing源码，修改关键点定位算法，轻微残缺补齐等，最后整体能达到60%左右的识别率。最后就是文字区域的二值化，当二值化效果比较理想时，采用tesseract能够达到一个非常好的效果。文字检测可采用CTPN算法，文字识别可采用ResNet+LSTM+CTC，能够达到一个非常高的准确率。</w:t>
      </w:r>
    </w:p>
    <w:p w14:paraId="669FEBFA">
      <w:pPr>
        <w:spacing w:line="360" w:lineRule="auto"/>
        <w:ind w:firstLine="480" w:firstLineChars="200"/>
        <w:rPr>
          <w:rFonts w:hint="eastAsia" w:ascii="楷体" w:hAnsi="楷体" w:eastAsia="楷体" w:cs="楷体"/>
          <w:bCs/>
          <w:sz w:val="24"/>
        </w:rPr>
      </w:pPr>
      <w:r>
        <w:rPr>
          <w:rFonts w:hint="eastAsia" w:ascii="楷体" w:hAnsi="楷体" w:eastAsia="楷体" w:cs="楷体"/>
          <w:bCs/>
          <w:sz w:val="24"/>
        </w:rPr>
        <w:t>1.多任务目标检测</w:t>
      </w:r>
    </w:p>
    <w:p w14:paraId="2A269F46">
      <w:pPr>
        <w:spacing w:line="360" w:lineRule="auto"/>
        <w:ind w:firstLine="480" w:firstLineChars="200"/>
        <w:rPr>
          <w:rFonts w:hint="eastAsia" w:ascii="楷体" w:hAnsi="楷体" w:eastAsia="楷体" w:cs="楷体"/>
          <w:bCs/>
          <w:sz w:val="24"/>
        </w:rPr>
      </w:pPr>
      <w:r>
        <w:rPr>
          <w:rFonts w:hint="eastAsia" w:ascii="楷体" w:hAnsi="楷体" w:eastAsia="楷体" w:cs="楷体"/>
          <w:bCs/>
          <w:sz w:val="24"/>
        </w:rPr>
        <w:t>多任务目标检测技术基于深度学习技术多任务(MultiTask)网络的多任务目标检测，包含图像主方向检测、表格线图章检测以及文字行区域检测，在杂乱无序、千奇百怪的复杂场景中准确定位文字，大大提升识别效率。</w:t>
      </w:r>
    </w:p>
    <w:p w14:paraId="65C46B75">
      <w:pPr>
        <w:spacing w:line="360" w:lineRule="auto"/>
        <w:ind w:firstLine="480" w:firstLineChars="200"/>
        <w:rPr>
          <w:rFonts w:hint="eastAsia" w:ascii="楷体" w:hAnsi="楷体" w:eastAsia="楷体" w:cs="楷体"/>
          <w:bCs/>
          <w:sz w:val="24"/>
        </w:rPr>
      </w:pPr>
      <w:r>
        <w:rPr>
          <w:rFonts w:hint="eastAsia" w:ascii="楷体" w:hAnsi="楷体" w:eastAsia="楷体" w:cs="楷体"/>
          <w:bCs/>
          <w:sz w:val="24"/>
        </w:rPr>
        <w:t>利用深度学习技术多任务(MultiTask)网络完成各种目标检测工作，如角度检测、直线检测、图章检测、文字检测等。角度检测和文本检测是文本识别的前提条件，要解决的问题是如何在杂乱无序、千奇百怪的复杂场景中准确低定位出角度、直线、图章、文字等区域。由于输入的图像往往带有一定角度，有的甚至可能是90度以上倾斜或者倒立图像，我们需要检测出图像的主方向角度，以便对图像进行校正。更重要的是图像中的文字行区域，需要按照文本行检测出每一块的外接四边形(quad)。</w:t>
      </w:r>
    </w:p>
    <w:p w14:paraId="52CBC53D">
      <w:pPr>
        <w:spacing w:line="360" w:lineRule="auto"/>
        <w:ind w:firstLine="480" w:firstLineChars="200"/>
        <w:rPr>
          <w:rFonts w:hint="eastAsia" w:ascii="楷体" w:hAnsi="楷体" w:eastAsia="楷体" w:cs="楷体"/>
          <w:bCs/>
          <w:sz w:val="24"/>
        </w:rPr>
      </w:pPr>
      <w:r>
        <w:rPr>
          <w:rFonts w:hint="eastAsia" w:ascii="楷体" w:hAnsi="楷体" w:eastAsia="楷体" w:cs="楷体"/>
          <w:bCs/>
          <w:sz w:val="24"/>
        </w:rPr>
        <w:t>另外由于我们处理对象主要针对金融领域，图像中有可能存在表格线，图章等等，都需要从图像检测出来。要完成上述四项检测，一种常用的方法是四个功能模块分开，各自采用不同的网络进行定位，但这样会导致网络规模庞大、存储模型巨大，串行效率极低，且检测网络之前的卷积层存在大量重复的卷积操作。针对检测的目标任务，采用多任务(MultiTask)的FCN检测网络，将角度检测、直线检测、图章检测、文字检测融合在同一个检测网络中，从最后输出的特征图中预测出需要检测结果。</w:t>
      </w:r>
    </w:p>
    <w:p w14:paraId="48C2F193">
      <w:pPr>
        <w:spacing w:line="360" w:lineRule="auto"/>
        <w:ind w:firstLine="480" w:firstLineChars="200"/>
        <w:rPr>
          <w:rFonts w:hint="eastAsia" w:ascii="楷体" w:hAnsi="楷体" w:eastAsia="楷体" w:cs="楷体"/>
          <w:bCs/>
          <w:sz w:val="24"/>
        </w:rPr>
      </w:pPr>
      <w:r>
        <w:rPr>
          <w:rFonts w:hint="eastAsia" w:ascii="楷体" w:hAnsi="楷体" w:eastAsia="楷体" w:cs="楷体"/>
          <w:bCs/>
          <w:sz w:val="24"/>
        </w:rPr>
        <w:t>基于FCN的多任务检测网络采用一个U型网络设计，先通过一个5层的卷积层，进行图像的特征提取，然后上采样并融合上一层的卷积结果，最后得到一个1/2图像大小的128个特征图，然后根据不同的目标输出不同的预测scoresmap，最后根据scoresmap分析出对应的检测目标。</w:t>
      </w:r>
    </w:p>
    <w:p w14:paraId="51144D52">
      <w:pPr>
        <w:spacing w:line="360" w:lineRule="auto"/>
        <w:ind w:firstLine="480" w:firstLineChars="200"/>
        <w:rPr>
          <w:rFonts w:hint="eastAsia" w:ascii="楷体" w:hAnsi="楷体" w:eastAsia="楷体" w:cs="楷体"/>
          <w:bCs/>
          <w:sz w:val="24"/>
        </w:rPr>
      </w:pPr>
      <w:r>
        <w:rPr>
          <w:rFonts w:hint="eastAsia" w:ascii="楷体" w:hAnsi="楷体" w:eastAsia="楷体" w:cs="楷体"/>
          <w:bCs/>
          <w:sz w:val="24"/>
        </w:rPr>
        <w:t>2.整行文字识别</w:t>
      </w:r>
    </w:p>
    <w:p w14:paraId="2232B6C9">
      <w:pPr>
        <w:spacing w:line="360" w:lineRule="auto"/>
        <w:ind w:firstLine="480" w:firstLineChars="200"/>
        <w:rPr>
          <w:rFonts w:hint="eastAsia" w:ascii="楷体" w:hAnsi="楷体" w:eastAsia="楷体" w:cs="楷体"/>
          <w:bCs/>
          <w:sz w:val="24"/>
        </w:rPr>
      </w:pPr>
      <w:r>
        <w:rPr>
          <w:rFonts w:hint="eastAsia" w:ascii="楷体" w:hAnsi="楷体" w:eastAsia="楷体" w:cs="楷体"/>
          <w:bCs/>
          <w:sz w:val="24"/>
        </w:rPr>
        <w:t>整行文字识别技术利用CNN+LSTM+Attention+CTC网络实现端到端的整行文字识别技术，通过序列识别避免了传统算法中难度极高的单字符切分与单字符识别，将注意力机制引入到OCR识别模块，既保证精度，又降低时耗。</w:t>
      </w:r>
    </w:p>
    <w:p w14:paraId="57459C97">
      <w:pPr>
        <w:spacing w:line="360" w:lineRule="auto"/>
        <w:ind w:firstLine="480" w:firstLineChars="200"/>
        <w:rPr>
          <w:rFonts w:hint="eastAsia" w:ascii="楷体" w:hAnsi="楷体" w:eastAsia="楷体" w:cs="楷体"/>
          <w:bCs/>
          <w:sz w:val="24"/>
        </w:rPr>
      </w:pPr>
      <w:r>
        <w:rPr>
          <w:rFonts w:hint="eastAsia" w:ascii="楷体" w:hAnsi="楷体" w:eastAsia="楷体" w:cs="楷体"/>
          <w:bCs/>
          <w:sz w:val="24"/>
        </w:rPr>
        <w:t>文字图像是按照一定的规则和顺序书写的，OCR识别与语音识别存在共性，都是类似的序列识别问题，所以OCR可以建模为时序依赖的词汇或者短语识别问题。</w:t>
      </w:r>
    </w:p>
    <w:p w14:paraId="001D9DC9">
      <w:pPr>
        <w:spacing w:line="360" w:lineRule="auto"/>
        <w:ind w:firstLine="480" w:firstLineChars="200"/>
        <w:rPr>
          <w:rFonts w:hint="eastAsia" w:ascii="楷体" w:hAnsi="楷体" w:eastAsia="楷体" w:cs="楷体"/>
          <w:bCs/>
          <w:sz w:val="24"/>
        </w:rPr>
      </w:pPr>
      <w:r>
        <w:rPr>
          <w:rFonts w:hint="eastAsia" w:ascii="楷体" w:hAnsi="楷体" w:eastAsia="楷体" w:cs="楷体"/>
          <w:bCs/>
          <w:sz w:val="24"/>
        </w:rPr>
        <w:t>（1）基于CRNN的整行识别技术(CNN+LSTM+CTC)。基于联结时序分类(ConnectionistTemporal Classification,CTC)训练RNN的算法，在语音识别领域显著超过传统语音识别算法，尝试把CTC损失函数借鉴到OCR识别中，CRNN就是其中代表性算法，CRNN算法输入100*32归一化高度的词条图像，基于7层CNN提取特征图，把特征图按列切分（Map-to-Sequence），每一列的512维特征，输入到两层各256单元的双向LSTM进行分类。在训练过程中，通过CTC损失函数的指导，实现字符位置与类标的近似软对齐。CRNN借鉴了语音识别中的LSTM+CTC的建模方法，不同点是输入进LSTM的特征，从语音领域的声学特征（MFCC等），替换为CNN网络提取的图像特征向量。在CNN一侧，在卷积层采取类似VGG网络的结构，减少CNN卷积核数量的同时增加卷积层深度，既保证精度，又降低时耗，同时加入BatchNorm机制。在RNN一侧，针对LSTM有对语料和图像背景过拟合的倾向，在双向LSTM单元层实现了Dropout策略。在训练技巧一侧，针对CTCloss对初始化敏感和收敛速度慢的问题，采用样本由易到难、分阶段训练的策略。在测试阶段，针对字符拉伸导致识别率降低的问题，保持输入图像尺寸比例，根据卷积特征图的尺寸动态决定LSTM时序长度。</w:t>
      </w:r>
    </w:p>
    <w:p w14:paraId="66EB2167">
      <w:pPr>
        <w:spacing w:line="360" w:lineRule="auto"/>
        <w:ind w:firstLine="480" w:firstLineChars="200"/>
        <w:rPr>
          <w:rFonts w:hint="eastAsia" w:ascii="楷体" w:hAnsi="楷体" w:eastAsia="楷体" w:cs="楷体"/>
          <w:bCs/>
          <w:sz w:val="24"/>
        </w:rPr>
      </w:pPr>
      <w:r>
        <w:rPr>
          <w:rFonts w:hint="eastAsia" w:ascii="楷体" w:hAnsi="楷体" w:eastAsia="楷体" w:cs="楷体"/>
          <w:bCs/>
          <w:sz w:val="24"/>
        </w:rPr>
        <w:t>（2）联合CTC和Attention机制的整行识别技术(CNN+LSTM+Attention+CTC)。近两年来，注意力机制在图像描述、语音识别、自然语言处理等领域大放异彩，我们也尝试把此机制引入OCR识别模块。注意力机制能够聚焦词条图像特征向量的ROI，在当前时刻实现特征向量与原图字符区域的近似对齐，提升深度网络中的Encoder-Decoder模型的聚焦度与准确率。相比于CNN+LSTM+CTC模型，注意力模型更显式的把当前时刻待分类字符与原图位置对齐，同时也更显式的利用前一时刻语料依赖。对比CNN+LSTM+CTC模型，注意力模型配合自回归连接，以法语街景路牌数据集为例，不仅精度提升6%，收敛速度也提升了2倍。在票据识别业务场景的端到端平均准确率已经达到了95%以上。</w:t>
      </w:r>
    </w:p>
    <w:p w14:paraId="756527C7">
      <w:pPr>
        <w:spacing w:line="360" w:lineRule="auto"/>
        <w:ind w:firstLine="480" w:firstLineChars="200"/>
        <w:rPr>
          <w:rFonts w:hint="eastAsia" w:ascii="楷体" w:hAnsi="楷体" w:eastAsia="楷体" w:cs="楷体"/>
          <w:bCs/>
          <w:sz w:val="24"/>
        </w:rPr>
      </w:pPr>
      <w:r>
        <w:rPr>
          <w:rFonts w:hint="eastAsia" w:ascii="楷体" w:hAnsi="楷体" w:eastAsia="楷体" w:cs="楷体"/>
          <w:bCs/>
          <w:sz w:val="24"/>
        </w:rPr>
        <w:t>3.版式自动分类</w:t>
      </w:r>
    </w:p>
    <w:p w14:paraId="6062BA7F">
      <w:pPr>
        <w:spacing w:line="360" w:lineRule="auto"/>
        <w:ind w:firstLine="480" w:firstLineChars="200"/>
        <w:rPr>
          <w:rFonts w:hint="eastAsia" w:ascii="楷体" w:hAnsi="楷体" w:eastAsia="楷体" w:cs="楷体"/>
          <w:bCs/>
          <w:sz w:val="24"/>
        </w:rPr>
      </w:pPr>
      <w:r>
        <w:rPr>
          <w:rFonts w:hint="eastAsia" w:ascii="楷体" w:hAnsi="楷体" w:eastAsia="楷体" w:cs="楷体"/>
          <w:bCs/>
          <w:sz w:val="24"/>
        </w:rPr>
        <w:t>版式自动分类（匹配）利用提取的直线分析表格结构，通过模板配置工具配置模板，然后利用模板信息对输入图像进行匹配打分，提取最大的匹配分数为分类结果，在模板的指导下调用设定的识别核心，完成对应内容的二次识别。</w:t>
      </w:r>
    </w:p>
    <w:p w14:paraId="15D708EC">
      <w:pPr>
        <w:spacing w:line="360" w:lineRule="auto"/>
        <w:ind w:firstLine="480" w:firstLineChars="200"/>
        <w:rPr>
          <w:rFonts w:hint="eastAsia" w:ascii="楷体" w:hAnsi="楷体" w:eastAsia="楷体" w:cs="楷体"/>
          <w:bCs/>
          <w:sz w:val="24"/>
        </w:rPr>
      </w:pPr>
      <w:r>
        <w:rPr>
          <w:rFonts w:hint="eastAsia" w:ascii="楷体" w:hAnsi="楷体" w:eastAsia="楷体" w:cs="楷体"/>
          <w:bCs/>
          <w:sz w:val="24"/>
        </w:rPr>
        <w:t>检测识别后需要完成语义后处理，后处理一是去除整行识别可信度低的文本行，因为这些通常是噪声；二是采用NLP相关技术来修正识别结果中的一些常规错误，提高识别率。之后要根据表格分析和文本结果进行版式分类，对于已经分类的版式，按照模板文件中定义，输出对应的键值对，最后输出到xml文件中,进行结构化输出。由于OCR识别的图像有很多种版式，在许多应用场景中，要求不但要定位识别出图像中的文字，还需要将图像分类到之前定义过的板式中，便于给图像归类，识别结果入库。在板式分类模块中，本项目团队提出了一套创新算法，通过模板配置工具配置模板，然后利用模板信息对输入图像进行匹配打分，提取最大的匹配分数，当分数大于预定值时，则匹配成功，否则匹配不成功。</w:t>
      </w:r>
    </w:p>
    <w:p w14:paraId="5F70F308">
      <w:pPr>
        <w:spacing w:line="360" w:lineRule="auto"/>
        <w:ind w:firstLine="480"/>
        <w:rPr>
          <w:rFonts w:hint="eastAsia" w:ascii="楷体" w:hAnsi="楷体" w:eastAsia="楷体" w:cs="楷体"/>
          <w:sz w:val="24"/>
        </w:rPr>
      </w:pPr>
      <w:r>
        <w:rPr>
          <w:rFonts w:hint="eastAsia" w:ascii="楷体" w:hAnsi="楷体" w:eastAsia="楷体" w:cs="楷体"/>
          <w:bCs/>
          <w:sz w:val="24"/>
        </w:rPr>
        <w:t>版式分类（匹配）第一步是利用提取的直线，分析出表格的各个格子（Cell），分析出表格的结构，并且将文字行纳入该Cell；第二步，匹配表格结构，行列数量，表格cell的相对尺寸，Cell占的行数和列数，特别是需要匹配表格格子Cell内部关键字；第三步，计算线匹配分数、计算表格线匹配分数，计算关键字文本匹配分数，然后加权相加，得到最终的匹配分数。计算所有的模板与识别结果的匹配分数，去匹配分数最大者为表格分类结果，然后在模板的指导下调用设定的多种识别核心，完成对应内容的二次识别。第一次识别采用的是通用识别引擎，二次识别采用专用引擎识别。通用识别引擎一般是针对印刷体的通用识别，包括数字、字母、汉字、符号等所有字符集，这样的字符集容量有20000以上。为了提升某些条目的识别率，特别是手写条目的识别率，可以针对手写数字、手写英文、手写大写金额等常用模式训练专门的识别引擎。由于排除了其他非字符的干扰，相对于通用识别引擎，专用识别引擎对于小字符集文字的识别速度更快、精度更高。</w:t>
      </w:r>
    </w:p>
    <w:p w14:paraId="6414BB9D">
      <w:pPr>
        <w:spacing w:line="360" w:lineRule="auto"/>
        <w:ind w:firstLine="482" w:firstLineChars="200"/>
        <w:rPr>
          <w:rFonts w:hint="eastAsia" w:ascii="宋体" w:hAnsi="宋体" w:eastAsia="楷体" w:cs="宋体"/>
          <w:b/>
          <w:bCs/>
          <w:sz w:val="24"/>
        </w:rPr>
      </w:pPr>
      <w:r>
        <w:rPr>
          <w:rFonts w:hint="eastAsia" w:ascii="宋体" w:hAnsi="宋体" w:eastAsia="楷体" w:cs="宋体"/>
          <w:b/>
          <w:bCs/>
          <w:sz w:val="24"/>
        </w:rPr>
        <w:t>五、有益效果</w:t>
      </w:r>
    </w:p>
    <w:p w14:paraId="660B660D">
      <w:pPr>
        <w:spacing w:line="360" w:lineRule="auto"/>
        <w:ind w:firstLine="480" w:firstLineChars="200"/>
        <w:rPr>
          <w:rFonts w:hint="eastAsia" w:ascii="宋体" w:hAnsi="宋体" w:eastAsia="楷体" w:cs="宋体"/>
          <w:color w:val="FF0000"/>
          <w:sz w:val="24"/>
        </w:rPr>
      </w:pPr>
      <w:r>
        <w:rPr>
          <w:rFonts w:hint="eastAsia" w:ascii="宋体" w:hAnsi="宋体" w:eastAsia="楷体" w:cs="宋体"/>
          <w:color w:val="FF0000"/>
          <w:sz w:val="24"/>
        </w:rPr>
        <w:t>按照</w:t>
      </w:r>
      <w:r>
        <w:rPr>
          <w:rFonts w:hint="eastAsia" w:ascii="宋体" w:hAnsi="宋体" w:eastAsia="楷体" w:cs="宋体"/>
          <w:color w:val="FF0000"/>
          <w:sz w:val="24"/>
          <w:u w:val="single"/>
        </w:rPr>
        <w:t>步骤/流程/线程</w:t>
      </w:r>
      <w:r>
        <w:rPr>
          <w:rFonts w:hint="eastAsia" w:ascii="宋体" w:hAnsi="宋体" w:eastAsia="楷体" w:cs="宋体"/>
          <w:color w:val="FF0000"/>
          <w:sz w:val="24"/>
        </w:rPr>
        <w:t>的先后顺序、以及从整体到局部的顺序把技术方案的构成阐述清楚。</w:t>
      </w:r>
    </w:p>
    <w:p w14:paraId="55040749">
      <w:pPr>
        <w:spacing w:line="360" w:lineRule="auto"/>
        <w:ind w:firstLine="480"/>
        <w:rPr>
          <w:rFonts w:ascii="宋体" w:hAnsi="宋体" w:eastAsia="楷体" w:cs="宋体"/>
          <w:bCs/>
          <w:sz w:val="24"/>
        </w:rPr>
      </w:pPr>
      <w:r>
        <w:rPr>
          <w:rFonts w:hint="eastAsia" w:ascii="宋体" w:hAnsi="宋体" w:eastAsia="楷体" w:cs="宋体"/>
          <w:bCs/>
          <w:sz w:val="24"/>
        </w:rPr>
        <w:t>本发明通过实现发票信息智能识别的组件，并在电网管理平台合同支付模块进行应用，在发票信息录入时不再需要从人工将发票一张纸地登记到系统。在供应商/经办人在编制支付申请单时，可以在使用手机拍照或用电脑上传图片，就可批量完成对多张发票的登记,整个发票信息登记过程只要3到5秒的时间,极大的减少手动录入时间，提升发票信息录入的效率；同时，也能够尽量确保发票信息准确、规范、完整。在财务审核时，财务人员可以无需逐张人工查验发票的真，有效节省企业财务人员检验发票真伪的时间,综合提升发票归集的效率,减少财务风险,节省了企业运营成本。帮助员工从日渐增多的重复性事务工作中解脱出来，回归企业的价值创造活动中来。</w:t>
      </w:r>
    </w:p>
    <w:p w14:paraId="15023B08">
      <w:pPr>
        <w:spacing w:line="360" w:lineRule="auto"/>
        <w:ind w:firstLine="560"/>
        <w:jc w:val="left"/>
        <w:rPr>
          <w:rFonts w:hint="eastAsia" w:ascii="仿宋" w:hAnsi="仿宋" w:eastAsia="仿宋" w:cs="等线"/>
          <w:sz w:val="28"/>
          <w:szCs w:val="28"/>
        </w:rPr>
      </w:pPr>
    </w:p>
    <w:p w14:paraId="6EE13D2A"/>
    <w:sectPr>
      <w:headerReference r:id="rId5" w:type="default"/>
      <w:footerReference r:id="rId6" w:type="default"/>
      <w:pgSz w:w="11906" w:h="16838"/>
      <w:pgMar w:top="1191" w:right="991" w:bottom="794" w:left="1418" w:header="567" w:footer="397"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22DD0">
    <w:pPr>
      <w:pStyle w:val="6"/>
      <w:ind w:left="-141" w:leftChars="-67" w:right="-283" w:rightChars="-135"/>
    </w:pPr>
    <w:r>
      <w:rPr>
        <w:rFonts w:hint="eastAsia" w:ascii="宋体" w:hAnsi="宋体"/>
      </w:rPr>
      <w:t>地址：北京市丰台区西四环南路46号国润商务大厦A座1702室（100161）电话：53657558  邮箱：p</w:t>
    </w:r>
    <w:r>
      <w:rPr>
        <w:rFonts w:ascii="宋体" w:hAnsi="宋体"/>
      </w:rPr>
      <w:t>atent@fenghaoip.com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54FA5">
    <w:pPr>
      <w:pStyle w:val="7"/>
      <w:jc w:val="left"/>
    </w:pPr>
    <w:r>
      <w:rPr>
        <w:rFonts w:hint="eastAsia"/>
      </w:rPr>
      <w:drawing>
        <wp:inline distT="0" distB="0" distL="114300" distR="114300">
          <wp:extent cx="4098290" cy="360045"/>
          <wp:effectExtent l="0" t="0" r="1270" b="5715"/>
          <wp:docPr id="4" name="图片 8" descr="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gs"/>
                  <pic:cNvPicPr>
                    <a:picLocks noChangeAspect="1"/>
                  </pic:cNvPicPr>
                </pic:nvPicPr>
                <pic:blipFill>
                  <a:blip r:embed="rId1"/>
                  <a:stretch>
                    <a:fillRect/>
                  </a:stretch>
                </pic:blipFill>
                <pic:spPr>
                  <a:xfrm>
                    <a:off x="0" y="0"/>
                    <a:ext cx="4098290" cy="36004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5119FC"/>
    <w:multiLevelType w:val="singleLevel"/>
    <w:tmpl w:val="A45119FC"/>
    <w:lvl w:ilvl="0" w:tentative="0">
      <w:start w:val="1"/>
      <w:numFmt w:val="decimal"/>
      <w:lvlText w:val="%1."/>
      <w:lvlJc w:val="left"/>
      <w:pPr>
        <w:ind w:left="425" w:hanging="425"/>
      </w:pPr>
      <w:rPr>
        <w:rFonts w:hint="default"/>
      </w:rPr>
    </w:lvl>
  </w:abstractNum>
  <w:abstractNum w:abstractNumId="1">
    <w:nsid w:val="E97DD125"/>
    <w:multiLevelType w:val="singleLevel"/>
    <w:tmpl w:val="E97DD125"/>
    <w:lvl w:ilvl="0" w:tentative="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0NDZkN2YwNzBlNGRkMTQxYWQzZmMwODkzMmFkNmMifQ=="/>
  </w:docVars>
  <w:rsids>
    <w:rsidRoot w:val="00353546"/>
    <w:rsid w:val="00007E5C"/>
    <w:rsid w:val="0001387C"/>
    <w:rsid w:val="00021D78"/>
    <w:rsid w:val="000276D3"/>
    <w:rsid w:val="00031E0E"/>
    <w:rsid w:val="00072329"/>
    <w:rsid w:val="00080418"/>
    <w:rsid w:val="000846AF"/>
    <w:rsid w:val="000B6B42"/>
    <w:rsid w:val="000D4A75"/>
    <w:rsid w:val="00107070"/>
    <w:rsid w:val="00176DC9"/>
    <w:rsid w:val="00182DC7"/>
    <w:rsid w:val="00187E99"/>
    <w:rsid w:val="001A173F"/>
    <w:rsid w:val="001A3467"/>
    <w:rsid w:val="001B6481"/>
    <w:rsid w:val="001D2D9D"/>
    <w:rsid w:val="001D5409"/>
    <w:rsid w:val="001E355E"/>
    <w:rsid w:val="001F17AE"/>
    <w:rsid w:val="002056DA"/>
    <w:rsid w:val="00243FCE"/>
    <w:rsid w:val="002451FE"/>
    <w:rsid w:val="00252631"/>
    <w:rsid w:val="00264E8D"/>
    <w:rsid w:val="00277C86"/>
    <w:rsid w:val="00286E44"/>
    <w:rsid w:val="002D4649"/>
    <w:rsid w:val="002E23D6"/>
    <w:rsid w:val="002E7B2D"/>
    <w:rsid w:val="00317F72"/>
    <w:rsid w:val="00353546"/>
    <w:rsid w:val="00354C66"/>
    <w:rsid w:val="00362B8C"/>
    <w:rsid w:val="0036661C"/>
    <w:rsid w:val="003827F1"/>
    <w:rsid w:val="003840D6"/>
    <w:rsid w:val="0039275E"/>
    <w:rsid w:val="003C1EBE"/>
    <w:rsid w:val="003C4213"/>
    <w:rsid w:val="003D07D6"/>
    <w:rsid w:val="00411E9B"/>
    <w:rsid w:val="00422678"/>
    <w:rsid w:val="0044092E"/>
    <w:rsid w:val="00451529"/>
    <w:rsid w:val="004D15BF"/>
    <w:rsid w:val="004E195C"/>
    <w:rsid w:val="00501DC2"/>
    <w:rsid w:val="00513CE1"/>
    <w:rsid w:val="00516F0B"/>
    <w:rsid w:val="00527BA6"/>
    <w:rsid w:val="00533D4C"/>
    <w:rsid w:val="00553491"/>
    <w:rsid w:val="0057273E"/>
    <w:rsid w:val="005926CE"/>
    <w:rsid w:val="00595433"/>
    <w:rsid w:val="005B3C28"/>
    <w:rsid w:val="005B6182"/>
    <w:rsid w:val="005B649A"/>
    <w:rsid w:val="005B7FED"/>
    <w:rsid w:val="005C22D6"/>
    <w:rsid w:val="005C452A"/>
    <w:rsid w:val="005C6F27"/>
    <w:rsid w:val="005E2B4D"/>
    <w:rsid w:val="005E6F0F"/>
    <w:rsid w:val="005F5C49"/>
    <w:rsid w:val="00605A93"/>
    <w:rsid w:val="006403CD"/>
    <w:rsid w:val="00644E06"/>
    <w:rsid w:val="00647F99"/>
    <w:rsid w:val="006759F7"/>
    <w:rsid w:val="006B0105"/>
    <w:rsid w:val="006B58F4"/>
    <w:rsid w:val="006B6CFF"/>
    <w:rsid w:val="006C7402"/>
    <w:rsid w:val="00706424"/>
    <w:rsid w:val="0071468D"/>
    <w:rsid w:val="00717E21"/>
    <w:rsid w:val="00723701"/>
    <w:rsid w:val="00726EF3"/>
    <w:rsid w:val="007651A8"/>
    <w:rsid w:val="00771AE7"/>
    <w:rsid w:val="0077344D"/>
    <w:rsid w:val="00773C3B"/>
    <w:rsid w:val="00791D21"/>
    <w:rsid w:val="007A1ACE"/>
    <w:rsid w:val="007B5B7A"/>
    <w:rsid w:val="007B64C8"/>
    <w:rsid w:val="007D17E5"/>
    <w:rsid w:val="007D1EA1"/>
    <w:rsid w:val="007D2D7C"/>
    <w:rsid w:val="007D5E1C"/>
    <w:rsid w:val="008073D0"/>
    <w:rsid w:val="00840C6B"/>
    <w:rsid w:val="008477B4"/>
    <w:rsid w:val="0086118D"/>
    <w:rsid w:val="00880F53"/>
    <w:rsid w:val="00881684"/>
    <w:rsid w:val="008977CA"/>
    <w:rsid w:val="008C1CAA"/>
    <w:rsid w:val="008D0F62"/>
    <w:rsid w:val="008D5D5D"/>
    <w:rsid w:val="008E212A"/>
    <w:rsid w:val="008F786C"/>
    <w:rsid w:val="00917291"/>
    <w:rsid w:val="0092642D"/>
    <w:rsid w:val="00962583"/>
    <w:rsid w:val="00963CD3"/>
    <w:rsid w:val="00965B7C"/>
    <w:rsid w:val="00967665"/>
    <w:rsid w:val="009753CB"/>
    <w:rsid w:val="009973DC"/>
    <w:rsid w:val="009A43F0"/>
    <w:rsid w:val="009B03DC"/>
    <w:rsid w:val="009B65F9"/>
    <w:rsid w:val="009B7119"/>
    <w:rsid w:val="009E62DB"/>
    <w:rsid w:val="00A5305E"/>
    <w:rsid w:val="00A7189C"/>
    <w:rsid w:val="00AC4603"/>
    <w:rsid w:val="00AF632E"/>
    <w:rsid w:val="00B22044"/>
    <w:rsid w:val="00B302F6"/>
    <w:rsid w:val="00B37E7A"/>
    <w:rsid w:val="00B56C23"/>
    <w:rsid w:val="00B60E5C"/>
    <w:rsid w:val="00B728F0"/>
    <w:rsid w:val="00B7478D"/>
    <w:rsid w:val="00BA0538"/>
    <w:rsid w:val="00BA1AD2"/>
    <w:rsid w:val="00BB47EA"/>
    <w:rsid w:val="00BD2B2C"/>
    <w:rsid w:val="00BD57FC"/>
    <w:rsid w:val="00C16E41"/>
    <w:rsid w:val="00C17673"/>
    <w:rsid w:val="00C237E2"/>
    <w:rsid w:val="00C3604B"/>
    <w:rsid w:val="00C5324F"/>
    <w:rsid w:val="00C77DE2"/>
    <w:rsid w:val="00C82E43"/>
    <w:rsid w:val="00CC14C8"/>
    <w:rsid w:val="00CD1DFB"/>
    <w:rsid w:val="00CE0417"/>
    <w:rsid w:val="00CE2DCA"/>
    <w:rsid w:val="00D1305F"/>
    <w:rsid w:val="00D176CD"/>
    <w:rsid w:val="00D24104"/>
    <w:rsid w:val="00D26C71"/>
    <w:rsid w:val="00D55A4E"/>
    <w:rsid w:val="00D823E3"/>
    <w:rsid w:val="00D9608D"/>
    <w:rsid w:val="00D976D4"/>
    <w:rsid w:val="00DB715A"/>
    <w:rsid w:val="00DC2737"/>
    <w:rsid w:val="00DC70AD"/>
    <w:rsid w:val="00DC7F4D"/>
    <w:rsid w:val="00DD5EDF"/>
    <w:rsid w:val="00DF247A"/>
    <w:rsid w:val="00DF5F8C"/>
    <w:rsid w:val="00DF69D4"/>
    <w:rsid w:val="00E006D3"/>
    <w:rsid w:val="00E22606"/>
    <w:rsid w:val="00E30881"/>
    <w:rsid w:val="00E50552"/>
    <w:rsid w:val="00E66C8B"/>
    <w:rsid w:val="00E70D85"/>
    <w:rsid w:val="00E74052"/>
    <w:rsid w:val="00E774F2"/>
    <w:rsid w:val="00E82B3A"/>
    <w:rsid w:val="00E85BA9"/>
    <w:rsid w:val="00E87556"/>
    <w:rsid w:val="00E915BF"/>
    <w:rsid w:val="00E9452F"/>
    <w:rsid w:val="00E958BC"/>
    <w:rsid w:val="00EA1AE0"/>
    <w:rsid w:val="00ED49DF"/>
    <w:rsid w:val="00F33E95"/>
    <w:rsid w:val="00F44312"/>
    <w:rsid w:val="00F6256A"/>
    <w:rsid w:val="00F806EB"/>
    <w:rsid w:val="00F9389B"/>
    <w:rsid w:val="00F974F7"/>
    <w:rsid w:val="00FA0413"/>
    <w:rsid w:val="00FB3EED"/>
    <w:rsid w:val="00FF2BD5"/>
    <w:rsid w:val="00FF718E"/>
    <w:rsid w:val="00FF7F08"/>
    <w:rsid w:val="02A33135"/>
    <w:rsid w:val="02B72906"/>
    <w:rsid w:val="03B2670D"/>
    <w:rsid w:val="03DD4F1C"/>
    <w:rsid w:val="04AB50D5"/>
    <w:rsid w:val="07F5159B"/>
    <w:rsid w:val="092C7ECC"/>
    <w:rsid w:val="0E62469F"/>
    <w:rsid w:val="103F2D18"/>
    <w:rsid w:val="11BB642B"/>
    <w:rsid w:val="1281167B"/>
    <w:rsid w:val="1283439D"/>
    <w:rsid w:val="12FE3DFD"/>
    <w:rsid w:val="136F087C"/>
    <w:rsid w:val="160E1690"/>
    <w:rsid w:val="165C1517"/>
    <w:rsid w:val="17415916"/>
    <w:rsid w:val="17FD04AB"/>
    <w:rsid w:val="189B7C47"/>
    <w:rsid w:val="1BBC143B"/>
    <w:rsid w:val="1C9930FA"/>
    <w:rsid w:val="1D785135"/>
    <w:rsid w:val="1E9F4C63"/>
    <w:rsid w:val="24567570"/>
    <w:rsid w:val="25151E6B"/>
    <w:rsid w:val="259D5D32"/>
    <w:rsid w:val="285E36DB"/>
    <w:rsid w:val="28C608EF"/>
    <w:rsid w:val="2A2B1A6E"/>
    <w:rsid w:val="2C7B3E64"/>
    <w:rsid w:val="2D1B0C9A"/>
    <w:rsid w:val="2FD64890"/>
    <w:rsid w:val="31046BCF"/>
    <w:rsid w:val="34782BD5"/>
    <w:rsid w:val="34E94E9D"/>
    <w:rsid w:val="378265C4"/>
    <w:rsid w:val="3AE158E1"/>
    <w:rsid w:val="3C4A04C2"/>
    <w:rsid w:val="3D4B29C1"/>
    <w:rsid w:val="3E8361B6"/>
    <w:rsid w:val="3F202209"/>
    <w:rsid w:val="3F5421B8"/>
    <w:rsid w:val="406009A7"/>
    <w:rsid w:val="408F03B7"/>
    <w:rsid w:val="4527554E"/>
    <w:rsid w:val="478E5E3A"/>
    <w:rsid w:val="485D6B19"/>
    <w:rsid w:val="48F0588D"/>
    <w:rsid w:val="4AD2721F"/>
    <w:rsid w:val="4CE15F10"/>
    <w:rsid w:val="4D5F5499"/>
    <w:rsid w:val="4E154C04"/>
    <w:rsid w:val="4F61237E"/>
    <w:rsid w:val="4FF538C7"/>
    <w:rsid w:val="54BE47C2"/>
    <w:rsid w:val="56BE5B0E"/>
    <w:rsid w:val="59F85945"/>
    <w:rsid w:val="5A531EC6"/>
    <w:rsid w:val="5B011079"/>
    <w:rsid w:val="5B646B32"/>
    <w:rsid w:val="60415FCC"/>
    <w:rsid w:val="629F0E35"/>
    <w:rsid w:val="62C1533C"/>
    <w:rsid w:val="62E62F31"/>
    <w:rsid w:val="68D409EC"/>
    <w:rsid w:val="6C0017A9"/>
    <w:rsid w:val="75B12A3A"/>
    <w:rsid w:val="770F74DD"/>
    <w:rsid w:val="78CD261A"/>
    <w:rsid w:val="7A8D14EB"/>
    <w:rsid w:val="7BC82917"/>
    <w:rsid w:val="7D570388"/>
    <w:rsid w:val="7E57010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602" w:firstLineChars="20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unhideWhenUsed/>
    <w:qFormat/>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4">
    <w:name w:val="annotation text"/>
    <w:basedOn w:val="1"/>
    <w:semiHidden/>
    <w:qFormat/>
    <w:uiPriority w:val="0"/>
    <w:pPr>
      <w:jc w:val="left"/>
    </w:pPr>
  </w:style>
  <w:style w:type="paragraph" w:styleId="5">
    <w:name w:val="Balloon Text"/>
    <w:basedOn w:val="1"/>
    <w:semiHidden/>
    <w:qFormat/>
    <w:uiPriority w:val="0"/>
    <w:rPr>
      <w:sz w:val="18"/>
      <w:szCs w:val="18"/>
    </w:rPr>
  </w:style>
  <w:style w:type="paragraph" w:styleId="6">
    <w:name w:val="footer"/>
    <w:basedOn w:val="1"/>
    <w:link w:val="16"/>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adjustRightInd w:val="0"/>
      <w:spacing w:line="240" w:lineRule="atLeast"/>
      <w:jc w:val="center"/>
      <w:textAlignment w:val="baseline"/>
    </w:pPr>
    <w:rPr>
      <w:kern w:val="0"/>
      <w:sz w:val="18"/>
      <w:szCs w:val="20"/>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paragraph" w:styleId="9">
    <w:name w:val="annotation subject"/>
    <w:basedOn w:val="4"/>
    <w:next w:val="4"/>
    <w:semiHidden/>
    <w:qFormat/>
    <w:uiPriority w:val="0"/>
    <w:rPr>
      <w:b/>
      <w:bCs/>
    </w:rPr>
  </w:style>
  <w:style w:type="character" w:styleId="12">
    <w:name w:val="Strong"/>
    <w:basedOn w:val="11"/>
    <w:qFormat/>
    <w:uiPriority w:val="0"/>
    <w:rPr>
      <w:b/>
    </w:rPr>
  </w:style>
  <w:style w:type="character" w:styleId="13">
    <w:name w:val="page number"/>
    <w:qFormat/>
    <w:uiPriority w:val="0"/>
  </w:style>
  <w:style w:type="character" w:styleId="14">
    <w:name w:val="Hyperlink"/>
    <w:uiPriority w:val="0"/>
    <w:rPr>
      <w:color w:val="0000FF"/>
      <w:u w:val="single"/>
    </w:rPr>
  </w:style>
  <w:style w:type="character" w:styleId="15">
    <w:name w:val="annotation reference"/>
    <w:semiHidden/>
    <w:qFormat/>
    <w:uiPriority w:val="0"/>
    <w:rPr>
      <w:sz w:val="21"/>
      <w:szCs w:val="21"/>
    </w:rPr>
  </w:style>
  <w:style w:type="character" w:customStyle="1" w:styleId="16">
    <w:name w:val="页脚 字符"/>
    <w:link w:val="6"/>
    <w:qFormat/>
    <w:uiPriority w:val="0"/>
    <w:rPr>
      <w:kern w:val="2"/>
      <w:sz w:val="18"/>
      <w:szCs w:val="18"/>
    </w:rPr>
  </w:style>
  <w:style w:type="character" w:customStyle="1" w:styleId="17">
    <w:name w:val="mail_session_title_main"/>
    <w:qFormat/>
    <w:uiPriority w:val="0"/>
  </w:style>
  <w:style w:type="character" w:customStyle="1" w:styleId="18">
    <w:name w:val="mail_session_title_tail"/>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10017</Words>
  <Characters>10647</Characters>
  <Lines>62</Lines>
  <Paragraphs>17</Paragraphs>
  <TotalTime>16</TotalTime>
  <ScaleCrop>false</ScaleCrop>
  <LinksUpToDate>false</LinksUpToDate>
  <CharactersWithSpaces>10781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2023-09-14T07:08:00Z</dcterms:created>
  <dc:creator>兰台</dc:creator>
  <cp:lastModifiedBy>钢</cp:lastModifiedBy>
  <cp:lastPrinted>2004-03-11T01:20:00Z</cp:lastPrinted>
  <dcterms:modified xsi:type="dcterms:W3CDTF">2026-04-14T08:38:25Z</dcterms:modified>
  <dc:title>专 利 代 理 委 托 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F6CC8CB34BCF4C56BC1A4929921A8A39_13</vt:lpwstr>
  </property>
  <property fmtid="{D5CDD505-2E9C-101B-9397-08002B2CF9AE}" pid="4" name="KSOTemplateDocerSaveRecord">
    <vt:lpwstr>eyJoZGlkIjoiMjA5ODU0MWU2ZTFiMGZlY2YzM2U3ZDIyYjEwMWI3OWQiLCJ1c2VySWQiOiIxNTg4ODIwMjI4In0=</vt:lpwstr>
  </property>
</Properties>
</file>