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B04" w:rsidRPr="008D3645" w:rsidRDefault="00541B04" w:rsidP="00541B04">
      <w:pPr>
        <w:pStyle w:val="1"/>
      </w:pPr>
      <w:r w:rsidRPr="008D3645">
        <w:rPr>
          <w:rFonts w:hint="eastAsia"/>
        </w:rPr>
        <w:t xml:space="preserve">Pulmonary lobar segmentation from computed tomography scans based on </w:t>
      </w:r>
      <w:r w:rsidRPr="008D3645">
        <w:t xml:space="preserve">a </w:t>
      </w:r>
      <w:r w:rsidRPr="008D3645">
        <w:rPr>
          <w:rFonts w:hint="eastAsia"/>
        </w:rPr>
        <w:t>statistical finite element analysis of lobe</w:t>
      </w:r>
      <w:r w:rsidRPr="008D3645">
        <w:t xml:space="preserve"> shape</w:t>
      </w:r>
    </w:p>
    <w:p w:rsidR="00541B04" w:rsidRPr="003E0081" w:rsidRDefault="009601D1" w:rsidP="00541B04">
      <w:pPr>
        <w:pStyle w:val="author"/>
      </w:pPr>
      <w:r>
        <w:t>Yuwen Zhang</w:t>
      </w:r>
      <w:r w:rsidR="00541B04" w:rsidRPr="003E0081">
        <w:rPr>
          <w:vertAlign w:val="superscript"/>
        </w:rPr>
        <w:t>1</w:t>
      </w:r>
      <w:r w:rsidR="00541B04" w:rsidRPr="003E0081">
        <w:t xml:space="preserve">, </w:t>
      </w:r>
      <w:r w:rsidRPr="009601D1">
        <w:t>Mahyar Osanlouy</w:t>
      </w:r>
      <w:r w:rsidR="00541B04" w:rsidRPr="005332CC">
        <w:rPr>
          <w:vertAlign w:val="superscript"/>
        </w:rPr>
        <w:t>1</w:t>
      </w:r>
      <w:r w:rsidR="00541B04" w:rsidRPr="003E0081">
        <w:t xml:space="preserve">, </w:t>
      </w:r>
      <w:r w:rsidR="002E0728" w:rsidRPr="002E0728">
        <w:t>Alys R</w:t>
      </w:r>
      <w:r w:rsidR="00CC3922">
        <w:t>.</w:t>
      </w:r>
      <w:r w:rsidR="002E0728" w:rsidRPr="002E0728">
        <w:t xml:space="preserve"> Clark</w:t>
      </w:r>
      <w:r w:rsidR="00541B04" w:rsidRPr="005332CC">
        <w:rPr>
          <w:vertAlign w:val="superscript"/>
        </w:rPr>
        <w:t>1</w:t>
      </w:r>
      <w:r w:rsidR="00541B04" w:rsidRPr="003E0081">
        <w:t xml:space="preserve">, </w:t>
      </w:r>
      <w:r w:rsidR="00CC3922" w:rsidRPr="00CC3922">
        <w:t xml:space="preserve">Margaret </w:t>
      </w:r>
      <w:r w:rsidR="00CC3922">
        <w:t xml:space="preserve">L. </w:t>
      </w:r>
      <w:r w:rsidR="00CC3922" w:rsidRPr="00CC3922">
        <w:t>Wilsher</w:t>
      </w:r>
      <w:r w:rsidR="00541B04" w:rsidRPr="005332CC">
        <w:rPr>
          <w:vertAlign w:val="superscript"/>
        </w:rPr>
        <w:t>2</w:t>
      </w:r>
      <w:r w:rsidR="00541B04" w:rsidRPr="003E0081">
        <w:t xml:space="preserve">, </w:t>
      </w:r>
      <w:r w:rsidR="00CC3922" w:rsidRPr="00CC3922">
        <w:t xml:space="preserve">David </w:t>
      </w:r>
      <w:r w:rsidR="00CC3922">
        <w:t>G.</w:t>
      </w:r>
      <w:r w:rsidR="00CC3922" w:rsidRPr="00CC3922">
        <w:t xml:space="preserve"> Milne</w:t>
      </w:r>
      <w:r w:rsidR="00541B04" w:rsidRPr="005332CC">
        <w:rPr>
          <w:vertAlign w:val="superscript"/>
        </w:rPr>
        <w:t>2</w:t>
      </w:r>
      <w:r w:rsidR="00541B04" w:rsidRPr="003E0081">
        <w:t xml:space="preserve">, </w:t>
      </w:r>
      <w:r w:rsidR="00BC6358" w:rsidRPr="00BC6358">
        <w:t xml:space="preserve">Eric A. Hoffman </w:t>
      </w:r>
      <w:r w:rsidR="00541B04" w:rsidRPr="005332CC">
        <w:rPr>
          <w:vertAlign w:val="superscript"/>
        </w:rPr>
        <w:t>3</w:t>
      </w:r>
      <w:r w:rsidR="00541B04" w:rsidRPr="003E0081">
        <w:t xml:space="preserve">, </w:t>
      </w:r>
      <w:r w:rsidR="00345461" w:rsidRPr="00345461">
        <w:t>Merryn H. Tawhai</w:t>
      </w:r>
      <w:r w:rsidR="00541B04" w:rsidRPr="005332CC">
        <w:rPr>
          <w:vertAlign w:val="superscript"/>
        </w:rPr>
        <w:t>1</w:t>
      </w:r>
    </w:p>
    <w:p w:rsidR="00541B04" w:rsidRDefault="00541B04" w:rsidP="00541B04">
      <w:pPr>
        <w:rPr>
          <w:rFonts w:eastAsia="宋体" w:cstheme="minorHAnsi"/>
        </w:rPr>
      </w:pPr>
      <w:r>
        <w:rPr>
          <w:rFonts w:cstheme="minorHAnsi"/>
          <w:vertAlign w:val="superscript"/>
        </w:rPr>
        <w:t>1</w:t>
      </w:r>
      <w:r>
        <w:rPr>
          <w:rFonts w:eastAsia="宋体" w:cstheme="minorHAnsi" w:hint="eastAsia"/>
        </w:rPr>
        <w:t>Auckland Bioengineering Institute</w:t>
      </w:r>
      <w:r>
        <w:rPr>
          <w:rFonts w:cstheme="minorHAnsi"/>
        </w:rPr>
        <w:t xml:space="preserve">, University of </w:t>
      </w:r>
      <w:r>
        <w:rPr>
          <w:rFonts w:eastAsia="宋体" w:cstheme="minorHAnsi" w:hint="eastAsia"/>
        </w:rPr>
        <w:t>Auckland</w:t>
      </w:r>
      <w:r>
        <w:rPr>
          <w:rFonts w:cstheme="minorHAnsi"/>
        </w:rPr>
        <w:t xml:space="preserve">, </w:t>
      </w:r>
      <w:r>
        <w:rPr>
          <w:rFonts w:eastAsia="宋体" w:cstheme="minorHAnsi" w:hint="eastAsia"/>
        </w:rPr>
        <w:t>Auckland</w:t>
      </w:r>
      <w:r>
        <w:rPr>
          <w:rFonts w:cstheme="minorHAnsi"/>
        </w:rPr>
        <w:t xml:space="preserve">, NZ, </w:t>
      </w:r>
      <w:r>
        <w:rPr>
          <w:rFonts w:cstheme="minorHAnsi"/>
          <w:vertAlign w:val="superscript"/>
        </w:rPr>
        <w:t>2</w:t>
      </w:r>
      <w:r>
        <w:rPr>
          <w:rFonts w:cstheme="minorHAnsi"/>
        </w:rPr>
        <w:t xml:space="preserve">Auckland City Hospital, Auckland District Health Board, Auckland, NZ, </w:t>
      </w:r>
      <w:r>
        <w:rPr>
          <w:rFonts w:cstheme="minorHAnsi"/>
          <w:vertAlign w:val="superscript"/>
        </w:rPr>
        <w:t>3</w:t>
      </w:r>
      <w:r>
        <w:rPr>
          <w:rFonts w:cstheme="minorHAnsi"/>
        </w:rPr>
        <w:t xml:space="preserve">Department of </w:t>
      </w:r>
      <w:r>
        <w:rPr>
          <w:rFonts w:eastAsia="宋体" w:cstheme="minorHAnsi" w:hint="eastAsia"/>
        </w:rPr>
        <w:t>Radiology and Biomedical Engineering</w:t>
      </w:r>
      <w:r>
        <w:rPr>
          <w:rFonts w:cstheme="minorHAnsi"/>
        </w:rPr>
        <w:t xml:space="preserve">, University of </w:t>
      </w:r>
      <w:r>
        <w:rPr>
          <w:rFonts w:eastAsia="宋体" w:cstheme="minorHAnsi" w:hint="eastAsia"/>
        </w:rPr>
        <w:t>Iowa</w:t>
      </w:r>
      <w:r>
        <w:rPr>
          <w:rFonts w:cstheme="minorHAnsi"/>
        </w:rPr>
        <w:t xml:space="preserve">, </w:t>
      </w:r>
      <w:r>
        <w:rPr>
          <w:rFonts w:eastAsia="宋体" w:cstheme="minorHAnsi" w:hint="eastAsia"/>
        </w:rPr>
        <w:t>Iowa City</w:t>
      </w:r>
      <w:r>
        <w:rPr>
          <w:rFonts w:cstheme="minorHAnsi"/>
        </w:rPr>
        <w:t xml:space="preserve">, </w:t>
      </w:r>
      <w:r>
        <w:rPr>
          <w:rFonts w:eastAsia="宋体" w:cstheme="minorHAnsi" w:hint="eastAsia"/>
        </w:rPr>
        <w:t>IA, US</w:t>
      </w:r>
      <w:r>
        <w:rPr>
          <w:rFonts w:eastAsia="宋体" w:cstheme="minorHAnsi"/>
        </w:rPr>
        <w:t>A</w:t>
      </w:r>
      <w:r>
        <w:rPr>
          <w:rFonts w:eastAsia="宋体" w:cstheme="minorHAnsi" w:hint="eastAsia"/>
        </w:rPr>
        <w:t>.</w:t>
      </w:r>
    </w:p>
    <w:p w:rsidR="00541B04" w:rsidRDefault="00541B04" w:rsidP="00541B04"/>
    <w:p w:rsidR="00541B04" w:rsidRPr="00541B04" w:rsidRDefault="00541B04" w:rsidP="001A5721">
      <w:r w:rsidRPr="00541B04">
        <w:t xml:space="preserve">Automatic identification of pulmonary lobes from imaging is important in lung disease assessment and treatment planning. However, the pulmonary lobar fissure can be difficult to detect automatically, as it is thin, usually of fuzzy appearance and incomplete, and can be obscured by or confused with features of disease. </w:t>
      </w:r>
      <w:r w:rsidR="001A5721">
        <w:t>Traditional anatomical knowledge-based methods</w:t>
      </w:r>
      <w:r w:rsidR="001A5721" w:rsidRPr="00541B04">
        <w:t xml:space="preserve"> </w:t>
      </w:r>
      <w:r w:rsidR="001A5721" w:rsidRPr="00441A8A">
        <w:rPr>
          <w:rFonts w:cstheme="minorHAnsi" w:hint="eastAsia"/>
        </w:rPr>
        <w:t>rely</w:t>
      </w:r>
      <w:r w:rsidR="001A5721">
        <w:rPr>
          <w:rFonts w:cstheme="minorHAnsi"/>
        </w:rPr>
        <w:t xml:space="preserve"> heavily</w:t>
      </w:r>
      <w:r w:rsidR="001A5721" w:rsidRPr="00441A8A">
        <w:rPr>
          <w:rFonts w:cstheme="minorHAnsi" w:hint="eastAsia"/>
        </w:rPr>
        <w:t xml:space="preserve"> on anatomic knowledge and largely ignore individual</w:t>
      </w:r>
      <w:r w:rsidR="001A5721">
        <w:rPr>
          <w:rFonts w:cstheme="minorHAnsi" w:hint="eastAsia"/>
        </w:rPr>
        <w:t xml:space="preserve"> variabilit</w:t>
      </w:r>
      <w:r w:rsidR="00E936D1">
        <w:rPr>
          <w:rFonts w:cstheme="minorHAnsi"/>
        </w:rPr>
        <w:t>y</w:t>
      </w:r>
      <w:r w:rsidR="001A5721">
        <w:rPr>
          <w:rFonts w:cstheme="minorHAnsi" w:hint="eastAsia"/>
        </w:rPr>
        <w:t xml:space="preserve">, which may result in </w:t>
      </w:r>
      <w:r w:rsidR="001A5721" w:rsidRPr="00441A8A">
        <w:rPr>
          <w:rFonts w:cstheme="minorHAnsi" w:hint="eastAsia"/>
        </w:rPr>
        <w:t xml:space="preserve">failure </w:t>
      </w:r>
      <w:r w:rsidR="001A5721">
        <w:rPr>
          <w:rFonts w:cstheme="minorHAnsi"/>
        </w:rPr>
        <w:t>in</w:t>
      </w:r>
      <w:r w:rsidR="001A5721" w:rsidRPr="00441A8A">
        <w:rPr>
          <w:rFonts w:cstheme="minorHAnsi" w:hint="eastAsia"/>
        </w:rPr>
        <w:t xml:space="preserve"> pathological lungs</w:t>
      </w:r>
      <w:r w:rsidR="001A5721">
        <w:rPr>
          <w:rFonts w:cstheme="minorHAnsi"/>
        </w:rPr>
        <w:t>.</w:t>
      </w:r>
      <w:r w:rsidR="001A5721" w:rsidRPr="00541B04">
        <w:t xml:space="preserve"> </w:t>
      </w:r>
      <w:r w:rsidRPr="00541B04">
        <w:t xml:space="preserve">In this study, we aim to overcome difficulties in identifying pulmonary fissures by using a statistical finite element shape model of </w:t>
      </w:r>
      <w:r w:rsidR="00B66E94">
        <w:t>lobes</w:t>
      </w:r>
      <w:r w:rsidRPr="00541B04">
        <w:t xml:space="preserve"> to guide lobar segmentation. By deforming a </w:t>
      </w:r>
      <w:r w:rsidR="001D759D">
        <w:t xml:space="preserve">principle component analysis based </w:t>
      </w:r>
      <w:r w:rsidRPr="00541B04">
        <w:t>statistical shape model onto an individual’s lung shape, we predict the likely region of fissure locations, to initialize the search region for fissures. Then, an eigenvalue of Hessian matrix analysis and a connected component eigenvector based analysis are used to determine a set of fissure-like candidate points. A smooth multi-level B-spline curve is fitted to the most fissure-like points (those with high fissure probability) and the fitted fissure plane is extrapolated to the lung boundaries. The method was tested on 20 inspiratory and expiratory CT scans</w:t>
      </w:r>
      <w:r w:rsidR="0054382E">
        <w:t>, and</w:t>
      </w:r>
      <w:r w:rsidRPr="00541B04">
        <w:t xml:space="preserve"> </w:t>
      </w:r>
      <w:r w:rsidR="0054382E">
        <w:t>t</w:t>
      </w:r>
      <w:r w:rsidR="0054382E" w:rsidRPr="0054382E">
        <w:t>he results show that the algorithm performs well</w:t>
      </w:r>
      <w:r w:rsidR="0054382E">
        <w:t xml:space="preserve"> both </w:t>
      </w:r>
      <w:r w:rsidR="0054382E" w:rsidRPr="00541B04">
        <w:t>in healthy young subjects and older subjects with idiopathic pulmonary fibrosis</w:t>
      </w:r>
      <w:r w:rsidRPr="00541B04">
        <w:t xml:space="preserve">. The method was able to estimate the fissure location in 100% of cases, whereas two other segmentation softwares which use </w:t>
      </w:r>
      <w:r w:rsidR="00B66E94">
        <w:t>anatomy</w:t>
      </w:r>
      <w:r w:rsidRPr="00541B04">
        <w:t>-based method tested for comparison were unable to segment 7/20 and 9/20 subjects respectively</w:t>
      </w:r>
      <w:bookmarkStart w:id="0" w:name="_GoBack"/>
      <w:bookmarkEnd w:id="0"/>
      <w:r w:rsidRPr="00541B04">
        <w:t>.</w:t>
      </w:r>
    </w:p>
    <w:p w:rsidR="0054382E" w:rsidRPr="00541B04" w:rsidRDefault="0054382E"/>
    <w:sectPr w:rsidR="0054382E" w:rsidRPr="00541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A4A" w:rsidRDefault="00D40A4A" w:rsidP="00541B04">
      <w:r>
        <w:separator/>
      </w:r>
    </w:p>
  </w:endnote>
  <w:endnote w:type="continuationSeparator" w:id="0">
    <w:p w:rsidR="00D40A4A" w:rsidRDefault="00D40A4A" w:rsidP="0054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A4A" w:rsidRDefault="00D40A4A" w:rsidP="00541B04">
      <w:r>
        <w:separator/>
      </w:r>
    </w:p>
  </w:footnote>
  <w:footnote w:type="continuationSeparator" w:id="0">
    <w:p w:rsidR="00D40A4A" w:rsidRDefault="00D40A4A" w:rsidP="00541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85"/>
    <w:rsid w:val="00045085"/>
    <w:rsid w:val="000778DC"/>
    <w:rsid w:val="001A5721"/>
    <w:rsid w:val="001D759D"/>
    <w:rsid w:val="002E0728"/>
    <w:rsid w:val="00345461"/>
    <w:rsid w:val="00541B04"/>
    <w:rsid w:val="0054382E"/>
    <w:rsid w:val="005562E5"/>
    <w:rsid w:val="00784F25"/>
    <w:rsid w:val="00787FF3"/>
    <w:rsid w:val="009601D1"/>
    <w:rsid w:val="00B66E94"/>
    <w:rsid w:val="00BC6358"/>
    <w:rsid w:val="00BF3A86"/>
    <w:rsid w:val="00C03208"/>
    <w:rsid w:val="00CB2941"/>
    <w:rsid w:val="00CC3922"/>
    <w:rsid w:val="00D40A4A"/>
    <w:rsid w:val="00E9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6AF151-375B-4F09-8F41-728D6E60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1B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1B04"/>
    <w:rPr>
      <w:sz w:val="18"/>
      <w:szCs w:val="18"/>
    </w:rPr>
  </w:style>
  <w:style w:type="paragraph" w:styleId="a4">
    <w:name w:val="footer"/>
    <w:basedOn w:val="a"/>
    <w:link w:val="Char0"/>
    <w:uiPriority w:val="99"/>
    <w:unhideWhenUsed/>
    <w:rsid w:val="00541B04"/>
    <w:pPr>
      <w:tabs>
        <w:tab w:val="center" w:pos="4153"/>
        <w:tab w:val="right" w:pos="8306"/>
      </w:tabs>
      <w:snapToGrid w:val="0"/>
      <w:jc w:val="left"/>
    </w:pPr>
    <w:rPr>
      <w:sz w:val="18"/>
      <w:szCs w:val="18"/>
    </w:rPr>
  </w:style>
  <w:style w:type="character" w:customStyle="1" w:styleId="Char0">
    <w:name w:val="页脚 Char"/>
    <w:basedOn w:val="a0"/>
    <w:link w:val="a4"/>
    <w:uiPriority w:val="99"/>
    <w:rsid w:val="00541B04"/>
    <w:rPr>
      <w:sz w:val="18"/>
      <w:szCs w:val="18"/>
    </w:rPr>
  </w:style>
  <w:style w:type="paragraph" w:customStyle="1" w:styleId="abstract">
    <w:name w:val="abstract"/>
    <w:basedOn w:val="a"/>
    <w:rsid w:val="00541B04"/>
    <w:pPr>
      <w:spacing w:before="600" w:after="360" w:line="220" w:lineRule="atLeast"/>
      <w:ind w:left="567" w:right="567"/>
      <w:contextualSpacing/>
    </w:pPr>
    <w:rPr>
      <w:rFonts w:ascii="Calibri" w:hAnsi="Calibri" w:cs="Times New Roman"/>
      <w:sz w:val="18"/>
      <w:szCs w:val="20"/>
    </w:rPr>
  </w:style>
  <w:style w:type="paragraph" w:customStyle="1" w:styleId="1">
    <w:name w:val="标题1"/>
    <w:basedOn w:val="a"/>
    <w:next w:val="a"/>
    <w:rsid w:val="00541B04"/>
    <w:pPr>
      <w:keepNext/>
      <w:keepLines/>
      <w:suppressAutoHyphens/>
      <w:spacing w:after="480" w:line="360" w:lineRule="atLeast"/>
      <w:jc w:val="center"/>
    </w:pPr>
    <w:rPr>
      <w:rFonts w:ascii="Calibri" w:hAnsi="Calibri" w:cs="Times New Roman"/>
      <w:b/>
      <w:sz w:val="28"/>
      <w:szCs w:val="24"/>
    </w:rPr>
  </w:style>
  <w:style w:type="paragraph" w:customStyle="1" w:styleId="author">
    <w:name w:val="author"/>
    <w:basedOn w:val="a"/>
    <w:next w:val="a"/>
    <w:rsid w:val="00541B04"/>
    <w:pPr>
      <w:suppressAutoHyphens/>
      <w:spacing w:after="200"/>
      <w:jc w:val="center"/>
    </w:pPr>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2018-07-21T08:56:00Z</dcterms:created>
  <dcterms:modified xsi:type="dcterms:W3CDTF">2018-07-21T23:01:00Z</dcterms:modified>
</cp:coreProperties>
</file>