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25E" w:rsidRPr="004905A0" w:rsidRDefault="005B1B34" w:rsidP="00395B8B">
      <w:pPr>
        <w:rPr>
          <w:rFonts w:ascii="Times New Roman" w:hAnsi="Times New Roman" w:cs="Times New Roman"/>
          <w:szCs w:val="21"/>
        </w:rPr>
      </w:pPr>
      <w:r w:rsidRPr="004905A0">
        <w:rPr>
          <w:rFonts w:ascii="Times New Roman" w:hAnsi="Times New Roman" w:cs="Times New Roman"/>
          <w:b/>
          <w:szCs w:val="21"/>
        </w:rPr>
        <w:t>P</w:t>
      </w:r>
      <w:r w:rsidR="0038728C" w:rsidRPr="004905A0">
        <w:rPr>
          <w:rFonts w:ascii="Times New Roman" w:hAnsi="Times New Roman" w:cs="Times New Roman"/>
          <w:b/>
          <w:szCs w:val="21"/>
        </w:rPr>
        <w:t>aper title</w:t>
      </w:r>
      <w:r w:rsidR="0038728C" w:rsidRPr="004905A0">
        <w:rPr>
          <w:rFonts w:ascii="Times New Roman" w:hAnsi="Times New Roman" w:cs="Times New Roman"/>
          <w:szCs w:val="21"/>
        </w:rPr>
        <w:t>: Pulmonary lobar segmentation from computed tomography scans based on a statistical finite element analysis of lobe shape</w:t>
      </w:r>
    </w:p>
    <w:p w:rsidR="0038728C" w:rsidRPr="004905A0" w:rsidRDefault="0038728C" w:rsidP="00395B8B">
      <w:pPr>
        <w:rPr>
          <w:rFonts w:ascii="Times New Roman" w:hAnsi="Times New Roman" w:cs="Times New Roman"/>
          <w:szCs w:val="21"/>
        </w:rPr>
      </w:pPr>
    </w:p>
    <w:p w:rsidR="0038728C" w:rsidRPr="004905A0" w:rsidRDefault="005B1B34" w:rsidP="00395B8B">
      <w:pPr>
        <w:pStyle w:val="author"/>
        <w:jc w:val="both"/>
        <w:rPr>
          <w:rFonts w:ascii="Times New Roman" w:hAnsi="Times New Roman"/>
          <w:sz w:val="21"/>
          <w:szCs w:val="21"/>
        </w:rPr>
      </w:pPr>
      <w:r w:rsidRPr="004905A0">
        <w:rPr>
          <w:rFonts w:ascii="Times New Roman" w:hAnsi="Times New Roman"/>
          <w:b/>
          <w:sz w:val="21"/>
          <w:szCs w:val="21"/>
        </w:rPr>
        <w:t>A</w:t>
      </w:r>
      <w:r w:rsidR="0038728C" w:rsidRPr="004905A0">
        <w:rPr>
          <w:rFonts w:ascii="Times New Roman" w:hAnsi="Times New Roman"/>
          <w:b/>
          <w:sz w:val="21"/>
          <w:szCs w:val="21"/>
        </w:rPr>
        <w:t>uthors</w:t>
      </w:r>
      <w:r w:rsidR="0038728C" w:rsidRPr="004905A0">
        <w:rPr>
          <w:rFonts w:ascii="Times New Roman" w:hAnsi="Times New Roman"/>
          <w:sz w:val="21"/>
          <w:szCs w:val="21"/>
        </w:rPr>
        <w:t xml:space="preserve">: </w:t>
      </w:r>
      <w:r w:rsidR="0038728C" w:rsidRPr="004905A0">
        <w:rPr>
          <w:rFonts w:ascii="Times New Roman" w:hAnsi="Times New Roman"/>
          <w:sz w:val="21"/>
          <w:szCs w:val="21"/>
        </w:rPr>
        <w:t>Yuwen Zhang</w:t>
      </w:r>
      <w:r w:rsidR="0038728C" w:rsidRPr="004905A0">
        <w:rPr>
          <w:rFonts w:ascii="Times New Roman" w:hAnsi="Times New Roman"/>
          <w:sz w:val="21"/>
          <w:szCs w:val="21"/>
          <w:vertAlign w:val="superscript"/>
        </w:rPr>
        <w:t>1</w:t>
      </w:r>
      <w:r w:rsidR="0038728C" w:rsidRPr="004905A0">
        <w:rPr>
          <w:rFonts w:ascii="Times New Roman" w:hAnsi="Times New Roman"/>
          <w:sz w:val="21"/>
          <w:szCs w:val="21"/>
        </w:rPr>
        <w:t>, Mahyar Osanlouy</w:t>
      </w:r>
      <w:r w:rsidR="0038728C" w:rsidRPr="004905A0">
        <w:rPr>
          <w:rFonts w:ascii="Times New Roman" w:hAnsi="Times New Roman"/>
          <w:sz w:val="21"/>
          <w:szCs w:val="21"/>
          <w:vertAlign w:val="superscript"/>
        </w:rPr>
        <w:t>1</w:t>
      </w:r>
      <w:r w:rsidR="0038728C" w:rsidRPr="004905A0">
        <w:rPr>
          <w:rFonts w:ascii="Times New Roman" w:hAnsi="Times New Roman"/>
          <w:sz w:val="21"/>
          <w:szCs w:val="21"/>
        </w:rPr>
        <w:t>, Alys R. Clark</w:t>
      </w:r>
      <w:r w:rsidR="0038728C" w:rsidRPr="004905A0">
        <w:rPr>
          <w:rFonts w:ascii="Times New Roman" w:hAnsi="Times New Roman"/>
          <w:sz w:val="21"/>
          <w:szCs w:val="21"/>
          <w:vertAlign w:val="superscript"/>
        </w:rPr>
        <w:t>1</w:t>
      </w:r>
      <w:r w:rsidR="0038728C" w:rsidRPr="004905A0">
        <w:rPr>
          <w:rFonts w:ascii="Times New Roman" w:hAnsi="Times New Roman"/>
          <w:sz w:val="21"/>
          <w:szCs w:val="21"/>
        </w:rPr>
        <w:t>, Margaret L. Wilsher</w:t>
      </w:r>
      <w:r w:rsidR="0038728C" w:rsidRPr="004905A0">
        <w:rPr>
          <w:rFonts w:ascii="Times New Roman" w:hAnsi="Times New Roman"/>
          <w:sz w:val="21"/>
          <w:szCs w:val="21"/>
          <w:vertAlign w:val="superscript"/>
        </w:rPr>
        <w:t>2</w:t>
      </w:r>
      <w:r w:rsidR="0038728C" w:rsidRPr="004905A0">
        <w:rPr>
          <w:rFonts w:ascii="Times New Roman" w:hAnsi="Times New Roman"/>
          <w:sz w:val="21"/>
          <w:szCs w:val="21"/>
        </w:rPr>
        <w:t>, David G. Milne</w:t>
      </w:r>
      <w:r w:rsidR="0038728C" w:rsidRPr="004905A0">
        <w:rPr>
          <w:rFonts w:ascii="Times New Roman" w:hAnsi="Times New Roman"/>
          <w:sz w:val="21"/>
          <w:szCs w:val="21"/>
          <w:vertAlign w:val="superscript"/>
        </w:rPr>
        <w:t>2</w:t>
      </w:r>
      <w:r w:rsidR="0038728C" w:rsidRPr="004905A0">
        <w:rPr>
          <w:rFonts w:ascii="Times New Roman" w:hAnsi="Times New Roman"/>
          <w:sz w:val="21"/>
          <w:szCs w:val="21"/>
        </w:rPr>
        <w:t xml:space="preserve">, Eric A. Hoffman </w:t>
      </w:r>
      <w:r w:rsidR="0038728C" w:rsidRPr="004905A0">
        <w:rPr>
          <w:rFonts w:ascii="Times New Roman" w:hAnsi="Times New Roman"/>
          <w:sz w:val="21"/>
          <w:szCs w:val="21"/>
          <w:vertAlign w:val="superscript"/>
        </w:rPr>
        <w:t>3</w:t>
      </w:r>
      <w:r w:rsidR="0038728C" w:rsidRPr="004905A0">
        <w:rPr>
          <w:rFonts w:ascii="Times New Roman" w:hAnsi="Times New Roman"/>
          <w:sz w:val="21"/>
          <w:szCs w:val="21"/>
        </w:rPr>
        <w:t>, Merryn H. Tawhai</w:t>
      </w:r>
      <w:r w:rsidR="0038728C" w:rsidRPr="004905A0">
        <w:rPr>
          <w:rFonts w:ascii="Times New Roman" w:hAnsi="Times New Roman"/>
          <w:sz w:val="21"/>
          <w:szCs w:val="21"/>
          <w:vertAlign w:val="superscript"/>
        </w:rPr>
        <w:t>1</w:t>
      </w:r>
    </w:p>
    <w:p w:rsidR="0038728C" w:rsidRPr="004905A0" w:rsidRDefault="0038728C" w:rsidP="00395B8B">
      <w:pPr>
        <w:rPr>
          <w:rFonts w:ascii="Times New Roman" w:eastAsia="宋体" w:hAnsi="Times New Roman" w:cs="Times New Roman"/>
          <w:szCs w:val="21"/>
        </w:rPr>
      </w:pPr>
      <w:r w:rsidRPr="004905A0">
        <w:rPr>
          <w:rFonts w:ascii="Times New Roman" w:hAnsi="Times New Roman" w:cs="Times New Roman"/>
          <w:szCs w:val="21"/>
          <w:vertAlign w:val="superscript"/>
        </w:rPr>
        <w:t>1</w:t>
      </w:r>
      <w:r w:rsidRPr="004905A0">
        <w:rPr>
          <w:rFonts w:ascii="Times New Roman" w:eastAsia="宋体" w:hAnsi="Times New Roman" w:cs="Times New Roman"/>
          <w:szCs w:val="21"/>
        </w:rPr>
        <w:t>Auckland Bioengineering Institute</w:t>
      </w:r>
      <w:r w:rsidRPr="004905A0">
        <w:rPr>
          <w:rFonts w:ascii="Times New Roman" w:hAnsi="Times New Roman" w:cs="Times New Roman"/>
          <w:szCs w:val="21"/>
        </w:rPr>
        <w:t xml:space="preserve">, University of </w:t>
      </w:r>
      <w:r w:rsidRPr="004905A0">
        <w:rPr>
          <w:rFonts w:ascii="Times New Roman" w:eastAsia="宋体" w:hAnsi="Times New Roman" w:cs="Times New Roman"/>
          <w:szCs w:val="21"/>
        </w:rPr>
        <w:t>Auckland</w:t>
      </w:r>
      <w:r w:rsidRPr="004905A0">
        <w:rPr>
          <w:rFonts w:ascii="Times New Roman" w:hAnsi="Times New Roman" w:cs="Times New Roman"/>
          <w:szCs w:val="21"/>
        </w:rPr>
        <w:t xml:space="preserve">, </w:t>
      </w:r>
      <w:r w:rsidRPr="004905A0">
        <w:rPr>
          <w:rFonts w:ascii="Times New Roman" w:eastAsia="宋体" w:hAnsi="Times New Roman" w:cs="Times New Roman"/>
          <w:szCs w:val="21"/>
        </w:rPr>
        <w:t>Auckland</w:t>
      </w:r>
      <w:r w:rsidRPr="004905A0">
        <w:rPr>
          <w:rFonts w:ascii="Times New Roman" w:hAnsi="Times New Roman" w:cs="Times New Roman"/>
          <w:szCs w:val="21"/>
        </w:rPr>
        <w:t xml:space="preserve">, NZ, </w:t>
      </w:r>
      <w:r w:rsidRPr="004905A0">
        <w:rPr>
          <w:rFonts w:ascii="Times New Roman" w:hAnsi="Times New Roman" w:cs="Times New Roman"/>
          <w:szCs w:val="21"/>
          <w:vertAlign w:val="superscript"/>
        </w:rPr>
        <w:t>2</w:t>
      </w:r>
      <w:r w:rsidRPr="004905A0">
        <w:rPr>
          <w:rFonts w:ascii="Times New Roman" w:hAnsi="Times New Roman" w:cs="Times New Roman"/>
          <w:szCs w:val="21"/>
        </w:rPr>
        <w:t xml:space="preserve">Auckland City Hospital, Auckland District Health Board, Auckland, NZ, </w:t>
      </w:r>
      <w:r w:rsidRPr="004905A0">
        <w:rPr>
          <w:rFonts w:ascii="Times New Roman" w:hAnsi="Times New Roman" w:cs="Times New Roman"/>
          <w:szCs w:val="21"/>
          <w:vertAlign w:val="superscript"/>
        </w:rPr>
        <w:t>3</w:t>
      </w:r>
      <w:r w:rsidRPr="004905A0">
        <w:rPr>
          <w:rFonts w:ascii="Times New Roman" w:hAnsi="Times New Roman" w:cs="Times New Roman"/>
          <w:szCs w:val="21"/>
        </w:rPr>
        <w:t xml:space="preserve">Department of </w:t>
      </w:r>
      <w:r w:rsidRPr="004905A0">
        <w:rPr>
          <w:rFonts w:ascii="Times New Roman" w:eastAsia="宋体" w:hAnsi="Times New Roman" w:cs="Times New Roman"/>
          <w:szCs w:val="21"/>
        </w:rPr>
        <w:t>Radiology and Biomedical Engineering</w:t>
      </w:r>
      <w:r w:rsidRPr="004905A0">
        <w:rPr>
          <w:rFonts w:ascii="Times New Roman" w:hAnsi="Times New Roman" w:cs="Times New Roman"/>
          <w:szCs w:val="21"/>
        </w:rPr>
        <w:t xml:space="preserve">, University of </w:t>
      </w:r>
      <w:r w:rsidRPr="004905A0">
        <w:rPr>
          <w:rFonts w:ascii="Times New Roman" w:eastAsia="宋体" w:hAnsi="Times New Roman" w:cs="Times New Roman"/>
          <w:szCs w:val="21"/>
        </w:rPr>
        <w:t>Iowa</w:t>
      </w:r>
      <w:r w:rsidRPr="004905A0">
        <w:rPr>
          <w:rFonts w:ascii="Times New Roman" w:hAnsi="Times New Roman" w:cs="Times New Roman"/>
          <w:szCs w:val="21"/>
        </w:rPr>
        <w:t xml:space="preserve">, </w:t>
      </w:r>
      <w:r w:rsidRPr="004905A0">
        <w:rPr>
          <w:rFonts w:ascii="Times New Roman" w:eastAsia="宋体" w:hAnsi="Times New Roman" w:cs="Times New Roman"/>
          <w:szCs w:val="21"/>
        </w:rPr>
        <w:t>Iowa City</w:t>
      </w:r>
      <w:r w:rsidRPr="004905A0">
        <w:rPr>
          <w:rFonts w:ascii="Times New Roman" w:hAnsi="Times New Roman" w:cs="Times New Roman"/>
          <w:szCs w:val="21"/>
        </w:rPr>
        <w:t xml:space="preserve">, </w:t>
      </w:r>
      <w:r w:rsidRPr="004905A0">
        <w:rPr>
          <w:rFonts w:ascii="Times New Roman" w:eastAsia="宋体" w:hAnsi="Times New Roman" w:cs="Times New Roman"/>
          <w:szCs w:val="21"/>
        </w:rPr>
        <w:t>IA, USA.</w:t>
      </w:r>
    </w:p>
    <w:p w:rsidR="0038728C" w:rsidRPr="004905A0" w:rsidRDefault="0038728C" w:rsidP="00395B8B">
      <w:pPr>
        <w:rPr>
          <w:rFonts w:ascii="Times New Roman" w:eastAsia="宋体" w:hAnsi="Times New Roman" w:cs="Times New Roman"/>
          <w:szCs w:val="21"/>
        </w:rPr>
      </w:pPr>
    </w:p>
    <w:p w:rsidR="0038728C" w:rsidRPr="004905A0" w:rsidRDefault="009F677A" w:rsidP="00395B8B">
      <w:pPr>
        <w:rPr>
          <w:rFonts w:ascii="Times New Roman" w:hAnsi="Times New Roman" w:cs="Times New Roman"/>
          <w:szCs w:val="21"/>
        </w:rPr>
      </w:pPr>
      <w:r w:rsidRPr="004905A0">
        <w:rPr>
          <w:rFonts w:ascii="Times New Roman" w:hAnsi="Times New Roman" w:cs="Times New Roman"/>
          <w:b/>
          <w:szCs w:val="21"/>
        </w:rPr>
        <w:t>250-word abstract text</w:t>
      </w:r>
      <w:r w:rsidRPr="004905A0">
        <w:rPr>
          <w:rFonts w:ascii="Times New Roman" w:hAnsi="Times New Roman" w:cs="Times New Roman"/>
          <w:szCs w:val="21"/>
        </w:rPr>
        <w:t>:</w:t>
      </w:r>
    </w:p>
    <w:p w:rsidR="009F677A" w:rsidRPr="004905A0" w:rsidRDefault="009F677A" w:rsidP="00395B8B">
      <w:pPr>
        <w:rPr>
          <w:rFonts w:ascii="Times New Roman" w:hAnsi="Times New Roman" w:cs="Times New Roman"/>
          <w:szCs w:val="21"/>
        </w:rPr>
      </w:pPr>
      <w:r w:rsidRPr="004905A0">
        <w:rPr>
          <w:rFonts w:ascii="Times New Roman" w:hAnsi="Times New Roman" w:cs="Times New Roman"/>
          <w:szCs w:val="21"/>
        </w:rPr>
        <w:t>Automatic identification of pulmonary lobes from imaging is important in lung disease assessment and treatment planning. However, the pulmonary lobar fissure can be difficult to detect automatically, as it is thin, usually of fuzzy appearance and incomplete, and can be obscured by or confused with features of disease. Traditional anatomical knowledge-based methods rely heavily on anatomic knowledge and largely ignore individual variability, which may result in failure in pathological lungs. In this study, we aim to overcome difficulties in identifying pulmonary fissures by using a statistical finite element shape model of lobes to guide lobar segmentation. By deforming a principle component analysis based statistical shape model onto an individual’s lung shape, we predict the likely region of fissure locations, to initialize the search region for fissures. Then, an eigenvalue of Hessian matrix analysis and a connected component eigenvector based analysis are used to determine a set of fissure-like candidate points. A smooth multi-level B-spline curve is fitted to the most fissure-like points (those with high fissure probability) and the fitted fissure plane is extrapolated to the lung boundaries. The method was tested on 20 inspiratory and expiratory CT scans, and the results show that the algorithm performs well both in healthy young subjects and older subjects with idiopathic pulmonary fibrosis. The method was able to estimate the fissure location in 100% of cases, whereas two other segmentation softwares which use anatomy-based method tested for comparison were unable to segment 7/20 and 9/20 subjects respectively.</w:t>
      </w:r>
    </w:p>
    <w:p w:rsidR="009F677A" w:rsidRPr="004905A0" w:rsidRDefault="009F677A" w:rsidP="00395B8B">
      <w:pPr>
        <w:rPr>
          <w:rFonts w:ascii="Times New Roman" w:hAnsi="Times New Roman" w:cs="Times New Roman"/>
          <w:szCs w:val="21"/>
        </w:rPr>
      </w:pPr>
    </w:p>
    <w:p w:rsidR="009F677A" w:rsidRPr="004905A0" w:rsidRDefault="009F677A" w:rsidP="00395B8B">
      <w:pPr>
        <w:rPr>
          <w:rFonts w:ascii="Times New Roman" w:hAnsi="Times New Roman" w:cs="Times New Roman"/>
          <w:szCs w:val="21"/>
        </w:rPr>
      </w:pPr>
      <w:r w:rsidRPr="004905A0">
        <w:rPr>
          <w:rFonts w:ascii="Times New Roman" w:hAnsi="Times New Roman" w:cs="Times New Roman"/>
          <w:b/>
          <w:szCs w:val="21"/>
        </w:rPr>
        <w:t>Description of purpose</w:t>
      </w:r>
      <w:r w:rsidRPr="004905A0">
        <w:rPr>
          <w:rFonts w:ascii="Times New Roman" w:hAnsi="Times New Roman" w:cs="Times New Roman"/>
          <w:szCs w:val="21"/>
        </w:rPr>
        <w:t>:</w:t>
      </w:r>
    </w:p>
    <w:p w:rsidR="00702E97" w:rsidRDefault="00702E97" w:rsidP="00395B8B">
      <w:pPr>
        <w:rPr>
          <w:rFonts w:ascii="Times New Roman" w:hAnsi="Times New Roman" w:cs="Times New Roman"/>
          <w:szCs w:val="21"/>
        </w:rPr>
      </w:pPr>
      <w:r w:rsidRPr="004905A0">
        <w:rPr>
          <w:rFonts w:ascii="Times New Roman" w:hAnsi="Times New Roman" w:cs="Times New Roman"/>
          <w:szCs w:val="21"/>
        </w:rPr>
        <w:t>Identification of these lobes in imaging is important for assessment of lung disease severity and treatment planning. The lobes act somewhat independently of each other with respect to respiratory function, thus many pulmonary diseases act at a lobar level. For clinical applications, identification of the pulmonary fissures can be an important step in the image-based study of lung function and disease: knowing the lobar distribution of pulmonary disease is beneficial for doctors to recognize pathogenesis and guide therapy</w:t>
      </w:r>
      <w:r w:rsidR="00340545">
        <w:rPr>
          <w:rFonts w:ascii="Times New Roman" w:hAnsi="Times New Roman" w:cs="Times New Roman"/>
          <w:szCs w:val="21"/>
        </w:rPr>
        <w:t xml:space="preserve">. </w:t>
      </w:r>
      <w:r w:rsidRPr="004905A0">
        <w:rPr>
          <w:rFonts w:ascii="Times New Roman" w:hAnsi="Times New Roman" w:cs="Times New Roman"/>
          <w:szCs w:val="21"/>
        </w:rPr>
        <w:t xml:space="preserve">However, the lobes are difficult to segment automatically as they can appear as faint or fuzzy lines in imaging, fissures can be incomplete (even in healthy patients), and there is anatomical variation in lobe shape and size between individuals. </w:t>
      </w:r>
      <w:r w:rsidR="006A2137">
        <w:rPr>
          <w:rFonts w:ascii="Times New Roman" w:hAnsi="Times New Roman" w:cs="Times New Roman"/>
          <w:szCs w:val="21"/>
        </w:rPr>
        <w:t>Current published</w:t>
      </w:r>
      <w:r w:rsidR="006A2137" w:rsidRPr="004905A0">
        <w:rPr>
          <w:rFonts w:ascii="Times New Roman" w:hAnsi="Times New Roman" w:cs="Times New Roman"/>
          <w:szCs w:val="21"/>
        </w:rPr>
        <w:t xml:space="preserve"> anato</w:t>
      </w:r>
      <w:r w:rsidR="006A2137">
        <w:rPr>
          <w:rFonts w:ascii="Times New Roman" w:hAnsi="Times New Roman" w:cs="Times New Roman"/>
          <w:szCs w:val="21"/>
        </w:rPr>
        <w:t>my</w:t>
      </w:r>
      <w:r w:rsidR="006A2137" w:rsidRPr="004905A0">
        <w:rPr>
          <w:rFonts w:ascii="Times New Roman" w:hAnsi="Times New Roman" w:cs="Times New Roman"/>
          <w:szCs w:val="21"/>
        </w:rPr>
        <w:t xml:space="preserve">-based methods rely heavily on anatomic knowledge </w:t>
      </w:r>
      <w:r w:rsidR="006D2A45">
        <w:rPr>
          <w:rFonts w:ascii="Times New Roman" w:hAnsi="Times New Roman" w:cs="Times New Roman"/>
          <w:szCs w:val="21"/>
        </w:rPr>
        <w:t>and often can’t perform well</w:t>
      </w:r>
      <w:r w:rsidR="006A2137" w:rsidRPr="004905A0">
        <w:rPr>
          <w:rFonts w:ascii="Times New Roman" w:hAnsi="Times New Roman" w:cs="Times New Roman"/>
          <w:szCs w:val="21"/>
        </w:rPr>
        <w:t xml:space="preserve"> in pathological lungs. In this study, we aim to </w:t>
      </w:r>
      <w:r w:rsidR="006D2A45">
        <w:rPr>
          <w:rFonts w:ascii="Times New Roman" w:hAnsi="Times New Roman" w:cs="Times New Roman"/>
          <w:szCs w:val="21"/>
        </w:rPr>
        <w:t xml:space="preserve">develop a statistical shape model guilded lobe segmentation method to </w:t>
      </w:r>
      <w:r w:rsidR="006A2137" w:rsidRPr="004905A0">
        <w:rPr>
          <w:rFonts w:ascii="Times New Roman" w:hAnsi="Times New Roman" w:cs="Times New Roman"/>
          <w:szCs w:val="21"/>
        </w:rPr>
        <w:t>overcome difficulties in</w:t>
      </w:r>
      <w:r w:rsidR="006D2A45">
        <w:rPr>
          <w:rFonts w:ascii="Times New Roman" w:hAnsi="Times New Roman" w:cs="Times New Roman"/>
          <w:szCs w:val="21"/>
        </w:rPr>
        <w:t xml:space="preserve"> identifying pulmonary fissures</w:t>
      </w:r>
      <w:r w:rsidR="006A2137" w:rsidRPr="004905A0">
        <w:rPr>
          <w:rFonts w:ascii="Times New Roman" w:hAnsi="Times New Roman" w:cs="Times New Roman"/>
          <w:szCs w:val="21"/>
        </w:rPr>
        <w:t>.</w:t>
      </w:r>
    </w:p>
    <w:p w:rsidR="00A0536B" w:rsidRPr="004905A0" w:rsidRDefault="00A0536B" w:rsidP="00395B8B">
      <w:pPr>
        <w:rPr>
          <w:rFonts w:ascii="Times New Roman" w:hAnsi="Times New Roman" w:cs="Times New Roman"/>
          <w:szCs w:val="21"/>
        </w:rPr>
      </w:pPr>
    </w:p>
    <w:p w:rsidR="00702E97" w:rsidRPr="004905A0" w:rsidRDefault="00DD3FFB" w:rsidP="00395B8B">
      <w:pPr>
        <w:rPr>
          <w:rFonts w:ascii="Times New Roman" w:hAnsi="Times New Roman" w:cs="Times New Roman"/>
          <w:szCs w:val="21"/>
        </w:rPr>
      </w:pPr>
      <w:r w:rsidRPr="004905A0">
        <w:rPr>
          <w:rFonts w:ascii="Times New Roman" w:hAnsi="Times New Roman" w:cs="Times New Roman"/>
          <w:b/>
          <w:szCs w:val="21"/>
        </w:rPr>
        <w:t>Methods</w:t>
      </w:r>
      <w:r w:rsidRPr="004905A0">
        <w:rPr>
          <w:rFonts w:ascii="Times New Roman" w:hAnsi="Times New Roman" w:cs="Times New Roman"/>
          <w:szCs w:val="21"/>
        </w:rPr>
        <w:t>:</w:t>
      </w:r>
    </w:p>
    <w:p w:rsidR="004D3A9A" w:rsidRPr="004905A0" w:rsidRDefault="00010C5E" w:rsidP="00395B8B">
      <w:pPr>
        <w:rPr>
          <w:rFonts w:ascii="Times New Roman" w:hAnsi="Times New Roman" w:cs="Times New Roman"/>
          <w:i/>
          <w:szCs w:val="21"/>
        </w:rPr>
      </w:pPr>
      <w:r w:rsidRPr="004905A0">
        <w:rPr>
          <w:rFonts w:ascii="Times New Roman" w:hAnsi="Times New Roman" w:cs="Times New Roman"/>
          <w:i/>
          <w:szCs w:val="21"/>
        </w:rPr>
        <w:t>1</w:t>
      </w:r>
      <w:r w:rsidRPr="004905A0">
        <w:rPr>
          <w:rFonts w:ascii="Times New Roman" w:hAnsi="Times New Roman" w:cs="Times New Roman"/>
          <w:i/>
          <w:szCs w:val="21"/>
        </w:rPr>
        <w:t xml:space="preserve">. </w:t>
      </w:r>
      <w:r w:rsidR="00DD3FFB" w:rsidRPr="004905A0">
        <w:rPr>
          <w:rFonts w:ascii="Times New Roman" w:hAnsi="Times New Roman" w:cs="Times New Roman"/>
          <w:i/>
          <w:szCs w:val="21"/>
        </w:rPr>
        <w:t>LungSegmentation</w:t>
      </w:r>
    </w:p>
    <w:p w:rsidR="00010C5E" w:rsidRPr="00752ACF" w:rsidRDefault="00DE2136" w:rsidP="00752ACF">
      <w:pPr>
        <w:rPr>
          <w:rFonts w:ascii="Times New Roman" w:hAnsi="Times New Roman" w:cs="Times New Roman" w:hint="eastAsia"/>
          <w:szCs w:val="21"/>
        </w:rPr>
      </w:pPr>
      <w:r w:rsidRPr="004905A0">
        <w:rPr>
          <w:rFonts w:ascii="Times New Roman" w:hAnsi="Times New Roman" w:cs="Times New Roman"/>
          <w:szCs w:val="21"/>
        </w:rPr>
        <w:t>A commonly used thresholding method is used to segment the lungs</w:t>
      </w:r>
      <w:r w:rsidRPr="004905A0">
        <w:rPr>
          <w:rFonts w:ascii="Times New Roman" w:hAnsi="Times New Roman" w:cs="Times New Roman"/>
          <w:szCs w:val="21"/>
        </w:rPr>
        <w:t>.</w:t>
      </w:r>
    </w:p>
    <w:p w:rsidR="004D3A9A" w:rsidRPr="004905A0" w:rsidRDefault="00010C5E" w:rsidP="00395B8B">
      <w:pPr>
        <w:pStyle w:val="p1a"/>
        <w:rPr>
          <w:rFonts w:ascii="Times New Roman" w:hAnsi="Times New Roman"/>
          <w:i/>
          <w:szCs w:val="21"/>
        </w:rPr>
      </w:pPr>
      <w:r w:rsidRPr="004905A0">
        <w:rPr>
          <w:rFonts w:ascii="Times New Roman" w:hAnsi="Times New Roman"/>
          <w:i/>
          <w:szCs w:val="21"/>
        </w:rPr>
        <w:lastRenderedPageBreak/>
        <w:t xml:space="preserve">2. </w:t>
      </w:r>
      <w:r w:rsidR="00170E0E" w:rsidRPr="004905A0">
        <w:rPr>
          <w:rFonts w:ascii="Times New Roman" w:hAnsi="Times New Roman"/>
          <w:i/>
          <w:szCs w:val="21"/>
        </w:rPr>
        <w:t>Statistical finite element models of lung and fissure shape</w:t>
      </w:r>
    </w:p>
    <w:p w:rsidR="00010C5E" w:rsidRPr="004905A0" w:rsidRDefault="00010C5E" w:rsidP="00395B8B">
      <w:pPr>
        <w:pStyle w:val="p1a"/>
        <w:rPr>
          <w:rFonts w:ascii="Times New Roman" w:hAnsi="Times New Roman"/>
          <w:szCs w:val="21"/>
        </w:rPr>
      </w:pPr>
      <w:r w:rsidRPr="004905A0">
        <w:rPr>
          <w:rFonts w:ascii="Times New Roman" w:hAnsi="Times New Roman"/>
          <w:szCs w:val="21"/>
        </w:rPr>
        <w:t xml:space="preserve">To guide fissure detection, a statistical shape model (SSM) based on an active shape model (ASM) of the lung was derived from a training set of segmented lung and fissure surface locations. The training set consisted of data from </w:t>
      </w:r>
      <w:r w:rsidR="00734120" w:rsidRPr="004905A0">
        <w:rPr>
          <w:rFonts w:ascii="Times New Roman" w:hAnsi="Times New Roman"/>
          <w:szCs w:val="21"/>
        </w:rPr>
        <w:t>50</w:t>
      </w:r>
      <w:r w:rsidRPr="004905A0">
        <w:rPr>
          <w:rFonts w:ascii="Times New Roman" w:hAnsi="Times New Roman"/>
          <w:szCs w:val="21"/>
        </w:rPr>
        <w:t xml:space="preserve"> healthy non-smokers (</w:t>
      </w:r>
      <w:r w:rsidR="00A70D01" w:rsidRPr="004905A0">
        <w:rPr>
          <w:rFonts w:ascii="Times New Roman" w:hAnsi="Times New Roman"/>
          <w:szCs w:val="21"/>
        </w:rPr>
        <w:t>15 young and 3</w:t>
      </w:r>
      <w:r w:rsidR="00BA6DA4" w:rsidRPr="004905A0">
        <w:rPr>
          <w:rFonts w:ascii="Times New Roman" w:hAnsi="Times New Roman"/>
          <w:szCs w:val="21"/>
        </w:rPr>
        <w:t>5 old</w:t>
      </w:r>
      <w:r w:rsidRPr="004905A0">
        <w:rPr>
          <w:rFonts w:ascii="Times New Roman" w:hAnsi="Times New Roman"/>
          <w:szCs w:val="21"/>
        </w:rPr>
        <w:t xml:space="preserve">) that was retrospectively selected from </w:t>
      </w:r>
      <w:r w:rsidR="002622E6" w:rsidRPr="004905A0">
        <w:rPr>
          <w:rFonts w:ascii="Times New Roman" w:hAnsi="Times New Roman"/>
          <w:szCs w:val="21"/>
        </w:rPr>
        <w:t>human aging cohort (AGING) database and</w:t>
      </w:r>
      <w:r w:rsidRPr="004905A0">
        <w:rPr>
          <w:rFonts w:ascii="Times New Roman" w:hAnsi="Times New Roman"/>
          <w:szCs w:val="21"/>
        </w:rPr>
        <w:t xml:space="preserve"> Human Lung Atlas (HLA) database. </w:t>
      </w:r>
      <w:r w:rsidR="009813A4" w:rsidRPr="004905A0">
        <w:rPr>
          <w:rFonts w:ascii="Times New Roman" w:hAnsi="Times New Roman"/>
          <w:szCs w:val="21"/>
        </w:rPr>
        <w:t>A high order (bi-cubic Hermite)</w:t>
      </w:r>
      <w:r w:rsidRPr="004905A0">
        <w:rPr>
          <w:rFonts w:ascii="Times New Roman" w:hAnsi="Times New Roman"/>
          <w:szCs w:val="21"/>
        </w:rPr>
        <w:t xml:space="preserve"> finite element surface mesh</w:t>
      </w:r>
      <w:r w:rsidR="009813A4">
        <w:rPr>
          <w:rFonts w:ascii="Times New Roman" w:hAnsi="Times New Roman"/>
          <w:szCs w:val="21"/>
        </w:rPr>
        <w:t xml:space="preserve"> </w:t>
      </w:r>
      <w:r w:rsidR="009813A4" w:rsidRPr="004905A0">
        <w:rPr>
          <w:rFonts w:ascii="Times New Roman" w:hAnsi="Times New Roman"/>
          <w:szCs w:val="21"/>
        </w:rPr>
        <w:t>with the same mesh connectivity for each subject</w:t>
      </w:r>
      <w:r w:rsidRPr="004905A0">
        <w:rPr>
          <w:rFonts w:ascii="Times New Roman" w:hAnsi="Times New Roman"/>
          <w:szCs w:val="21"/>
        </w:rPr>
        <w:t xml:space="preserve"> was used to describe the shape of the lung and its fissures in terms of the ASM. The template mesh for the left lung mesh has 35 nodes and 44 elements, while the right lung mesh has 50 nodes and 62 elements. Each node has 12 degrees of freedom (DoF) which store the global coordinates and first and second nodal derivatives.</w:t>
      </w:r>
    </w:p>
    <w:p w:rsidR="00010C5E" w:rsidRPr="004905A0" w:rsidRDefault="00010C5E" w:rsidP="00395B8B">
      <w:pPr>
        <w:rPr>
          <w:rFonts w:ascii="Times New Roman" w:hAnsi="Times New Roman" w:cs="Times New Roman"/>
          <w:szCs w:val="21"/>
        </w:rPr>
      </w:pPr>
      <w:r w:rsidRPr="004905A0">
        <w:rPr>
          <w:rFonts w:ascii="Times New Roman" w:hAnsi="Times New Roman" w:cs="Times New Roman"/>
          <w:szCs w:val="21"/>
        </w:rPr>
        <w:t>To construct the SSM, the location and derivatives at each node (landmark or pseudo-landmark) in the finite element mesh was used in a principal component analysis (PCA) conducted on the training set. To remove orientation and scaling differences between shapes, a general procrustes alignment (GPA) method was used to minimize the distance between subject meshes through calculating an optimal rotation matrix and translation</w:t>
      </w:r>
      <w:r w:rsidR="00864DBC">
        <w:rPr>
          <w:rFonts w:ascii="Times New Roman" w:hAnsi="Times New Roman" w:cs="Times New Roman"/>
          <w:szCs w:val="21"/>
        </w:rPr>
        <w:t>, then the volume</w:t>
      </w:r>
      <w:r w:rsidRPr="004905A0">
        <w:rPr>
          <w:rFonts w:ascii="Times New Roman" w:hAnsi="Times New Roman" w:cs="Times New Roman"/>
          <w:szCs w:val="21"/>
        </w:rPr>
        <w:t xml:space="preserve"> of all subjects were normalized. The procrustes aligned mesh was represented by</w:t>
      </w:r>
    </w:p>
    <w:p w:rsidR="00010C5E" w:rsidRPr="004905A0" w:rsidRDefault="00010C5E" w:rsidP="00395B8B">
      <w:pPr>
        <w:pStyle w:val="equation"/>
        <w:jc w:val="center"/>
        <w:rPr>
          <w:rFonts w:ascii="Times New Roman" w:hAnsi="Times New Roman"/>
          <w:sz w:val="21"/>
          <w:szCs w:val="21"/>
        </w:rPr>
      </w:pPr>
      <m:oMath>
        <m:r>
          <m:rPr>
            <m:sty m:val="p"/>
          </m:rPr>
          <w:rPr>
            <w:rFonts w:ascii="Cambria Math" w:hAnsi="Cambria Math"/>
            <w:sz w:val="21"/>
            <w:szCs w:val="21"/>
          </w:rPr>
          <m:t>B=[</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x</m:t>
                </m:r>
              </m:e>
              <m:sub>
                <m:r>
                  <m:rPr>
                    <m:sty m:val="p"/>
                  </m:rPr>
                  <w:rPr>
                    <w:rFonts w:ascii="Cambria Math" w:hAnsi="Cambria Math"/>
                    <w:sz w:val="21"/>
                    <w:szCs w:val="21"/>
                  </w:rPr>
                  <m:t>1</m:t>
                </m:r>
              </m:sub>
            </m:sSub>
            <m:r>
              <m:rPr>
                <m:sty m:val="p"/>
              </m:rPr>
              <w:rPr>
                <w:rFonts w:ascii="Cambria Math" w:hAnsi="Cambria Math"/>
                <w:sz w:val="21"/>
                <w:szCs w:val="21"/>
              </w:rPr>
              <m:t xml:space="preserve"> </m:t>
            </m:r>
          </m:e>
        </m:acc>
        <m:r>
          <m:rPr>
            <m:sty m:val="p"/>
          </m:rPr>
          <w:rPr>
            <w:rFonts w:ascii="Cambria Math" w:hAnsi="Cambria Math"/>
            <w:sz w:val="21"/>
            <w:szCs w:val="21"/>
          </w:rPr>
          <m:t xml:space="preserve"> </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y</m:t>
                </m:r>
              </m:e>
              <m:sub>
                <m:r>
                  <m:rPr>
                    <m:sty m:val="p"/>
                  </m:rPr>
                  <w:rPr>
                    <w:rFonts w:ascii="Cambria Math" w:hAnsi="Cambria Math"/>
                    <w:sz w:val="21"/>
                    <w:szCs w:val="21"/>
                  </w:rPr>
                  <m:t>1</m:t>
                </m:r>
              </m:sub>
            </m:sSub>
            <m:r>
              <m:rPr>
                <m:sty m:val="p"/>
              </m:rPr>
              <w:rPr>
                <w:rFonts w:ascii="Cambria Math" w:hAnsi="Cambria Math"/>
                <w:sz w:val="21"/>
                <w:szCs w:val="21"/>
              </w:rPr>
              <m:t xml:space="preserve"> </m:t>
            </m:r>
          </m:e>
        </m:acc>
        <m:r>
          <m:rPr>
            <m:sty m:val="p"/>
          </m:rPr>
          <w:rPr>
            <w:rFonts w:ascii="Cambria Math" w:hAnsi="Cambria Math"/>
            <w:sz w:val="21"/>
            <w:szCs w:val="21"/>
          </w:rPr>
          <m:t xml:space="preserve"> </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z</m:t>
                </m:r>
              </m:e>
              <m:sub>
                <m:r>
                  <m:rPr>
                    <m:sty m:val="p"/>
                  </m:rPr>
                  <w:rPr>
                    <w:rFonts w:ascii="Cambria Math" w:hAnsi="Cambria Math"/>
                    <w:sz w:val="21"/>
                    <w:szCs w:val="21"/>
                  </w:rPr>
                  <m:t>1</m:t>
                </m:r>
              </m:sub>
            </m:sSub>
            <m:r>
              <m:rPr>
                <m:sty m:val="p"/>
              </m:rPr>
              <w:rPr>
                <w:rFonts w:ascii="Cambria Math" w:hAnsi="Cambria Math"/>
                <w:sz w:val="21"/>
                <w:szCs w:val="21"/>
              </w:rPr>
              <m:t xml:space="preserve"> </m:t>
            </m:r>
          </m:e>
        </m:acc>
        <m:r>
          <m:rPr>
            <m:sty m:val="p"/>
          </m:rPr>
          <w:rPr>
            <w:rFonts w:ascii="Cambria Math" w:hAnsi="Cambria Math"/>
            <w:sz w:val="21"/>
            <w:szCs w:val="21"/>
          </w:rPr>
          <m:t xml:space="preserve"> </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x</m:t>
                </m:r>
              </m:e>
              <m:sub>
                <m:r>
                  <m:rPr>
                    <m:sty m:val="p"/>
                  </m:rPr>
                  <w:rPr>
                    <w:rFonts w:ascii="Cambria Math" w:hAnsi="Cambria Math"/>
                    <w:sz w:val="21"/>
                    <w:szCs w:val="21"/>
                  </w:rPr>
                  <m:t>2</m:t>
                </m:r>
              </m:sub>
            </m:sSub>
            <m:r>
              <m:rPr>
                <m:sty m:val="p"/>
              </m:rPr>
              <w:rPr>
                <w:rFonts w:ascii="Cambria Math" w:hAnsi="Cambria Math"/>
                <w:sz w:val="21"/>
                <w:szCs w:val="21"/>
              </w:rPr>
              <m:t xml:space="preserve"> </m:t>
            </m:r>
          </m:e>
        </m:acc>
        <m:r>
          <m:rPr>
            <m:sty m:val="p"/>
          </m:rPr>
          <w:rPr>
            <w:rFonts w:ascii="Cambria Math" w:hAnsi="Cambria Math"/>
            <w:sz w:val="21"/>
            <w:szCs w:val="21"/>
          </w:rPr>
          <m:t xml:space="preserve"> </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y</m:t>
                </m:r>
              </m:e>
              <m:sub>
                <m:r>
                  <m:rPr>
                    <m:sty m:val="p"/>
                  </m:rPr>
                  <w:rPr>
                    <w:rFonts w:ascii="Cambria Math" w:hAnsi="Cambria Math"/>
                    <w:sz w:val="21"/>
                    <w:szCs w:val="21"/>
                  </w:rPr>
                  <m:t>2</m:t>
                </m:r>
              </m:sub>
            </m:sSub>
            <m:r>
              <m:rPr>
                <m:sty m:val="p"/>
              </m:rPr>
              <w:rPr>
                <w:rFonts w:ascii="Cambria Math" w:hAnsi="Cambria Math"/>
                <w:sz w:val="21"/>
                <w:szCs w:val="21"/>
              </w:rPr>
              <m:t xml:space="preserve"> </m:t>
            </m:r>
          </m:e>
        </m:acc>
        <m:r>
          <m:rPr>
            <m:sty m:val="p"/>
          </m:rPr>
          <w:rPr>
            <w:rFonts w:ascii="Cambria Math" w:hAnsi="Cambria Math"/>
            <w:sz w:val="21"/>
            <w:szCs w:val="21"/>
          </w:rPr>
          <m:t xml:space="preserve"> </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z</m:t>
                </m:r>
              </m:e>
              <m:sub>
                <m:r>
                  <m:rPr>
                    <m:sty m:val="p"/>
                  </m:rPr>
                  <w:rPr>
                    <w:rFonts w:ascii="Cambria Math" w:hAnsi="Cambria Math"/>
                    <w:sz w:val="21"/>
                    <w:szCs w:val="21"/>
                  </w:rPr>
                  <m:t>2</m:t>
                </m:r>
              </m:sub>
            </m:sSub>
            <m:r>
              <m:rPr>
                <m:sty m:val="p"/>
              </m:rPr>
              <w:rPr>
                <w:rFonts w:ascii="Cambria Math" w:hAnsi="Cambria Math"/>
                <w:sz w:val="21"/>
                <w:szCs w:val="21"/>
              </w:rPr>
              <m:t xml:space="preserve"> </m:t>
            </m:r>
          </m:e>
        </m:acc>
        <m:r>
          <m:rPr>
            <m:sty m:val="p"/>
          </m:rPr>
          <w:rPr>
            <w:rFonts w:ascii="Cambria Math" w:hAnsi="Cambria Math"/>
            <w:sz w:val="21"/>
            <w:szCs w:val="21"/>
          </w:rPr>
          <m:t>⋯</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p</m:t>
                </m:r>
              </m:sub>
            </m:sSub>
            <m:r>
              <m:rPr>
                <m:sty m:val="p"/>
              </m:rPr>
              <w:rPr>
                <w:rFonts w:ascii="Cambria Math" w:hAnsi="Cambria Math"/>
                <w:sz w:val="21"/>
                <w:szCs w:val="21"/>
              </w:rPr>
              <m:t xml:space="preserve"> </m:t>
            </m:r>
          </m:e>
        </m:acc>
        <m:r>
          <m:rPr>
            <m:sty m:val="p"/>
          </m:rPr>
          <w:rPr>
            <w:rFonts w:ascii="Cambria Math" w:hAnsi="Cambria Math"/>
            <w:sz w:val="21"/>
            <w:szCs w:val="21"/>
          </w:rPr>
          <m:t xml:space="preserve"> </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p</m:t>
                </m:r>
              </m:sub>
            </m:sSub>
            <m:r>
              <m:rPr>
                <m:sty m:val="p"/>
              </m:rPr>
              <w:rPr>
                <w:rFonts w:ascii="Cambria Math" w:hAnsi="Cambria Math"/>
                <w:sz w:val="21"/>
                <w:szCs w:val="21"/>
              </w:rPr>
              <m:t xml:space="preserve"> </m:t>
            </m:r>
          </m:e>
        </m:acc>
        <m:r>
          <m:rPr>
            <m:sty m:val="p"/>
          </m:rPr>
          <w:rPr>
            <w:rFonts w:ascii="Cambria Math" w:hAnsi="Cambria Math"/>
            <w:sz w:val="21"/>
            <w:szCs w:val="21"/>
          </w:rPr>
          <m:t xml:space="preserve"> </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z</m:t>
                </m:r>
              </m:e>
              <m:sub>
                <m:r>
                  <w:rPr>
                    <w:rFonts w:ascii="Cambria Math" w:hAnsi="Cambria Math"/>
                    <w:sz w:val="21"/>
                    <w:szCs w:val="21"/>
                  </w:rPr>
                  <m:t>p</m:t>
                </m:r>
              </m:sub>
            </m:sSub>
            <m:r>
              <m:rPr>
                <m:sty m:val="p"/>
              </m:rPr>
              <w:rPr>
                <w:rFonts w:ascii="Cambria Math" w:hAnsi="Cambria Math"/>
                <w:sz w:val="21"/>
                <w:szCs w:val="21"/>
              </w:rPr>
              <m:t xml:space="preserve"> </m:t>
            </m:r>
          </m:e>
        </m:acc>
        <m:r>
          <m:rPr>
            <m:sty m:val="p"/>
          </m:rPr>
          <w:rPr>
            <w:rFonts w:ascii="Cambria Math" w:hAnsi="Cambria Math"/>
            <w:sz w:val="21"/>
            <w:szCs w:val="21"/>
          </w:rPr>
          <m:t>]</m:t>
        </m:r>
      </m:oMath>
      <w:r w:rsidRPr="004905A0">
        <w:rPr>
          <w:rFonts w:ascii="Times New Roman" w:hAnsi="Times New Roman"/>
          <w:sz w:val="21"/>
          <w:szCs w:val="21"/>
        </w:rPr>
        <w:t>,</w:t>
      </w:r>
    </w:p>
    <w:p w:rsidR="00010C5E" w:rsidRPr="004905A0" w:rsidRDefault="00010C5E" w:rsidP="00395B8B">
      <w:pPr>
        <w:rPr>
          <w:rFonts w:ascii="Times New Roman" w:hAnsi="Times New Roman"/>
          <w:szCs w:val="21"/>
        </w:rPr>
      </w:pPr>
      <w:r w:rsidRPr="004905A0">
        <w:rPr>
          <w:rFonts w:ascii="Times New Roman" w:hAnsi="Times New Roman" w:cs="Times New Roman"/>
          <w:szCs w:val="21"/>
        </w:rPr>
        <w:t xml:space="preserve">where p is the total number of nodes of all the subjects (2550 nodes for our study, for 30 subjects in total), and the over-line represents GPA to the mean. The matrix B was decomposed into modes of shape variation by a PCA. In this study each mode represents one type of lung and fissure surface shape variation. The first seven principal components accounted for over 90% of the total variation in the training set. </w:t>
      </w:r>
      <w:r w:rsidR="00790776">
        <w:rPr>
          <w:rFonts w:ascii="Times New Roman" w:hAnsi="Times New Roman" w:cs="Times New Roman"/>
          <w:szCs w:val="21"/>
        </w:rPr>
        <w:t>Then lung and lobe SSM</w:t>
      </w:r>
      <w:r w:rsidRPr="004905A0">
        <w:rPr>
          <w:rFonts w:ascii="Times New Roman" w:hAnsi="Times New Roman"/>
          <w:szCs w:val="21"/>
        </w:rPr>
        <w:t xml:space="preserve"> </w:t>
      </w:r>
      <w:r w:rsidR="00790776">
        <w:rPr>
          <w:rFonts w:ascii="Times New Roman" w:hAnsi="Times New Roman"/>
          <w:szCs w:val="21"/>
        </w:rPr>
        <w:t>were constructed based on PCA.</w:t>
      </w:r>
      <w:bookmarkStart w:id="0" w:name="_GoBack"/>
      <w:bookmarkEnd w:id="0"/>
    </w:p>
    <w:p w:rsidR="004D3A9A" w:rsidRPr="004905A0" w:rsidRDefault="004D3A9A" w:rsidP="00395B8B">
      <w:pPr>
        <w:rPr>
          <w:rFonts w:ascii="Times New Roman" w:hAnsi="Times New Roman" w:cs="Times New Roman"/>
          <w:i/>
          <w:szCs w:val="21"/>
        </w:rPr>
      </w:pPr>
      <w:r w:rsidRPr="004905A0">
        <w:rPr>
          <w:rFonts w:ascii="Times New Roman" w:hAnsi="Times New Roman" w:cs="Times New Roman"/>
          <w:i/>
          <w:szCs w:val="21"/>
        </w:rPr>
        <w:t>3</w:t>
      </w:r>
      <w:r w:rsidRPr="004905A0">
        <w:rPr>
          <w:rFonts w:ascii="Times New Roman" w:hAnsi="Times New Roman" w:cs="Times New Roman"/>
          <w:i/>
          <w:szCs w:val="21"/>
        </w:rPr>
        <w:t>.</w:t>
      </w:r>
      <w:r w:rsidRPr="004905A0">
        <w:rPr>
          <w:rFonts w:ascii="Times New Roman" w:hAnsi="Times New Roman" w:cs="Times New Roman"/>
          <w:i/>
          <w:szCs w:val="21"/>
        </w:rPr>
        <w:t xml:space="preserve"> Initial prediction of lobar location in an individual</w:t>
      </w:r>
    </w:p>
    <w:p w:rsidR="0069509F" w:rsidRPr="00752ACF" w:rsidRDefault="004D3A9A" w:rsidP="00395B8B">
      <w:pPr>
        <w:rPr>
          <w:rFonts w:ascii="Times New Roman" w:hAnsi="Times New Roman" w:hint="eastAsia"/>
          <w:szCs w:val="21"/>
        </w:rPr>
      </w:pPr>
      <w:r w:rsidRPr="004905A0">
        <w:rPr>
          <w:rFonts w:ascii="Times New Roman" w:hAnsi="Times New Roman"/>
          <w:szCs w:val="21"/>
        </w:rPr>
        <w:t xml:space="preserve">A finite element mesh of the lung surface (without fissure information) was generated for a new subject. This lung surface mesh was projected on to the lung SSM (with no fissure surfaces). The principal component weight values were calculated from the projection and these weights were used to deform the </w:t>
      </w:r>
      <w:r w:rsidR="00790776">
        <w:rPr>
          <w:rFonts w:ascii="Times New Roman" w:hAnsi="Times New Roman"/>
          <w:szCs w:val="21"/>
        </w:rPr>
        <w:t xml:space="preserve">lobe </w:t>
      </w:r>
      <w:r w:rsidRPr="004905A0">
        <w:rPr>
          <w:rFonts w:ascii="Times New Roman" w:hAnsi="Times New Roman"/>
          <w:szCs w:val="21"/>
        </w:rPr>
        <w:t xml:space="preserve">SSM that contained both lung and fissure surfaces to the subject, to give an initial estimation of fissure locations. </w:t>
      </w:r>
    </w:p>
    <w:p w:rsidR="003A2C34" w:rsidRPr="004905A0" w:rsidRDefault="004D3A9A" w:rsidP="00395B8B">
      <w:pPr>
        <w:rPr>
          <w:rFonts w:ascii="Times New Roman" w:hAnsi="Times New Roman"/>
          <w:i/>
          <w:szCs w:val="21"/>
        </w:rPr>
      </w:pPr>
      <w:r w:rsidRPr="004905A0">
        <w:rPr>
          <w:rFonts w:ascii="Times New Roman" w:hAnsi="Times New Roman" w:cs="Times New Roman"/>
          <w:i/>
          <w:szCs w:val="21"/>
        </w:rPr>
        <w:t>4</w:t>
      </w:r>
      <w:r w:rsidRPr="004905A0">
        <w:rPr>
          <w:rFonts w:ascii="Times New Roman" w:hAnsi="Times New Roman" w:cs="Times New Roman"/>
          <w:i/>
          <w:szCs w:val="21"/>
        </w:rPr>
        <w:t>.</w:t>
      </w:r>
      <w:r w:rsidR="003A2C34" w:rsidRPr="004905A0">
        <w:rPr>
          <w:rFonts w:ascii="Times New Roman" w:hAnsi="Times New Roman"/>
          <w:i/>
          <w:szCs w:val="21"/>
        </w:rPr>
        <w:t xml:space="preserve"> Multiscale Hessian-based fissure detection</w:t>
      </w:r>
    </w:p>
    <w:p w:rsidR="003A2C34" w:rsidRPr="004905A0" w:rsidRDefault="003A2C34" w:rsidP="00395B8B">
      <w:pPr>
        <w:rPr>
          <w:rFonts w:ascii="Times New Roman" w:hAnsi="Times New Roman"/>
          <w:szCs w:val="21"/>
        </w:rPr>
      </w:pPr>
      <w:r w:rsidRPr="004905A0">
        <w:rPr>
          <w:rFonts w:ascii="Times New Roman" w:hAnsi="Times New Roman"/>
          <w:szCs w:val="21"/>
        </w:rPr>
        <w:t>The location of t</w:t>
      </w:r>
      <w:r w:rsidR="00E76CA3">
        <w:rPr>
          <w:rFonts w:ascii="Times New Roman" w:hAnsi="Times New Roman"/>
          <w:szCs w:val="21"/>
        </w:rPr>
        <w:t>he SSM predicted fissure planes</w:t>
      </w:r>
      <w:r w:rsidRPr="004905A0">
        <w:rPr>
          <w:rFonts w:ascii="Times New Roman" w:hAnsi="Times New Roman"/>
          <w:szCs w:val="21"/>
        </w:rPr>
        <w:t xml:space="preserve"> were used to guide a Hessian based fissure detection in an individual. Gaussian filters with kernel sizes from 0.5-2.5 mm in 0.5 mm increments were applied to the image set. The responses at each kernel were combined to get a maximum response for each voxel of the image. At each image voxel, the Hessian matrix was constructed as a symmetric matrix. For a fissure structure presents as a light plane on a dark background</w:t>
      </w:r>
      <w:r w:rsidR="00864DBC">
        <w:rPr>
          <w:rFonts w:ascii="Times New Roman" w:hAnsi="Times New Roman"/>
          <w:szCs w:val="21"/>
        </w:rPr>
        <w:t>,</w:t>
      </w:r>
      <w:r w:rsidRPr="004905A0">
        <w:rPr>
          <w:rFonts w:ascii="Times New Roman" w:hAnsi="Times New Roman"/>
          <w:szCs w:val="21"/>
        </w:rPr>
        <w:t xml:space="preserve"> the relationship of eigenvalues</w:t>
      </w:r>
      <w:r w:rsidR="00726E95" w:rsidRPr="004905A0">
        <w:rPr>
          <w:rFonts w:ascii="Times New Roman" w:hAnsi="Times New Roman"/>
          <w:szCs w:val="21"/>
        </w:rPr>
        <w:t xml:space="preserve"> </w:t>
      </w:r>
      <m:oMath>
        <m:sSub>
          <m:sSubPr>
            <m:ctrlPr>
              <w:rPr>
                <w:rFonts w:ascii="Cambria Math" w:hAnsi="Cambria Math"/>
                <w:szCs w:val="21"/>
              </w:rPr>
            </m:ctrlPr>
          </m:sSubPr>
          <m:e>
            <m:r>
              <m:rPr>
                <m:sty m:val="p"/>
              </m:rPr>
              <w:rPr>
                <w:rFonts w:ascii="Cambria Math" w:hAnsi="Cambria Math"/>
                <w:szCs w:val="21"/>
              </w:rPr>
              <m:t>λ</m:t>
            </m:r>
          </m:e>
          <m:sub>
            <m:r>
              <w:rPr>
                <w:rFonts w:ascii="Cambria Math" w:hAnsi="Cambria Math"/>
                <w:szCs w:val="21"/>
              </w:rPr>
              <m:t>1</m:t>
            </m:r>
          </m:sub>
        </m:sSub>
      </m:oMath>
      <w:r w:rsidR="00726E95" w:rsidRPr="004905A0">
        <w:rPr>
          <w:rFonts w:ascii="Times New Roman" w:hAnsi="Times New Roman"/>
          <w:szCs w:val="21"/>
        </w:rPr>
        <w:t xml:space="preserve">, </w:t>
      </w:r>
      <m:oMath>
        <m:sSub>
          <m:sSubPr>
            <m:ctrlPr>
              <w:rPr>
                <w:rFonts w:ascii="Cambria Math" w:hAnsi="Cambria Math"/>
                <w:szCs w:val="21"/>
              </w:rPr>
            </m:ctrlPr>
          </m:sSubPr>
          <m:e>
            <m:r>
              <m:rPr>
                <m:sty m:val="p"/>
              </m:rPr>
              <w:rPr>
                <w:rFonts w:ascii="Cambria Math" w:hAnsi="Cambria Math"/>
                <w:szCs w:val="21"/>
              </w:rPr>
              <m:t>λ</m:t>
            </m:r>
          </m:e>
          <m:sub>
            <m:r>
              <w:rPr>
                <w:rFonts w:ascii="Cambria Math" w:hAnsi="Cambria Math"/>
                <w:szCs w:val="21"/>
              </w:rPr>
              <m:t>2</m:t>
            </m:r>
          </m:sub>
        </m:sSub>
      </m:oMath>
      <w:r w:rsidR="00726E95" w:rsidRPr="004905A0">
        <w:rPr>
          <w:rFonts w:ascii="Times New Roman" w:hAnsi="Times New Roman"/>
          <w:szCs w:val="21"/>
        </w:rPr>
        <w:t xml:space="preserve">, </w:t>
      </w:r>
      <m:oMath>
        <m:sSub>
          <m:sSubPr>
            <m:ctrlPr>
              <w:rPr>
                <w:rFonts w:ascii="Cambria Math" w:hAnsi="Cambria Math"/>
                <w:szCs w:val="21"/>
              </w:rPr>
            </m:ctrlPr>
          </m:sSubPr>
          <m:e>
            <m:r>
              <m:rPr>
                <m:sty m:val="p"/>
              </m:rPr>
              <w:rPr>
                <w:rFonts w:ascii="Cambria Math" w:hAnsi="Cambria Math"/>
                <w:szCs w:val="21"/>
              </w:rPr>
              <m:t>λ</m:t>
            </m:r>
          </m:e>
          <m:sub>
            <m:r>
              <w:rPr>
                <w:rFonts w:ascii="Cambria Math" w:hAnsi="Cambria Math"/>
                <w:szCs w:val="21"/>
              </w:rPr>
              <m:t>3</m:t>
            </m:r>
          </m:sub>
        </m:sSub>
      </m:oMath>
      <w:r w:rsidR="00726E95" w:rsidRPr="004905A0">
        <w:rPr>
          <w:rFonts w:ascii="Times New Roman" w:hAnsi="Times New Roman"/>
          <w:szCs w:val="21"/>
        </w:rPr>
        <w:t xml:space="preserve"> </w:t>
      </w:r>
      <w:r w:rsidR="00864DBC">
        <w:rPr>
          <w:rFonts w:ascii="Times New Roman" w:hAnsi="Times New Roman"/>
          <w:szCs w:val="21"/>
        </w:rPr>
        <w:t>of Hessian</w:t>
      </w:r>
      <w:r w:rsidR="00726E95">
        <w:rPr>
          <w:rFonts w:ascii="Times New Roman" w:hAnsi="Times New Roman"/>
          <w:szCs w:val="21"/>
        </w:rPr>
        <w:t xml:space="preserve"> were </w:t>
      </w:r>
      <w:r w:rsidRPr="004905A0">
        <w:rPr>
          <w:rFonts w:ascii="Times New Roman" w:hAnsi="Times New Roman"/>
          <w:szCs w:val="21"/>
        </w:rPr>
        <w:t xml:space="preserve">defined as  </w:t>
      </w:r>
      <m:oMath>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λ</m:t>
                </m:r>
              </m:e>
              <m:sub>
                <m:r>
                  <w:rPr>
                    <w:rFonts w:ascii="Cambria Math" w:hAnsi="Cambria Math"/>
                    <w:szCs w:val="21"/>
                  </w:rPr>
                  <m:t>1</m:t>
                </m:r>
              </m:sub>
            </m:sSub>
          </m:e>
        </m:d>
        <m:r>
          <w:rPr>
            <w:rFonts w:ascii="Cambria Math" w:hAnsi="Cambria Math"/>
            <w:szCs w:val="21"/>
          </w:rPr>
          <m:t>≤</m:t>
        </m:r>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λ</m:t>
                </m:r>
              </m:e>
              <m:sub>
                <m:r>
                  <w:rPr>
                    <w:rFonts w:ascii="Cambria Math" w:hAnsi="Cambria Math"/>
                    <w:szCs w:val="21"/>
                  </w:rPr>
                  <m:t>2</m:t>
                </m:r>
              </m:sub>
            </m:sSub>
          </m:e>
        </m:d>
        <m:r>
          <w:rPr>
            <w:rFonts w:ascii="Cambria Math" w:hAnsi="Cambria Math"/>
            <w:szCs w:val="21"/>
          </w:rPr>
          <m:t>≤</m:t>
        </m:r>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λ</m:t>
                </m:r>
              </m:e>
              <m:sub>
                <m:r>
                  <w:rPr>
                    <w:rFonts w:ascii="Cambria Math" w:hAnsi="Cambria Math"/>
                    <w:szCs w:val="21"/>
                  </w:rPr>
                  <m:t>3</m:t>
                </m:r>
              </m:sub>
            </m:sSub>
          </m:e>
        </m:d>
      </m:oMath>
      <w:r w:rsidRPr="004905A0">
        <w:rPr>
          <w:rFonts w:ascii="Times New Roman" w:hAnsi="Times New Roman"/>
          <w:szCs w:val="21"/>
        </w:rPr>
        <w:t xml:space="preserve">, </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3</m:t>
            </m:r>
          </m:sub>
        </m:sSub>
      </m:oMath>
      <w:r w:rsidRPr="004905A0">
        <w:rPr>
          <w:rFonts w:ascii="Times New Roman" w:hAnsi="Times New Roman"/>
          <w:szCs w:val="21"/>
        </w:rPr>
        <w:t xml:space="preserve"> </w:t>
      </w:r>
      <w:r w:rsidR="00726E95">
        <w:rPr>
          <w:rFonts w:ascii="Times New Roman" w:hAnsi="Times New Roman"/>
          <w:szCs w:val="21"/>
        </w:rPr>
        <w:t>was</w:t>
      </w:r>
      <w:r w:rsidRPr="004905A0">
        <w:rPr>
          <w:rFonts w:ascii="Times New Roman" w:hAnsi="Times New Roman"/>
          <w:szCs w:val="21"/>
        </w:rPr>
        <w:t xml:space="preserve"> expected to be much larger than </w:t>
      </w:r>
      <m:oMath>
        <m:sSub>
          <m:sSubPr>
            <m:ctrlPr>
              <w:rPr>
                <w:rFonts w:ascii="Cambria Math" w:hAnsi="Cambria Math"/>
                <w:szCs w:val="21"/>
              </w:rPr>
            </m:ctrlPr>
          </m:sSubPr>
          <m:e>
            <m:r>
              <m:rPr>
                <m:sty m:val="p"/>
              </m:rPr>
              <w:rPr>
                <w:rFonts w:ascii="Cambria Math" w:hAnsi="Cambria Math"/>
                <w:szCs w:val="21"/>
              </w:rPr>
              <m:t>λ</m:t>
            </m:r>
          </m:e>
          <m:sub>
            <m:r>
              <w:rPr>
                <w:rFonts w:ascii="Cambria Math" w:hAnsi="Cambria Math"/>
                <w:szCs w:val="21"/>
              </w:rPr>
              <m:t>1</m:t>
            </m:r>
          </m:sub>
        </m:sSub>
      </m:oMath>
      <w:r w:rsidRPr="004905A0">
        <w:rPr>
          <w:rFonts w:ascii="Times New Roman" w:hAnsi="Times New Roman"/>
          <w:szCs w:val="21"/>
        </w:rPr>
        <w:t xml:space="preserve"> and </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2</m:t>
            </m:r>
          </m:sub>
        </m:sSub>
      </m:oMath>
      <w:r w:rsidRPr="004905A0">
        <w:rPr>
          <w:rFonts w:ascii="Times New Roman" w:hAnsi="Times New Roman"/>
          <w:szCs w:val="21"/>
        </w:rPr>
        <w:t xml:space="preserve"> at the fissure. </w:t>
      </w:r>
      <w:r w:rsidR="00C33652">
        <w:rPr>
          <w:rFonts w:ascii="Times New Roman" w:hAnsi="Times New Roman" w:hint="eastAsia"/>
          <w:szCs w:val="21"/>
        </w:rPr>
        <w:t>A</w:t>
      </w:r>
      <w:r w:rsidR="00C33652">
        <w:rPr>
          <w:rFonts w:ascii="Times New Roman" w:hAnsi="Times New Roman"/>
          <w:szCs w:val="21"/>
        </w:rPr>
        <w:t xml:space="preserve"> filter </w:t>
      </w:r>
      <w:r w:rsidR="00726E95">
        <w:rPr>
          <w:rFonts w:ascii="Times New Roman" w:hAnsi="Times New Roman"/>
          <w:szCs w:val="21"/>
        </w:rPr>
        <w:t>was</w:t>
      </w:r>
      <w:r w:rsidR="00C33652">
        <w:rPr>
          <w:rFonts w:ascii="Times New Roman" w:hAnsi="Times New Roman"/>
          <w:szCs w:val="21"/>
        </w:rPr>
        <w:t xml:space="preserve"> developed to give</w:t>
      </w:r>
      <w:r w:rsidRPr="004905A0">
        <w:rPr>
          <w:rFonts w:ascii="Times New Roman" w:hAnsi="Times New Roman"/>
          <w:szCs w:val="21"/>
        </w:rPr>
        <w:t xml:space="preserve"> a high response to local sheet-like structures (fissures) and suppresses other pulmonary structures. An example of this filter applied in an individual is shown in Fig </w:t>
      </w:r>
      <w:r w:rsidR="00FD0649">
        <w:rPr>
          <w:rFonts w:ascii="Times New Roman" w:hAnsi="Times New Roman"/>
          <w:szCs w:val="21"/>
        </w:rPr>
        <w:t>1</w:t>
      </w:r>
      <w:r w:rsidRPr="004905A0">
        <w:rPr>
          <w:rFonts w:ascii="Times New Roman" w:hAnsi="Times New Roman"/>
          <w:szCs w:val="21"/>
        </w:rPr>
        <w:t xml:space="preserve">(a). Blood vessels, which appear as similar structures locally to fissures, are removed from the fissure enhanced result using previous described methods, which removes tube-like structures with </w:t>
      </w:r>
      <m:oMath>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λ</m:t>
                </m:r>
              </m:e>
              <m:sub>
                <m:r>
                  <w:rPr>
                    <w:rFonts w:ascii="Cambria Math" w:hAnsi="Cambria Math"/>
                    <w:szCs w:val="21"/>
                  </w:rPr>
                  <m:t>1</m:t>
                </m:r>
              </m:sub>
            </m:sSub>
          </m:e>
        </m:d>
        <m:r>
          <w:rPr>
            <w:rFonts w:ascii="Cambria Math" w:hAnsi="Cambria Math"/>
            <w:szCs w:val="21"/>
          </w:rPr>
          <m:t>≈0</m:t>
        </m:r>
      </m:oMath>
      <w:r w:rsidRPr="004905A0">
        <w:rPr>
          <w:rFonts w:ascii="Times New Roman" w:hAnsi="Times New Roman"/>
          <w:szCs w:val="21"/>
        </w:rPr>
        <w:t xml:space="preserve">, </w:t>
      </w:r>
      <m:oMath>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λ</m:t>
                </m:r>
              </m:e>
              <m:sub>
                <m:r>
                  <w:rPr>
                    <w:rFonts w:ascii="Cambria Math" w:hAnsi="Cambria Math"/>
                    <w:szCs w:val="21"/>
                  </w:rPr>
                  <m:t>1</m:t>
                </m:r>
              </m:sub>
            </m:sSub>
          </m:e>
        </m:d>
        <m:r>
          <w:rPr>
            <w:rFonts w:ascii="Cambria Math" w:hAnsi="Cambria Math"/>
            <w:szCs w:val="21"/>
          </w:rPr>
          <m:t>≪</m:t>
        </m:r>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λ</m:t>
                </m:r>
              </m:e>
              <m:sub>
                <m:r>
                  <w:rPr>
                    <w:rFonts w:ascii="Cambria Math" w:hAnsi="Cambria Math"/>
                    <w:szCs w:val="21"/>
                  </w:rPr>
                  <m:t>2</m:t>
                </m:r>
              </m:sub>
            </m:sSub>
          </m:e>
        </m:d>
      </m:oMath>
      <w:r w:rsidRPr="004905A0">
        <w:rPr>
          <w:rFonts w:ascii="Times New Roman" w:hAnsi="Times New Roman"/>
          <w:szCs w:val="21"/>
        </w:rPr>
        <w:t xml:space="preserve">, </w:t>
      </w:r>
      <m:oMath>
        <m:r>
          <m:rPr>
            <m:sty m:val="p"/>
          </m:rPr>
          <w:rPr>
            <w:rFonts w:ascii="Cambria Math" w:hAnsi="Cambria Math"/>
            <w:szCs w:val="21"/>
          </w:rPr>
          <m:t xml:space="preserve"> </m:t>
        </m:r>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λ</m:t>
                </m:r>
              </m:e>
              <m:sub>
                <m:r>
                  <w:rPr>
                    <w:rFonts w:ascii="Cambria Math" w:hAnsi="Cambria Math"/>
                    <w:szCs w:val="21"/>
                  </w:rPr>
                  <m:t>2</m:t>
                </m:r>
              </m:sub>
            </m:sSub>
          </m:e>
        </m:d>
        <m:r>
          <w:rPr>
            <w:rFonts w:ascii="Cambria Math" w:hAnsi="Cambria Math"/>
            <w:szCs w:val="21"/>
          </w:rPr>
          <m:t>≈</m:t>
        </m:r>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λ</m:t>
                </m:r>
              </m:e>
              <m:sub>
                <m:r>
                  <w:rPr>
                    <w:rFonts w:ascii="Cambria Math" w:hAnsi="Cambria Math"/>
                    <w:szCs w:val="21"/>
                  </w:rPr>
                  <m:t>3</m:t>
                </m:r>
              </m:sub>
            </m:sSub>
          </m:e>
        </m:d>
      </m:oMath>
      <w:r w:rsidRPr="004905A0">
        <w:rPr>
          <w:rFonts w:ascii="Times New Roman" w:hAnsi="Times New Roman"/>
          <w:szCs w:val="21"/>
        </w:rPr>
        <w:t xml:space="preserve"> (Fig </w:t>
      </w:r>
      <w:r w:rsidR="00FD0649">
        <w:rPr>
          <w:rFonts w:ascii="Times New Roman" w:hAnsi="Times New Roman"/>
          <w:szCs w:val="21"/>
        </w:rPr>
        <w:t>1</w:t>
      </w:r>
      <w:r w:rsidRPr="004905A0">
        <w:rPr>
          <w:rFonts w:ascii="Times New Roman" w:hAnsi="Times New Roman"/>
          <w:szCs w:val="21"/>
        </w:rPr>
        <w:t>(b)).</w:t>
      </w:r>
    </w:p>
    <w:p w:rsidR="003A2C34" w:rsidRPr="004905A0" w:rsidRDefault="003A2C34" w:rsidP="00395B8B">
      <w:pPr>
        <w:rPr>
          <w:rFonts w:ascii="Times New Roman" w:hAnsi="Times New Roman"/>
          <w:szCs w:val="21"/>
        </w:rPr>
      </w:pPr>
      <w:r w:rsidRPr="004905A0">
        <w:rPr>
          <w:rFonts w:ascii="Times New Roman" w:hAnsi="Times New Roman"/>
          <w:szCs w:val="21"/>
        </w:rPr>
        <w:t xml:space="preserve">The fissure location predicted by </w:t>
      </w:r>
      <w:r w:rsidR="0069509F">
        <w:rPr>
          <w:rFonts w:ascii="Times New Roman" w:hAnsi="Times New Roman"/>
          <w:szCs w:val="21"/>
        </w:rPr>
        <w:t>SSM deformation</w:t>
      </w:r>
      <w:r w:rsidRPr="004905A0">
        <w:rPr>
          <w:rFonts w:ascii="Times New Roman" w:hAnsi="Times New Roman"/>
          <w:szCs w:val="21"/>
        </w:rPr>
        <w:t xml:space="preserve"> allows definition of a search region for the fissure (Fig </w:t>
      </w:r>
      <w:r w:rsidR="00FD0649">
        <w:rPr>
          <w:rFonts w:ascii="Times New Roman" w:hAnsi="Times New Roman"/>
          <w:szCs w:val="21"/>
        </w:rPr>
        <w:t>1</w:t>
      </w:r>
      <w:r w:rsidRPr="004905A0">
        <w:rPr>
          <w:rFonts w:ascii="Times New Roman" w:hAnsi="Times New Roman"/>
          <w:szCs w:val="21"/>
        </w:rPr>
        <w:t xml:space="preserve">(c)). Candidate points were selected within a fixed distance of the initial fissure </w:t>
      </w:r>
      <w:r w:rsidRPr="004905A0">
        <w:rPr>
          <w:rFonts w:ascii="Times New Roman" w:hAnsi="Times New Roman"/>
          <w:szCs w:val="21"/>
        </w:rPr>
        <w:lastRenderedPageBreak/>
        <w:t xml:space="preserve">approximation. A 2D 4-neighborhood connected component filter and a 3D 6-neighborhood vector-based connected component filter were employed successively to eliminate noise arising from small plane-like structures in this search region (Fig </w:t>
      </w:r>
      <w:r w:rsidR="00FD0649">
        <w:rPr>
          <w:rFonts w:ascii="Times New Roman" w:hAnsi="Times New Roman"/>
          <w:szCs w:val="21"/>
        </w:rPr>
        <w:t>1</w:t>
      </w:r>
      <w:r w:rsidRPr="004905A0">
        <w:rPr>
          <w:rFonts w:ascii="Times New Roman" w:hAnsi="Times New Roman"/>
          <w:szCs w:val="21"/>
        </w:rPr>
        <w:t>(d)). The vector-based</w:t>
      </w:r>
      <w:r w:rsidR="00726E95">
        <w:rPr>
          <w:rFonts w:ascii="Times New Roman" w:hAnsi="Times New Roman"/>
          <w:szCs w:val="21"/>
        </w:rPr>
        <w:t xml:space="preserve"> connected component filter used</w:t>
      </w:r>
      <w:r w:rsidRPr="004905A0">
        <w:rPr>
          <w:rFonts w:ascii="Times New Roman" w:hAnsi="Times New Roman"/>
          <w:szCs w:val="21"/>
        </w:rPr>
        <w:t xml:space="preserve"> the inner product of the normalized largest eigenvector of the Hessian in adjacent voxels. </w:t>
      </w:r>
    </w:p>
    <w:p w:rsidR="004D3A9A" w:rsidRPr="004905A0" w:rsidRDefault="003A2C34" w:rsidP="00395B8B">
      <w:pPr>
        <w:rPr>
          <w:rFonts w:ascii="Times New Roman" w:hAnsi="Times New Roman"/>
          <w:szCs w:val="21"/>
        </w:rPr>
      </w:pPr>
      <w:r w:rsidRPr="004905A0">
        <w:rPr>
          <w:rFonts w:ascii="Times New Roman" w:hAnsi="Times New Roman"/>
          <w:szCs w:val="21"/>
        </w:rPr>
        <w:t xml:space="preserve">The detected points were then divided into a set of small subsections corresponding to different x, y intervals. For each subsection, the point of </w:t>
      </w:r>
      <w:r w:rsidR="00FD0649">
        <w:rPr>
          <w:rFonts w:ascii="Times New Roman" w:hAnsi="Times New Roman"/>
          <w:szCs w:val="21"/>
        </w:rPr>
        <w:t>the highest fissure probability</w:t>
      </w:r>
      <w:r w:rsidRPr="004905A0">
        <w:rPr>
          <w:rFonts w:ascii="Times New Roman" w:hAnsi="Times New Roman"/>
          <w:szCs w:val="21"/>
        </w:rPr>
        <w:t xml:space="preserve"> was selected as the final candidate fissure point (Fig </w:t>
      </w:r>
      <w:r w:rsidR="004905A0">
        <w:rPr>
          <w:rFonts w:ascii="Times New Roman" w:hAnsi="Times New Roman"/>
          <w:szCs w:val="21"/>
        </w:rPr>
        <w:t>1</w:t>
      </w:r>
      <w:r w:rsidRPr="004905A0">
        <w:rPr>
          <w:rFonts w:ascii="Times New Roman" w:hAnsi="Times New Roman"/>
          <w:szCs w:val="21"/>
        </w:rPr>
        <w:t xml:space="preserve">(e)). Then a continuous smooth fissure surface was generated using a </w:t>
      </w:r>
      <w:r w:rsidR="00864DBC">
        <w:rPr>
          <w:rFonts w:ascii="Times New Roman" w:hAnsi="Times New Roman" w:cs="Times New Roman"/>
          <w:szCs w:val="21"/>
        </w:rPr>
        <w:t>β</w:t>
      </w:r>
      <w:r w:rsidRPr="004905A0">
        <w:rPr>
          <w:rFonts w:ascii="Times New Roman" w:hAnsi="Times New Roman"/>
          <w:szCs w:val="21"/>
        </w:rPr>
        <w:t xml:space="preserve">-spline method with a thin-plane spline and extrapolated to the lung boundaries, see Fig </w:t>
      </w:r>
      <w:r w:rsidR="004905A0">
        <w:rPr>
          <w:rFonts w:ascii="Times New Roman" w:hAnsi="Times New Roman"/>
          <w:szCs w:val="21"/>
        </w:rPr>
        <w:t>1</w:t>
      </w:r>
      <w:r w:rsidRPr="004905A0">
        <w:rPr>
          <w:rFonts w:ascii="Times New Roman" w:hAnsi="Times New Roman"/>
          <w:szCs w:val="21"/>
        </w:rPr>
        <w:t>(f).</w:t>
      </w:r>
    </w:p>
    <w:p w:rsidR="00287FDF" w:rsidRPr="004905A0" w:rsidRDefault="00287FDF" w:rsidP="00395B8B">
      <w:pPr>
        <w:rPr>
          <w:rFonts w:ascii="Times New Roman" w:hAnsi="Times New Roman"/>
          <w:szCs w:val="21"/>
        </w:rPr>
      </w:pPr>
    </w:p>
    <w:p w:rsidR="00BB369C" w:rsidRPr="004905A0" w:rsidRDefault="00BB369C" w:rsidP="00395B8B">
      <w:pPr>
        <w:rPr>
          <w:rFonts w:ascii="Times New Roman" w:hAnsi="Times New Roman"/>
          <w:szCs w:val="21"/>
        </w:rPr>
      </w:pPr>
      <w:r w:rsidRPr="004905A0">
        <w:rPr>
          <w:rFonts w:ascii="Times New Roman" w:hAnsi="Times New Roman"/>
          <w:noProof/>
          <w:szCs w:val="21"/>
        </w:rPr>
        <w:drawing>
          <wp:inline distT="0" distB="0" distL="0" distR="0" wp14:anchorId="217BF5D7" wp14:editId="2B93065C">
            <wp:extent cx="1642870" cy="967563"/>
            <wp:effectExtent l="0" t="0" r="0" b="4445"/>
            <wp:docPr id="58" name="Picture 2" descr="G:\posterPIc\MY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osterPIc\MYfilter.jpg"/>
                    <pic:cNvPicPr>
                      <a:picLocks noChangeAspect="1" noChangeArrowheads="1"/>
                    </pic:cNvPicPr>
                  </pic:nvPicPr>
                  <pic:blipFill>
                    <a:blip r:embed="rId7">
                      <a:extLst>
                        <a:ext uri="{28A0092B-C50C-407E-A947-70E740481C1C}">
                          <a14:useLocalDpi xmlns:a14="http://schemas.microsoft.com/office/drawing/2010/main" val="0"/>
                        </a:ext>
                      </a:extLst>
                    </a:blip>
                    <a:srcRect l="19548" t="16104" r="20201" b="17776"/>
                    <a:stretch>
                      <a:fillRect/>
                    </a:stretch>
                  </pic:blipFill>
                  <pic:spPr bwMode="auto">
                    <a:xfrm>
                      <a:off x="0" y="0"/>
                      <a:ext cx="1647825" cy="970481"/>
                    </a:xfrm>
                    <a:prstGeom prst="rect">
                      <a:avLst/>
                    </a:prstGeom>
                    <a:noFill/>
                    <a:ln>
                      <a:noFill/>
                    </a:ln>
                  </pic:spPr>
                </pic:pic>
              </a:graphicData>
            </a:graphic>
          </wp:inline>
        </w:drawing>
      </w:r>
      <w:r w:rsidRPr="004905A0">
        <w:rPr>
          <w:rFonts w:ascii="Times New Roman" w:hAnsi="Times New Roman"/>
          <w:szCs w:val="21"/>
        </w:rPr>
        <w:t xml:space="preserve"> </w:t>
      </w:r>
      <w:r w:rsidRPr="004905A0">
        <w:rPr>
          <w:rFonts w:ascii="Times New Roman" w:hAnsi="Times New Roman"/>
          <w:noProof/>
          <w:szCs w:val="21"/>
        </w:rPr>
        <w:drawing>
          <wp:inline distT="0" distB="0" distL="0" distR="0" wp14:anchorId="4267B550" wp14:editId="1FA39941">
            <wp:extent cx="1541721" cy="967563"/>
            <wp:effectExtent l="0" t="0" r="1905" b="4445"/>
            <wp:docPr id="57" name="Picture 3" descr="G:\posterPIc\MYfilt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posterPIc\MYfilter2.jpg"/>
                    <pic:cNvPicPr>
                      <a:picLocks noChangeAspect="1" noChangeArrowheads="1"/>
                    </pic:cNvPicPr>
                  </pic:nvPicPr>
                  <pic:blipFill>
                    <a:blip r:embed="rId8">
                      <a:extLst>
                        <a:ext uri="{28A0092B-C50C-407E-A947-70E740481C1C}">
                          <a14:useLocalDpi xmlns:a14="http://schemas.microsoft.com/office/drawing/2010/main" val="0"/>
                        </a:ext>
                      </a:extLst>
                    </a:blip>
                    <a:srcRect l="19206" t="18362" r="22379" b="19501"/>
                    <a:stretch>
                      <a:fillRect/>
                    </a:stretch>
                  </pic:blipFill>
                  <pic:spPr bwMode="auto">
                    <a:xfrm>
                      <a:off x="0" y="0"/>
                      <a:ext cx="1543050" cy="968397"/>
                    </a:xfrm>
                    <a:prstGeom prst="rect">
                      <a:avLst/>
                    </a:prstGeom>
                    <a:noFill/>
                    <a:ln>
                      <a:noFill/>
                    </a:ln>
                  </pic:spPr>
                </pic:pic>
              </a:graphicData>
            </a:graphic>
          </wp:inline>
        </w:drawing>
      </w:r>
      <w:r w:rsidRPr="004905A0">
        <w:rPr>
          <w:rFonts w:ascii="Times New Roman" w:hAnsi="Times New Roman"/>
          <w:szCs w:val="21"/>
        </w:rPr>
        <w:t xml:space="preserve"> </w:t>
      </w:r>
      <w:r w:rsidRPr="004905A0">
        <w:rPr>
          <w:rFonts w:ascii="Times New Roman" w:hAnsi="Times New Roman"/>
          <w:noProof/>
          <w:szCs w:val="21"/>
        </w:rPr>
        <w:drawing>
          <wp:inline distT="0" distB="0" distL="0" distR="0" wp14:anchorId="623B0843" wp14:editId="0DB8CE48">
            <wp:extent cx="1584251" cy="967562"/>
            <wp:effectExtent l="0" t="0" r="0" b="4445"/>
            <wp:docPr id="56" name="Picture 67" descr="D:\PhD\MedSciConference\poster\posterPIc\MYfilter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PhD\MedSciConference\poster\posterPIc\MYfilter3_2.jpg"/>
                    <pic:cNvPicPr>
                      <a:picLocks noChangeAspect="1" noChangeArrowheads="1"/>
                    </pic:cNvPicPr>
                  </pic:nvPicPr>
                  <pic:blipFill>
                    <a:blip r:embed="rId9">
                      <a:extLst>
                        <a:ext uri="{28A0092B-C50C-407E-A947-70E740481C1C}">
                          <a14:useLocalDpi xmlns:a14="http://schemas.microsoft.com/office/drawing/2010/main" val="0"/>
                        </a:ext>
                      </a:extLst>
                    </a:blip>
                    <a:srcRect l="19710" t="6866" r="20441" b="13335"/>
                    <a:stretch>
                      <a:fillRect/>
                    </a:stretch>
                  </pic:blipFill>
                  <pic:spPr bwMode="auto">
                    <a:xfrm>
                      <a:off x="0" y="0"/>
                      <a:ext cx="1590675" cy="971485"/>
                    </a:xfrm>
                    <a:prstGeom prst="rect">
                      <a:avLst/>
                    </a:prstGeom>
                    <a:noFill/>
                    <a:ln>
                      <a:noFill/>
                    </a:ln>
                  </pic:spPr>
                </pic:pic>
              </a:graphicData>
            </a:graphic>
          </wp:inline>
        </w:drawing>
      </w:r>
    </w:p>
    <w:p w:rsidR="00BB369C" w:rsidRPr="004905A0" w:rsidRDefault="00BB369C" w:rsidP="00395B8B">
      <w:pPr>
        <w:pStyle w:val="a5"/>
        <w:ind w:left="360" w:firstLineChars="350" w:firstLine="735"/>
        <w:rPr>
          <w:rFonts w:ascii="Times New Roman" w:hAnsi="Times New Roman"/>
          <w:szCs w:val="21"/>
        </w:rPr>
      </w:pPr>
      <w:r w:rsidRPr="004905A0">
        <w:rPr>
          <w:rFonts w:ascii="Times New Roman" w:hAnsi="Times New Roman" w:hint="eastAsia"/>
          <w:szCs w:val="21"/>
        </w:rPr>
        <w:t>(</w:t>
      </w:r>
      <w:r w:rsidRPr="004905A0">
        <w:rPr>
          <w:rFonts w:ascii="Times New Roman" w:hAnsi="Times New Roman"/>
          <w:szCs w:val="21"/>
        </w:rPr>
        <w:t>a</w:t>
      </w:r>
      <w:r w:rsidRPr="004905A0">
        <w:rPr>
          <w:rFonts w:ascii="Times New Roman" w:hAnsi="Times New Roman" w:hint="eastAsia"/>
          <w:szCs w:val="21"/>
        </w:rPr>
        <w:t>)</w:t>
      </w:r>
      <w:r w:rsidRPr="004905A0">
        <w:rPr>
          <w:rFonts w:ascii="Times New Roman" w:hAnsi="Times New Roman"/>
          <w:szCs w:val="21"/>
        </w:rPr>
        <w:t xml:space="preserve">                       (b)                        (c)</w:t>
      </w:r>
    </w:p>
    <w:p w:rsidR="00BB369C" w:rsidRPr="004905A0" w:rsidRDefault="00BB369C" w:rsidP="00395B8B">
      <w:pPr>
        <w:rPr>
          <w:rFonts w:ascii="Times New Roman" w:hAnsi="Times New Roman"/>
          <w:noProof/>
          <w:szCs w:val="21"/>
        </w:rPr>
      </w:pPr>
      <w:r w:rsidRPr="004905A0">
        <w:rPr>
          <w:rFonts w:ascii="Times New Roman" w:hAnsi="Times New Roman"/>
          <w:noProof/>
          <w:szCs w:val="21"/>
        </w:rPr>
        <w:drawing>
          <wp:inline distT="0" distB="0" distL="0" distR="0" wp14:anchorId="05CE4EC4" wp14:editId="56B067EE">
            <wp:extent cx="1533525" cy="992802"/>
            <wp:effectExtent l="0" t="0" r="0" b="0"/>
            <wp:docPr id="55" name="Picture 66" descr="D:\PhD\MedSciConference\poster\posterPIc\MYfilter4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PhD\MedSciConference\poster\posterPIc\MYfilter4_3.jpg"/>
                    <pic:cNvPicPr>
                      <a:picLocks noChangeAspect="1" noChangeArrowheads="1"/>
                    </pic:cNvPicPr>
                  </pic:nvPicPr>
                  <pic:blipFill>
                    <a:blip r:embed="rId10">
                      <a:extLst>
                        <a:ext uri="{28A0092B-C50C-407E-A947-70E740481C1C}">
                          <a14:useLocalDpi xmlns:a14="http://schemas.microsoft.com/office/drawing/2010/main" val="0"/>
                        </a:ext>
                      </a:extLst>
                    </a:blip>
                    <a:srcRect l="21147" t="6882" r="20055" b="13319"/>
                    <a:stretch>
                      <a:fillRect/>
                    </a:stretch>
                  </pic:blipFill>
                  <pic:spPr bwMode="auto">
                    <a:xfrm>
                      <a:off x="0" y="0"/>
                      <a:ext cx="1536934" cy="995009"/>
                    </a:xfrm>
                    <a:prstGeom prst="rect">
                      <a:avLst/>
                    </a:prstGeom>
                    <a:noFill/>
                    <a:ln>
                      <a:noFill/>
                    </a:ln>
                  </pic:spPr>
                </pic:pic>
              </a:graphicData>
            </a:graphic>
          </wp:inline>
        </w:drawing>
      </w:r>
      <w:r w:rsidRPr="004905A0">
        <w:rPr>
          <w:rFonts w:ascii="Times New Roman" w:hAnsi="Times New Roman"/>
          <w:szCs w:val="21"/>
        </w:rPr>
        <w:t xml:space="preserve"> </w:t>
      </w:r>
      <w:r w:rsidRPr="004905A0">
        <w:rPr>
          <w:rFonts w:ascii="Times New Roman" w:hAnsi="Times New Roman"/>
          <w:noProof/>
          <w:szCs w:val="21"/>
        </w:rPr>
        <w:drawing>
          <wp:inline distT="0" distB="0" distL="0" distR="0" wp14:anchorId="488FEE2D" wp14:editId="54B11095">
            <wp:extent cx="1581150" cy="992094"/>
            <wp:effectExtent l="0" t="0" r="0" b="0"/>
            <wp:docPr id="10" name="图片 3" descr="D:\PhD\ConferencePaper\MedSciConference\poster\posterPIc\MYfilter5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D:\PhD\ConferencePaper\MedSciConference\poster\posterPIc\MYfilter5_5.jpg"/>
                    <pic:cNvPicPr>
                      <a:picLocks noChangeAspect="1" noChangeArrowheads="1"/>
                    </pic:cNvPicPr>
                  </pic:nvPicPr>
                  <pic:blipFill>
                    <a:blip r:embed="rId11" cstate="print">
                      <a:extLst>
                        <a:ext uri="{28A0092B-C50C-407E-A947-70E740481C1C}">
                          <a14:useLocalDpi xmlns:a14="http://schemas.microsoft.com/office/drawing/2010/main" val="0"/>
                        </a:ext>
                      </a:extLst>
                    </a:blip>
                    <a:srcRect l="21342" t="9866" r="24179" b="18410"/>
                    <a:stretch>
                      <a:fillRect/>
                    </a:stretch>
                  </pic:blipFill>
                  <pic:spPr bwMode="auto">
                    <a:xfrm>
                      <a:off x="0" y="0"/>
                      <a:ext cx="1581150" cy="992094"/>
                    </a:xfrm>
                    <a:prstGeom prst="rect">
                      <a:avLst/>
                    </a:prstGeom>
                    <a:noFill/>
                    <a:ln>
                      <a:noFill/>
                    </a:ln>
                  </pic:spPr>
                </pic:pic>
              </a:graphicData>
            </a:graphic>
          </wp:inline>
        </w:drawing>
      </w:r>
      <w:r w:rsidRPr="004905A0">
        <w:rPr>
          <w:rFonts w:ascii="Times New Roman" w:hAnsi="Times New Roman"/>
          <w:noProof/>
          <w:szCs w:val="21"/>
        </w:rPr>
        <w:t xml:space="preserve"> </w:t>
      </w:r>
      <w:r w:rsidRPr="004905A0">
        <w:rPr>
          <w:rFonts w:ascii="Times New Roman" w:hAnsi="Times New Roman"/>
          <w:noProof/>
          <w:szCs w:val="21"/>
        </w:rPr>
        <w:drawing>
          <wp:inline distT="0" distB="0" distL="0" distR="0" wp14:anchorId="27D614F9" wp14:editId="5AEF5D10">
            <wp:extent cx="1615303" cy="990600"/>
            <wp:effectExtent l="0" t="0" r="4445" b="0"/>
            <wp:docPr id="4" name="Picture 63" descr="D:\PhD\MedSciConference\poster\posterPIc\MYfilter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PhD\MedSciConference\poster\posterPIc\MYfilter6_1.jpg"/>
                    <pic:cNvPicPr>
                      <a:picLocks noChangeAspect="1" noChangeArrowheads="1"/>
                    </pic:cNvPicPr>
                  </pic:nvPicPr>
                  <pic:blipFill>
                    <a:blip r:embed="rId12" cstate="print">
                      <a:extLst>
                        <a:ext uri="{28A0092B-C50C-407E-A947-70E740481C1C}">
                          <a14:useLocalDpi xmlns:a14="http://schemas.microsoft.com/office/drawing/2010/main" val="0"/>
                        </a:ext>
                      </a:extLst>
                    </a:blip>
                    <a:srcRect l="15729" t="6827" r="15286" b="13361"/>
                    <a:stretch>
                      <a:fillRect/>
                    </a:stretch>
                  </pic:blipFill>
                  <pic:spPr bwMode="auto">
                    <a:xfrm>
                      <a:off x="0" y="0"/>
                      <a:ext cx="1615303" cy="990600"/>
                    </a:xfrm>
                    <a:prstGeom prst="rect">
                      <a:avLst/>
                    </a:prstGeom>
                    <a:noFill/>
                    <a:ln>
                      <a:noFill/>
                    </a:ln>
                  </pic:spPr>
                </pic:pic>
              </a:graphicData>
            </a:graphic>
          </wp:inline>
        </w:drawing>
      </w:r>
    </w:p>
    <w:p w:rsidR="00BB369C" w:rsidRPr="004905A0" w:rsidRDefault="00BB369C" w:rsidP="00395B8B">
      <w:pPr>
        <w:pStyle w:val="a5"/>
        <w:ind w:left="360" w:firstLineChars="350" w:firstLine="735"/>
        <w:rPr>
          <w:rFonts w:ascii="Times New Roman" w:hAnsi="Times New Roman" w:hint="eastAsia"/>
          <w:szCs w:val="21"/>
        </w:rPr>
      </w:pPr>
      <w:r w:rsidRPr="004905A0">
        <w:rPr>
          <w:rFonts w:ascii="Times New Roman" w:hAnsi="Times New Roman" w:hint="eastAsia"/>
          <w:szCs w:val="21"/>
        </w:rPr>
        <w:t>(</w:t>
      </w:r>
      <w:r w:rsidRPr="004905A0">
        <w:rPr>
          <w:rFonts w:ascii="Times New Roman" w:hAnsi="Times New Roman"/>
          <w:szCs w:val="21"/>
        </w:rPr>
        <w:t>d</w:t>
      </w:r>
      <w:r w:rsidRPr="004905A0">
        <w:rPr>
          <w:rFonts w:ascii="Times New Roman" w:hAnsi="Times New Roman" w:hint="eastAsia"/>
          <w:szCs w:val="21"/>
        </w:rPr>
        <w:t>)</w:t>
      </w:r>
      <w:r w:rsidRPr="004905A0">
        <w:rPr>
          <w:rFonts w:ascii="Times New Roman" w:hAnsi="Times New Roman"/>
          <w:szCs w:val="21"/>
        </w:rPr>
        <w:t xml:space="preserve">                       (</w:t>
      </w:r>
      <w:r w:rsidRPr="004905A0">
        <w:rPr>
          <w:rFonts w:ascii="Times New Roman" w:hAnsi="Times New Roman"/>
          <w:szCs w:val="21"/>
        </w:rPr>
        <w:t>e</w:t>
      </w:r>
      <w:r w:rsidRPr="004905A0">
        <w:rPr>
          <w:rFonts w:ascii="Times New Roman" w:hAnsi="Times New Roman"/>
          <w:szCs w:val="21"/>
        </w:rPr>
        <w:t>)                        (</w:t>
      </w:r>
      <w:r w:rsidRPr="004905A0">
        <w:rPr>
          <w:rFonts w:ascii="Times New Roman" w:hAnsi="Times New Roman"/>
          <w:szCs w:val="21"/>
        </w:rPr>
        <w:t>f</w:t>
      </w:r>
      <w:r w:rsidRPr="004905A0">
        <w:rPr>
          <w:rFonts w:ascii="Times New Roman" w:hAnsi="Times New Roman"/>
          <w:szCs w:val="21"/>
        </w:rPr>
        <w:t>)</w:t>
      </w:r>
    </w:p>
    <w:p w:rsidR="00BB369C" w:rsidRPr="004905A0" w:rsidRDefault="00BB369C" w:rsidP="00395B8B">
      <w:pPr>
        <w:pStyle w:val="figurecaption"/>
        <w:spacing w:line="240" w:lineRule="auto"/>
        <w:rPr>
          <w:rFonts w:ascii="Times New Roman" w:hAnsi="Times New Roman"/>
          <w:sz w:val="21"/>
          <w:szCs w:val="21"/>
        </w:rPr>
      </w:pPr>
      <w:r w:rsidRPr="004905A0">
        <w:rPr>
          <w:rFonts w:ascii="Times New Roman" w:hAnsi="Times New Roman"/>
          <w:b/>
          <w:sz w:val="21"/>
          <w:szCs w:val="21"/>
        </w:rPr>
        <w:t xml:space="preserve">Fig. </w:t>
      </w:r>
      <w:r w:rsidR="004905A0">
        <w:rPr>
          <w:rFonts w:ascii="Times New Roman" w:hAnsi="Times New Roman"/>
          <w:b/>
          <w:sz w:val="21"/>
          <w:szCs w:val="21"/>
        </w:rPr>
        <w:t>1</w:t>
      </w:r>
      <w:r w:rsidRPr="004905A0">
        <w:rPr>
          <w:rFonts w:ascii="Times New Roman" w:hAnsi="Times New Roman"/>
          <w:b/>
          <w:sz w:val="21"/>
          <w:szCs w:val="21"/>
        </w:rPr>
        <w:t>.</w:t>
      </w:r>
      <w:r w:rsidRPr="004905A0">
        <w:rPr>
          <w:rFonts w:ascii="Times New Roman" w:hAnsi="Times New Roman"/>
          <w:sz w:val="21"/>
          <w:szCs w:val="21"/>
        </w:rPr>
        <w:t xml:space="preserve"> Hessian-based multiscale fissure detection results. (a) Hessian-based fissure enhancement. (b) Remove vessel voxels. (c) </w:t>
      </w:r>
      <w:r w:rsidRPr="004905A0">
        <w:rPr>
          <w:rFonts w:ascii="Times New Roman" w:hAnsi="Times New Roman"/>
          <w:sz w:val="21"/>
          <w:szCs w:val="21"/>
          <w:lang w:val="en-NZ"/>
        </w:rPr>
        <w:t>ROI of fissure locations based on SSM projection</w:t>
      </w:r>
      <w:r w:rsidRPr="004905A0">
        <w:rPr>
          <w:rFonts w:ascii="Times New Roman" w:hAnsi="Times New Roman"/>
          <w:sz w:val="21"/>
          <w:szCs w:val="21"/>
        </w:rPr>
        <w:t xml:space="preserve">. (d) </w:t>
      </w:r>
      <w:r w:rsidRPr="004905A0">
        <w:rPr>
          <w:rFonts w:ascii="Times New Roman" w:hAnsi="Times New Roman"/>
          <w:sz w:val="21"/>
          <w:szCs w:val="21"/>
          <w:lang w:val="en-NZ"/>
        </w:rPr>
        <w:t>2D and 3D eigenvector based connected component filter</w:t>
      </w:r>
      <w:r w:rsidRPr="004905A0">
        <w:rPr>
          <w:rFonts w:ascii="Times New Roman" w:hAnsi="Times New Roman"/>
          <w:sz w:val="21"/>
          <w:szCs w:val="21"/>
        </w:rPr>
        <w:t xml:space="preserve">. (e) </w:t>
      </w:r>
      <w:r w:rsidRPr="004905A0">
        <w:rPr>
          <w:rFonts w:ascii="Times New Roman" w:hAnsi="Times New Roman"/>
          <w:sz w:val="21"/>
          <w:szCs w:val="21"/>
          <w:lang w:val="en-NZ"/>
        </w:rPr>
        <w:t>Fissure candidate points. (f) B-spline curve fissure surface fitting</w:t>
      </w:r>
      <w:r w:rsidRPr="004905A0">
        <w:rPr>
          <w:rFonts w:ascii="Times New Roman" w:hAnsi="Times New Roman"/>
          <w:sz w:val="21"/>
          <w:szCs w:val="21"/>
        </w:rPr>
        <w:t>.</w:t>
      </w:r>
    </w:p>
    <w:p w:rsidR="00B63AEB" w:rsidRPr="004905A0" w:rsidRDefault="00B63AEB" w:rsidP="00395B8B">
      <w:pPr>
        <w:rPr>
          <w:rFonts w:ascii="Times New Roman" w:hAnsi="Times New Roman" w:hint="eastAsia"/>
          <w:szCs w:val="21"/>
        </w:rPr>
      </w:pPr>
    </w:p>
    <w:p w:rsidR="00B63AEB" w:rsidRPr="004905A0" w:rsidRDefault="00B63AEB" w:rsidP="00395B8B">
      <w:pPr>
        <w:rPr>
          <w:szCs w:val="21"/>
        </w:rPr>
      </w:pPr>
      <w:r w:rsidRPr="004905A0">
        <w:rPr>
          <w:b/>
          <w:szCs w:val="21"/>
        </w:rPr>
        <w:t>Results</w:t>
      </w:r>
      <w:r w:rsidRPr="004905A0">
        <w:rPr>
          <w:szCs w:val="21"/>
        </w:rPr>
        <w:t>:</w:t>
      </w:r>
    </w:p>
    <w:p w:rsidR="00E242EE" w:rsidRPr="004905A0" w:rsidRDefault="00730477" w:rsidP="00395B8B">
      <w:pPr>
        <w:rPr>
          <w:rFonts w:ascii="Times New Roman" w:hAnsi="Times New Roman"/>
          <w:szCs w:val="21"/>
        </w:rPr>
      </w:pPr>
      <w:r w:rsidRPr="004905A0">
        <w:rPr>
          <w:rFonts w:ascii="Times New Roman" w:hAnsi="Times New Roman"/>
          <w:szCs w:val="21"/>
        </w:rPr>
        <w:t>The method was tested on 20 inspiratory and expiratory CT scans</w:t>
      </w:r>
      <w:r w:rsidRPr="004905A0">
        <w:rPr>
          <w:rFonts w:ascii="Times New Roman" w:hAnsi="Times New Roman"/>
          <w:szCs w:val="21"/>
        </w:rPr>
        <w:t>: 10</w:t>
      </w:r>
      <w:r w:rsidRPr="004905A0">
        <w:rPr>
          <w:rFonts w:ascii="Times New Roman" w:hAnsi="Times New Roman"/>
          <w:szCs w:val="21"/>
        </w:rPr>
        <w:t xml:space="preserve"> healthy young subjects and </w:t>
      </w:r>
      <w:r w:rsidRPr="004905A0">
        <w:rPr>
          <w:rFonts w:ascii="Times New Roman" w:hAnsi="Times New Roman"/>
          <w:szCs w:val="21"/>
        </w:rPr>
        <w:t xml:space="preserve">10 </w:t>
      </w:r>
      <w:r w:rsidRPr="004905A0">
        <w:rPr>
          <w:rFonts w:ascii="Times New Roman" w:hAnsi="Times New Roman"/>
          <w:szCs w:val="21"/>
        </w:rPr>
        <w:t xml:space="preserve">older subjects </w:t>
      </w:r>
      <w:r w:rsidRPr="004905A0">
        <w:rPr>
          <w:rFonts w:ascii="Times New Roman" w:hAnsi="Times New Roman"/>
          <w:szCs w:val="21"/>
        </w:rPr>
        <w:t xml:space="preserve">diagnosed </w:t>
      </w:r>
      <w:r w:rsidRPr="004905A0">
        <w:rPr>
          <w:rFonts w:ascii="Times New Roman" w:hAnsi="Times New Roman"/>
          <w:szCs w:val="21"/>
        </w:rPr>
        <w:t>with idiopathic pulmonary fibrosis. Slice thickness was 0.5-3.0mm</w:t>
      </w:r>
      <w:r w:rsidRPr="004905A0">
        <w:rPr>
          <w:rFonts w:ascii="Times New Roman" w:hAnsi="Times New Roman"/>
          <w:szCs w:val="21"/>
        </w:rPr>
        <w:t>.</w:t>
      </w:r>
      <w:r w:rsidR="003B4113" w:rsidRPr="004905A0">
        <w:rPr>
          <w:rFonts w:ascii="Times New Roman" w:hAnsi="Times New Roman" w:hint="eastAsia"/>
          <w:szCs w:val="21"/>
        </w:rPr>
        <w:t xml:space="preserve"> </w:t>
      </w:r>
      <w:r w:rsidR="00E242EE" w:rsidRPr="004905A0">
        <w:rPr>
          <w:rFonts w:ascii="Times New Roman" w:hAnsi="Times New Roman"/>
          <w:szCs w:val="21"/>
        </w:rPr>
        <w:t xml:space="preserve">To quantitatively assess the accuracy of the lobar segmentation method in the normal and IPF subjects, the semi-automatic segmentation was compared with ‘gold-standard’ manual segmentations. Segmentation accuracy was quantitatively evaluated by computing the mean difference and percentage of fissure points &lt;3 mm between the gold-standard and semi-automatic method. </w:t>
      </w:r>
      <w:r w:rsidR="003B4113" w:rsidRPr="004905A0">
        <w:rPr>
          <w:rFonts w:ascii="Times New Roman" w:hAnsi="Times New Roman"/>
          <w:szCs w:val="21"/>
        </w:rPr>
        <w:t>The quantitative evaluation result is shown in Table 1.</w:t>
      </w:r>
    </w:p>
    <w:p w:rsidR="00BB369C" w:rsidRPr="004905A0" w:rsidRDefault="00BB369C" w:rsidP="00395B8B">
      <w:pPr>
        <w:rPr>
          <w:rFonts w:ascii="Times New Roman" w:hAnsi="Times New Roman"/>
          <w:szCs w:val="21"/>
        </w:rPr>
      </w:pPr>
      <w:r w:rsidRPr="004905A0">
        <w:rPr>
          <w:rFonts w:ascii="Times New Roman" w:hAnsi="Times New Roman"/>
          <w:szCs w:val="21"/>
        </w:rPr>
        <w:t xml:space="preserve">The ability of the method to provide an initial estimate of the fissure locations was compared with </w:t>
      </w:r>
      <w:r w:rsidR="003B4113" w:rsidRPr="004905A0">
        <w:rPr>
          <w:rFonts w:ascii="Times New Roman" w:hAnsi="Times New Roman"/>
          <w:szCs w:val="21"/>
        </w:rPr>
        <w:t>two other segmentation softwares which use watershed-based method</w:t>
      </w:r>
      <w:r w:rsidRPr="004905A0">
        <w:rPr>
          <w:rFonts w:ascii="Times New Roman" w:hAnsi="Times New Roman"/>
          <w:szCs w:val="21"/>
        </w:rPr>
        <w:t xml:space="preserve"> The two segmentation softwares were unable to segment 7/20 and 9/20 subjects respectively (1/10 and 2/10 normal and 6/10 and 7/10 IPF subjects). In contrast, the model-based method gave an initial estimate for all subjects at all volumes. </w:t>
      </w:r>
    </w:p>
    <w:p w:rsidR="004905A0" w:rsidRDefault="004905A0" w:rsidP="00395B8B">
      <w:pPr>
        <w:rPr>
          <w:rFonts w:ascii="Times New Roman" w:hAnsi="Times New Roman"/>
          <w:szCs w:val="21"/>
        </w:rPr>
      </w:pPr>
      <w:r w:rsidRPr="004905A0">
        <w:rPr>
          <w:rFonts w:ascii="Times New Roman" w:hAnsi="Times New Roman"/>
          <w:szCs w:val="21"/>
        </w:rPr>
        <w:t xml:space="preserve">Fig </w:t>
      </w:r>
      <w:r>
        <w:rPr>
          <w:rFonts w:ascii="Times New Roman" w:hAnsi="Times New Roman"/>
          <w:szCs w:val="21"/>
        </w:rPr>
        <w:t>2</w:t>
      </w:r>
      <w:r w:rsidRPr="004905A0">
        <w:rPr>
          <w:rFonts w:ascii="Times New Roman" w:hAnsi="Times New Roman"/>
          <w:szCs w:val="21"/>
        </w:rPr>
        <w:t xml:space="preserve"> shows the spatial distribution of error for three representative subjects. Error was highest in regions close to the hilum (where the anatomical structures are complex, and/or the fissure is often incomplete), and where the right fissures meet.</w:t>
      </w:r>
    </w:p>
    <w:p w:rsidR="00395B8B" w:rsidRDefault="00395B8B" w:rsidP="00395B8B">
      <w:pPr>
        <w:rPr>
          <w:rFonts w:ascii="Times New Roman" w:hAnsi="Times New Roman"/>
          <w:szCs w:val="21"/>
        </w:rPr>
      </w:pPr>
    </w:p>
    <w:p w:rsidR="00395B8B" w:rsidRPr="004905A0" w:rsidRDefault="00395B8B" w:rsidP="00395B8B">
      <w:pPr>
        <w:rPr>
          <w:rFonts w:ascii="Times New Roman" w:hAnsi="Times New Roman" w:cs="Times New Roman"/>
          <w:szCs w:val="21"/>
        </w:rPr>
      </w:pPr>
      <w:r w:rsidRPr="004905A0">
        <w:rPr>
          <w:rFonts w:ascii="Times New Roman" w:hAnsi="Times New Roman" w:cs="Times New Roman"/>
          <w:b/>
          <w:szCs w:val="21"/>
        </w:rPr>
        <w:t>Table 1</w:t>
      </w:r>
      <w:r w:rsidRPr="004905A0">
        <w:rPr>
          <w:rFonts w:ascii="Times New Roman" w:hAnsi="Times New Roman" w:cs="Times New Roman"/>
          <w:szCs w:val="21"/>
        </w:rPr>
        <w:t>: Mean error and percentile accuracy of normal healthy and IPF subjects</w:t>
      </w:r>
      <w:r w:rsidRPr="004905A0">
        <w:rPr>
          <w:rFonts w:ascii="Times New Roman" w:hAnsi="Times New Roman" w:cs="Times New Roman" w:hint="eastAsia"/>
          <w:szCs w:val="21"/>
        </w:rPr>
        <w:t xml:space="preserve"> </w:t>
      </w:r>
      <w:r w:rsidRPr="004905A0">
        <w:rPr>
          <w:rFonts w:ascii="Times New Roman" w:hAnsi="Times New Roman" w:cs="Times New Roman"/>
          <w:szCs w:val="21"/>
        </w:rPr>
        <w:t>(average value ± standard deviation).</w:t>
      </w:r>
    </w:p>
    <w:tbl>
      <w:tblPr>
        <w:tblStyle w:val="a7"/>
        <w:tblW w:w="0" w:type="auto"/>
        <w:tblLook w:val="04A0" w:firstRow="1" w:lastRow="0" w:firstColumn="1" w:lastColumn="0" w:noHBand="0" w:noVBand="1"/>
      </w:tblPr>
      <w:tblGrid>
        <w:gridCol w:w="1659"/>
        <w:gridCol w:w="1659"/>
        <w:gridCol w:w="1659"/>
        <w:gridCol w:w="1659"/>
        <w:gridCol w:w="1660"/>
      </w:tblGrid>
      <w:tr w:rsidR="00395B8B" w:rsidRPr="004905A0" w:rsidTr="00224464">
        <w:tc>
          <w:tcPr>
            <w:tcW w:w="1659" w:type="dxa"/>
          </w:tcPr>
          <w:p w:rsidR="00395B8B" w:rsidRPr="004905A0" w:rsidRDefault="00395B8B" w:rsidP="00395B8B">
            <w:pPr>
              <w:rPr>
                <w:szCs w:val="21"/>
              </w:rPr>
            </w:pPr>
          </w:p>
        </w:tc>
        <w:tc>
          <w:tcPr>
            <w:tcW w:w="3318" w:type="dxa"/>
            <w:gridSpan w:val="2"/>
          </w:tcPr>
          <w:p w:rsidR="00395B8B" w:rsidRPr="004905A0" w:rsidRDefault="00395B8B" w:rsidP="00395B8B">
            <w:pPr>
              <w:jc w:val="center"/>
              <w:rPr>
                <w:szCs w:val="21"/>
              </w:rPr>
            </w:pPr>
            <w:r w:rsidRPr="004905A0">
              <w:rPr>
                <w:rFonts w:hint="eastAsia"/>
                <w:szCs w:val="21"/>
              </w:rPr>
              <w:t>Normal healthy subjects</w:t>
            </w:r>
          </w:p>
        </w:tc>
        <w:tc>
          <w:tcPr>
            <w:tcW w:w="3319" w:type="dxa"/>
            <w:gridSpan w:val="2"/>
          </w:tcPr>
          <w:p w:rsidR="00395B8B" w:rsidRPr="004905A0" w:rsidRDefault="00395B8B" w:rsidP="00395B8B">
            <w:pPr>
              <w:jc w:val="center"/>
              <w:rPr>
                <w:szCs w:val="21"/>
              </w:rPr>
            </w:pPr>
            <w:r w:rsidRPr="004905A0">
              <w:rPr>
                <w:rFonts w:hint="eastAsia"/>
                <w:szCs w:val="21"/>
              </w:rPr>
              <w:t>IPF subjects</w:t>
            </w:r>
          </w:p>
        </w:tc>
      </w:tr>
      <w:tr w:rsidR="00395B8B" w:rsidRPr="004905A0" w:rsidTr="00224464">
        <w:tc>
          <w:tcPr>
            <w:tcW w:w="1659" w:type="dxa"/>
          </w:tcPr>
          <w:p w:rsidR="00395B8B" w:rsidRPr="004905A0" w:rsidRDefault="00395B8B" w:rsidP="00395B8B">
            <w:pPr>
              <w:rPr>
                <w:szCs w:val="21"/>
              </w:rPr>
            </w:pPr>
          </w:p>
        </w:tc>
        <w:tc>
          <w:tcPr>
            <w:tcW w:w="1659" w:type="dxa"/>
          </w:tcPr>
          <w:p w:rsidR="00395B8B" w:rsidRPr="004905A0" w:rsidRDefault="00395B8B" w:rsidP="00395B8B">
            <w:pPr>
              <w:rPr>
                <w:szCs w:val="21"/>
              </w:rPr>
            </w:pPr>
            <w:r w:rsidRPr="004905A0">
              <w:rPr>
                <w:rFonts w:hint="eastAsia"/>
                <w:szCs w:val="21"/>
              </w:rPr>
              <w:t>Mean error</w:t>
            </w:r>
            <w:r w:rsidRPr="004905A0">
              <w:rPr>
                <w:szCs w:val="21"/>
              </w:rPr>
              <w:t>(mm)</w:t>
            </w:r>
          </w:p>
        </w:tc>
        <w:tc>
          <w:tcPr>
            <w:tcW w:w="1659" w:type="dxa"/>
          </w:tcPr>
          <w:p w:rsidR="00395B8B" w:rsidRPr="004905A0" w:rsidRDefault="00395B8B" w:rsidP="00395B8B">
            <w:pPr>
              <w:rPr>
                <w:szCs w:val="21"/>
              </w:rPr>
            </w:pPr>
            <w:r w:rsidRPr="004905A0">
              <w:rPr>
                <w:rFonts w:hint="eastAsia"/>
                <w:szCs w:val="21"/>
              </w:rPr>
              <w:t>Accuracy</w:t>
            </w:r>
            <w:r w:rsidRPr="004905A0">
              <w:rPr>
                <w:szCs w:val="21"/>
              </w:rPr>
              <w:t xml:space="preserve"> (%)</w:t>
            </w:r>
          </w:p>
        </w:tc>
        <w:tc>
          <w:tcPr>
            <w:tcW w:w="1659" w:type="dxa"/>
          </w:tcPr>
          <w:p w:rsidR="00395B8B" w:rsidRPr="004905A0" w:rsidRDefault="00395B8B" w:rsidP="00395B8B">
            <w:pPr>
              <w:rPr>
                <w:szCs w:val="21"/>
              </w:rPr>
            </w:pPr>
            <w:r w:rsidRPr="004905A0">
              <w:rPr>
                <w:rFonts w:hint="eastAsia"/>
                <w:szCs w:val="21"/>
              </w:rPr>
              <w:t>Mean error</w:t>
            </w:r>
            <w:r w:rsidRPr="004905A0">
              <w:rPr>
                <w:szCs w:val="21"/>
              </w:rPr>
              <w:t>(mm)</w:t>
            </w:r>
          </w:p>
        </w:tc>
        <w:tc>
          <w:tcPr>
            <w:tcW w:w="1660" w:type="dxa"/>
          </w:tcPr>
          <w:p w:rsidR="00395B8B" w:rsidRPr="004905A0" w:rsidRDefault="00395B8B" w:rsidP="00395B8B">
            <w:pPr>
              <w:rPr>
                <w:szCs w:val="21"/>
              </w:rPr>
            </w:pPr>
            <w:r w:rsidRPr="004905A0">
              <w:rPr>
                <w:rFonts w:hint="eastAsia"/>
                <w:szCs w:val="21"/>
              </w:rPr>
              <w:t>Accuracy</w:t>
            </w:r>
            <w:r w:rsidRPr="004905A0">
              <w:rPr>
                <w:szCs w:val="21"/>
              </w:rPr>
              <w:t xml:space="preserve"> (%)</w:t>
            </w:r>
          </w:p>
        </w:tc>
      </w:tr>
      <w:tr w:rsidR="00395B8B" w:rsidRPr="004905A0" w:rsidTr="00224464">
        <w:tc>
          <w:tcPr>
            <w:tcW w:w="1659" w:type="dxa"/>
          </w:tcPr>
          <w:p w:rsidR="00395B8B" w:rsidRPr="004905A0" w:rsidRDefault="00395B8B" w:rsidP="00395B8B">
            <w:pPr>
              <w:rPr>
                <w:szCs w:val="21"/>
              </w:rPr>
            </w:pPr>
            <w:r w:rsidRPr="004905A0">
              <w:rPr>
                <w:rFonts w:hint="eastAsia"/>
                <w:szCs w:val="21"/>
              </w:rPr>
              <w:t>Left oblique</w:t>
            </w:r>
          </w:p>
        </w:tc>
        <w:tc>
          <w:tcPr>
            <w:tcW w:w="1659" w:type="dxa"/>
          </w:tcPr>
          <w:p w:rsidR="00395B8B" w:rsidRPr="004905A0" w:rsidRDefault="00395B8B" w:rsidP="00395B8B">
            <w:pPr>
              <w:rPr>
                <w:szCs w:val="21"/>
              </w:rPr>
            </w:pPr>
            <w:r w:rsidRPr="004905A0">
              <w:rPr>
                <w:szCs w:val="21"/>
              </w:rPr>
              <w:t>1.76 ± 0.68</w:t>
            </w:r>
          </w:p>
        </w:tc>
        <w:tc>
          <w:tcPr>
            <w:tcW w:w="1659" w:type="dxa"/>
          </w:tcPr>
          <w:p w:rsidR="00395B8B" w:rsidRPr="004905A0" w:rsidRDefault="00395B8B" w:rsidP="00395B8B">
            <w:pPr>
              <w:rPr>
                <w:szCs w:val="21"/>
              </w:rPr>
            </w:pPr>
            <w:r w:rsidRPr="004905A0">
              <w:rPr>
                <w:szCs w:val="21"/>
              </w:rPr>
              <w:t>81.19 ± 6.61</w:t>
            </w:r>
          </w:p>
        </w:tc>
        <w:tc>
          <w:tcPr>
            <w:tcW w:w="1659" w:type="dxa"/>
          </w:tcPr>
          <w:p w:rsidR="00395B8B" w:rsidRPr="004905A0" w:rsidRDefault="00395B8B" w:rsidP="00395B8B">
            <w:pPr>
              <w:rPr>
                <w:szCs w:val="21"/>
              </w:rPr>
            </w:pPr>
            <w:r w:rsidRPr="004905A0">
              <w:rPr>
                <w:szCs w:val="21"/>
              </w:rPr>
              <w:t>2.82 ± 0.71</w:t>
            </w:r>
          </w:p>
        </w:tc>
        <w:tc>
          <w:tcPr>
            <w:tcW w:w="1660" w:type="dxa"/>
          </w:tcPr>
          <w:p w:rsidR="00395B8B" w:rsidRPr="004905A0" w:rsidRDefault="00395B8B" w:rsidP="00395B8B">
            <w:pPr>
              <w:rPr>
                <w:szCs w:val="21"/>
              </w:rPr>
            </w:pPr>
            <w:r w:rsidRPr="004905A0">
              <w:rPr>
                <w:szCs w:val="21"/>
              </w:rPr>
              <w:t>70.26 ± 9.10</w:t>
            </w:r>
          </w:p>
        </w:tc>
      </w:tr>
      <w:tr w:rsidR="00395B8B" w:rsidRPr="004905A0" w:rsidTr="00224464">
        <w:tc>
          <w:tcPr>
            <w:tcW w:w="1659" w:type="dxa"/>
          </w:tcPr>
          <w:p w:rsidR="00395B8B" w:rsidRPr="004905A0" w:rsidRDefault="00395B8B" w:rsidP="00395B8B">
            <w:pPr>
              <w:rPr>
                <w:szCs w:val="21"/>
              </w:rPr>
            </w:pPr>
            <w:r w:rsidRPr="004905A0">
              <w:rPr>
                <w:rFonts w:hint="eastAsia"/>
                <w:szCs w:val="21"/>
              </w:rPr>
              <w:t>Right</w:t>
            </w:r>
            <w:r w:rsidRPr="004905A0">
              <w:rPr>
                <w:szCs w:val="21"/>
              </w:rPr>
              <w:t xml:space="preserve"> horizontal</w:t>
            </w:r>
          </w:p>
        </w:tc>
        <w:tc>
          <w:tcPr>
            <w:tcW w:w="1659" w:type="dxa"/>
          </w:tcPr>
          <w:p w:rsidR="00395B8B" w:rsidRPr="004905A0" w:rsidRDefault="00395B8B" w:rsidP="00395B8B">
            <w:pPr>
              <w:rPr>
                <w:szCs w:val="21"/>
              </w:rPr>
            </w:pPr>
            <w:r w:rsidRPr="004905A0">
              <w:rPr>
                <w:szCs w:val="21"/>
              </w:rPr>
              <w:t>3.66 ± 1.37</w:t>
            </w:r>
          </w:p>
        </w:tc>
        <w:tc>
          <w:tcPr>
            <w:tcW w:w="1659" w:type="dxa"/>
          </w:tcPr>
          <w:p w:rsidR="00395B8B" w:rsidRPr="004905A0" w:rsidRDefault="00395B8B" w:rsidP="00395B8B">
            <w:pPr>
              <w:rPr>
                <w:szCs w:val="21"/>
              </w:rPr>
            </w:pPr>
            <w:r w:rsidRPr="004905A0">
              <w:rPr>
                <w:szCs w:val="21"/>
              </w:rPr>
              <w:t>64.81 ± 13.19</w:t>
            </w:r>
          </w:p>
        </w:tc>
        <w:tc>
          <w:tcPr>
            <w:tcW w:w="1659" w:type="dxa"/>
          </w:tcPr>
          <w:p w:rsidR="00395B8B" w:rsidRPr="004905A0" w:rsidRDefault="00395B8B" w:rsidP="00395B8B">
            <w:pPr>
              <w:rPr>
                <w:szCs w:val="21"/>
              </w:rPr>
            </w:pPr>
            <w:r w:rsidRPr="004905A0">
              <w:rPr>
                <w:szCs w:val="21"/>
              </w:rPr>
              <w:t>5.39 ± 1.90</w:t>
            </w:r>
          </w:p>
        </w:tc>
        <w:tc>
          <w:tcPr>
            <w:tcW w:w="1660" w:type="dxa"/>
          </w:tcPr>
          <w:p w:rsidR="00395B8B" w:rsidRPr="004905A0" w:rsidRDefault="00395B8B" w:rsidP="00395B8B">
            <w:pPr>
              <w:rPr>
                <w:szCs w:val="21"/>
              </w:rPr>
            </w:pPr>
            <w:r w:rsidRPr="004905A0">
              <w:rPr>
                <w:szCs w:val="21"/>
              </w:rPr>
              <w:t>58.43 ± 14.53</w:t>
            </w:r>
          </w:p>
        </w:tc>
      </w:tr>
      <w:tr w:rsidR="00395B8B" w:rsidRPr="004905A0" w:rsidTr="00224464">
        <w:tc>
          <w:tcPr>
            <w:tcW w:w="1659" w:type="dxa"/>
          </w:tcPr>
          <w:p w:rsidR="00395B8B" w:rsidRPr="004905A0" w:rsidRDefault="00395B8B" w:rsidP="00395B8B">
            <w:pPr>
              <w:rPr>
                <w:szCs w:val="21"/>
              </w:rPr>
            </w:pPr>
            <w:r w:rsidRPr="004905A0">
              <w:rPr>
                <w:rFonts w:hint="eastAsia"/>
                <w:szCs w:val="21"/>
              </w:rPr>
              <w:t>Right oblique</w:t>
            </w:r>
          </w:p>
        </w:tc>
        <w:tc>
          <w:tcPr>
            <w:tcW w:w="1659" w:type="dxa"/>
          </w:tcPr>
          <w:p w:rsidR="00395B8B" w:rsidRPr="004905A0" w:rsidRDefault="00395B8B" w:rsidP="00395B8B">
            <w:pPr>
              <w:rPr>
                <w:szCs w:val="21"/>
              </w:rPr>
            </w:pPr>
            <w:r w:rsidRPr="004905A0">
              <w:rPr>
                <w:szCs w:val="21"/>
              </w:rPr>
              <w:t>2.55 ± 0.90</w:t>
            </w:r>
          </w:p>
        </w:tc>
        <w:tc>
          <w:tcPr>
            <w:tcW w:w="1659" w:type="dxa"/>
          </w:tcPr>
          <w:p w:rsidR="00395B8B" w:rsidRPr="004905A0" w:rsidRDefault="00395B8B" w:rsidP="00395B8B">
            <w:pPr>
              <w:rPr>
                <w:szCs w:val="21"/>
              </w:rPr>
            </w:pPr>
            <w:r w:rsidRPr="004905A0">
              <w:rPr>
                <w:szCs w:val="21"/>
              </w:rPr>
              <w:t>73.81 ± 7.96</w:t>
            </w:r>
          </w:p>
        </w:tc>
        <w:tc>
          <w:tcPr>
            <w:tcW w:w="1659" w:type="dxa"/>
          </w:tcPr>
          <w:p w:rsidR="00395B8B" w:rsidRPr="004905A0" w:rsidRDefault="00395B8B" w:rsidP="00395B8B">
            <w:pPr>
              <w:rPr>
                <w:szCs w:val="21"/>
              </w:rPr>
            </w:pPr>
            <w:r w:rsidRPr="004905A0">
              <w:rPr>
                <w:szCs w:val="21"/>
              </w:rPr>
              <w:t>4.71 ± 1.60</w:t>
            </w:r>
          </w:p>
        </w:tc>
        <w:tc>
          <w:tcPr>
            <w:tcW w:w="1660" w:type="dxa"/>
          </w:tcPr>
          <w:p w:rsidR="00395B8B" w:rsidRPr="004905A0" w:rsidRDefault="00395B8B" w:rsidP="00395B8B">
            <w:pPr>
              <w:rPr>
                <w:szCs w:val="21"/>
              </w:rPr>
            </w:pPr>
            <w:r w:rsidRPr="004905A0">
              <w:rPr>
                <w:szCs w:val="21"/>
              </w:rPr>
              <w:t>62.86 ± 11.21</w:t>
            </w:r>
          </w:p>
        </w:tc>
      </w:tr>
    </w:tbl>
    <w:p w:rsidR="00C32430" w:rsidRPr="004905A0" w:rsidRDefault="00C32430" w:rsidP="00395B8B">
      <w:pPr>
        <w:ind w:firstLineChars="100" w:firstLine="210"/>
        <w:jc w:val="center"/>
        <w:rPr>
          <w:rFonts w:ascii="Times New Roman" w:hAnsi="Times New Roman"/>
          <w:szCs w:val="21"/>
        </w:rPr>
      </w:pPr>
      <w:r w:rsidRPr="004905A0">
        <w:rPr>
          <w:rFonts w:ascii="Times New Roman" w:hAnsi="Times New Roman"/>
          <w:noProof/>
          <w:szCs w:val="21"/>
        </w:rPr>
        <w:drawing>
          <wp:inline distT="0" distB="0" distL="0" distR="0" wp14:anchorId="66A57358" wp14:editId="7446EDE1">
            <wp:extent cx="1323975" cy="993600"/>
            <wp:effectExtent l="0" t="0" r="0" b="0"/>
            <wp:docPr id="1" name="图片 1" descr="D:\PhD\ConferencePaper\MICCAIConference\MICCAIPaperPics\H18F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hD\ConferencePaper\MICCAIConference\MICCAIPaperPics\H18FRC.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5954" t="21625" r="25391" b="27154"/>
                    <a:stretch/>
                  </pic:blipFill>
                  <pic:spPr bwMode="auto">
                    <a:xfrm>
                      <a:off x="0" y="0"/>
                      <a:ext cx="1329734" cy="997922"/>
                    </a:xfrm>
                    <a:prstGeom prst="rect">
                      <a:avLst/>
                    </a:prstGeom>
                    <a:noFill/>
                    <a:ln>
                      <a:noFill/>
                    </a:ln>
                    <a:extLst>
                      <a:ext uri="{53640926-AAD7-44D8-BBD7-CCE9431645EC}">
                        <a14:shadowObscured xmlns:a14="http://schemas.microsoft.com/office/drawing/2010/main"/>
                      </a:ext>
                    </a:extLst>
                  </pic:spPr>
                </pic:pic>
              </a:graphicData>
            </a:graphic>
          </wp:inline>
        </w:drawing>
      </w:r>
      <w:r w:rsidRPr="004905A0">
        <w:rPr>
          <w:rFonts w:ascii="Times New Roman" w:hAnsi="Times New Roman"/>
          <w:noProof/>
          <w:szCs w:val="21"/>
        </w:rPr>
        <w:drawing>
          <wp:inline distT="0" distB="0" distL="0" distR="0" wp14:anchorId="6020B4B1" wp14:editId="61C0D020">
            <wp:extent cx="1163955" cy="1028345"/>
            <wp:effectExtent l="0" t="0" r="0" b="635"/>
            <wp:docPr id="6" name="图片 6" descr="D:\PhD\ConferencePaper\MICCAIConference\MICCAIPaperPics\H653T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hD\ConferencePaper\MICCAIConference\MICCAIPaperPics\H653TLC.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0505" t="16359" r="31227" b="20673"/>
                    <a:stretch/>
                  </pic:blipFill>
                  <pic:spPr bwMode="auto">
                    <a:xfrm>
                      <a:off x="0" y="0"/>
                      <a:ext cx="1168445" cy="1032312"/>
                    </a:xfrm>
                    <a:prstGeom prst="rect">
                      <a:avLst/>
                    </a:prstGeom>
                    <a:noFill/>
                    <a:ln>
                      <a:noFill/>
                    </a:ln>
                    <a:extLst>
                      <a:ext uri="{53640926-AAD7-44D8-BBD7-CCE9431645EC}">
                        <a14:shadowObscured xmlns:a14="http://schemas.microsoft.com/office/drawing/2010/main"/>
                      </a:ext>
                    </a:extLst>
                  </pic:spPr>
                </pic:pic>
              </a:graphicData>
            </a:graphic>
          </wp:inline>
        </w:drawing>
      </w:r>
      <w:r w:rsidRPr="004905A0">
        <w:rPr>
          <w:rFonts w:ascii="Times New Roman" w:hAnsi="Times New Roman"/>
          <w:noProof/>
          <w:szCs w:val="21"/>
        </w:rPr>
        <w:drawing>
          <wp:inline distT="0" distB="0" distL="0" distR="0" wp14:anchorId="3CFD560F" wp14:editId="5DDB4FA5">
            <wp:extent cx="1277079" cy="1057275"/>
            <wp:effectExtent l="0" t="0" r="0" b="0"/>
            <wp:docPr id="3" name="图片 3" descr="D:\PhD\ConferencePaper\MICCAIConference\MICCAIPaperPics\H667F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hD\ConferencePaper\MICCAIConference\MICCAIPaperPics\H667FRC.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8906" t="20990" r="29001" b="20932"/>
                    <a:stretch/>
                  </pic:blipFill>
                  <pic:spPr bwMode="auto">
                    <a:xfrm>
                      <a:off x="0" y="0"/>
                      <a:ext cx="1279948" cy="1059650"/>
                    </a:xfrm>
                    <a:prstGeom prst="rect">
                      <a:avLst/>
                    </a:prstGeom>
                    <a:noFill/>
                    <a:ln>
                      <a:noFill/>
                    </a:ln>
                    <a:extLst>
                      <a:ext uri="{53640926-AAD7-44D8-BBD7-CCE9431645EC}">
                        <a14:shadowObscured xmlns:a14="http://schemas.microsoft.com/office/drawing/2010/main"/>
                      </a:ext>
                    </a:extLst>
                  </pic:spPr>
                </pic:pic>
              </a:graphicData>
            </a:graphic>
          </wp:inline>
        </w:drawing>
      </w:r>
      <w:r w:rsidR="00262AEF" w:rsidRPr="004905A0">
        <w:rPr>
          <w:rFonts w:ascii="Times New Roman" w:hAnsi="Times New Roman"/>
          <w:szCs w:val="21"/>
        </w:rPr>
        <w:t xml:space="preserve"> </w:t>
      </w:r>
      <w:r w:rsidR="00262AEF" w:rsidRPr="004905A0">
        <w:rPr>
          <w:rFonts w:ascii="Times New Roman" w:hAnsi="Times New Roman" w:hint="eastAsia"/>
          <w:szCs w:val="21"/>
        </w:rPr>
        <w:t xml:space="preserve"> </w:t>
      </w:r>
      <w:r w:rsidRPr="004905A0">
        <w:rPr>
          <w:rFonts w:ascii="Times New Roman" w:hAnsi="Times New Roman"/>
          <w:noProof/>
          <w:szCs w:val="21"/>
        </w:rPr>
        <w:drawing>
          <wp:inline distT="0" distB="0" distL="0" distR="0" wp14:anchorId="418B50BF" wp14:editId="18A58721">
            <wp:extent cx="248547" cy="970138"/>
            <wp:effectExtent l="0" t="0" r="0" b="1905"/>
            <wp:docPr id="4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6" cstate="print">
                      <a:extLst>
                        <a:ext uri="{28A0092B-C50C-407E-A947-70E740481C1C}">
                          <a14:useLocalDpi xmlns:a14="http://schemas.microsoft.com/office/drawing/2010/main" val="0"/>
                        </a:ext>
                      </a:extLst>
                    </a:blip>
                    <a:srcRect l="78024" t="29762" r="14107" b="17171"/>
                    <a:stretch>
                      <a:fillRect/>
                    </a:stretch>
                  </pic:blipFill>
                  <pic:spPr bwMode="auto">
                    <a:xfrm>
                      <a:off x="0" y="0"/>
                      <a:ext cx="254641" cy="993926"/>
                    </a:xfrm>
                    <a:prstGeom prst="rect">
                      <a:avLst/>
                    </a:prstGeom>
                    <a:noFill/>
                    <a:ln>
                      <a:noFill/>
                    </a:ln>
                  </pic:spPr>
                </pic:pic>
              </a:graphicData>
            </a:graphic>
          </wp:inline>
        </w:drawing>
      </w:r>
    </w:p>
    <w:p w:rsidR="00B76C51" w:rsidRPr="004905A0" w:rsidRDefault="00B76C51" w:rsidP="00B76C51">
      <w:pPr>
        <w:pStyle w:val="a5"/>
        <w:ind w:left="360" w:firstLineChars="800" w:firstLine="1680"/>
        <w:rPr>
          <w:rFonts w:ascii="Times New Roman" w:hAnsi="Times New Roman"/>
          <w:szCs w:val="21"/>
        </w:rPr>
      </w:pPr>
      <w:r w:rsidRPr="004905A0">
        <w:rPr>
          <w:rFonts w:ascii="Times New Roman" w:hAnsi="Times New Roman" w:hint="eastAsia"/>
          <w:szCs w:val="21"/>
        </w:rPr>
        <w:t>(</w:t>
      </w:r>
      <w:r w:rsidRPr="004905A0">
        <w:rPr>
          <w:rFonts w:ascii="Times New Roman" w:hAnsi="Times New Roman"/>
          <w:szCs w:val="21"/>
        </w:rPr>
        <w:t>a</w:t>
      </w:r>
      <w:r w:rsidRPr="004905A0">
        <w:rPr>
          <w:rFonts w:ascii="Times New Roman" w:hAnsi="Times New Roman" w:hint="eastAsia"/>
          <w:szCs w:val="21"/>
        </w:rPr>
        <w:t>)</w:t>
      </w:r>
      <w:r w:rsidRPr="004905A0">
        <w:rPr>
          <w:rFonts w:ascii="Times New Roman" w:hAnsi="Times New Roman"/>
          <w:szCs w:val="21"/>
        </w:rPr>
        <w:t xml:space="preserve"> </w:t>
      </w:r>
      <w:r>
        <w:rPr>
          <w:rFonts w:ascii="Times New Roman" w:hAnsi="Times New Roman"/>
          <w:szCs w:val="21"/>
        </w:rPr>
        <w:t xml:space="preserve">               </w:t>
      </w:r>
      <w:r w:rsidRPr="004905A0">
        <w:rPr>
          <w:rFonts w:ascii="Times New Roman" w:hAnsi="Times New Roman"/>
          <w:szCs w:val="21"/>
        </w:rPr>
        <w:t>(b)</w:t>
      </w:r>
      <w:r>
        <w:rPr>
          <w:rFonts w:ascii="Times New Roman" w:hAnsi="Times New Roman"/>
          <w:szCs w:val="21"/>
        </w:rPr>
        <w:t xml:space="preserve">               </w:t>
      </w:r>
      <w:r w:rsidRPr="004905A0">
        <w:rPr>
          <w:rFonts w:ascii="Times New Roman" w:hAnsi="Times New Roman"/>
          <w:szCs w:val="21"/>
        </w:rPr>
        <w:t>(c)</w:t>
      </w:r>
    </w:p>
    <w:p w:rsidR="00C32430" w:rsidRPr="004905A0" w:rsidRDefault="00C32430" w:rsidP="00395B8B">
      <w:pPr>
        <w:pStyle w:val="figurecaption"/>
        <w:spacing w:line="240" w:lineRule="auto"/>
        <w:rPr>
          <w:rFonts w:ascii="Times New Roman" w:hAnsi="Times New Roman"/>
          <w:sz w:val="21"/>
          <w:szCs w:val="21"/>
        </w:rPr>
      </w:pPr>
      <w:r w:rsidRPr="004905A0">
        <w:rPr>
          <w:rFonts w:ascii="Times New Roman" w:hAnsi="Times New Roman"/>
          <w:b/>
          <w:sz w:val="21"/>
          <w:szCs w:val="21"/>
        </w:rPr>
        <w:t xml:space="preserve">Fig. </w:t>
      </w:r>
      <w:r w:rsidR="004905A0">
        <w:rPr>
          <w:rFonts w:ascii="Times New Roman" w:hAnsi="Times New Roman"/>
          <w:b/>
          <w:sz w:val="21"/>
          <w:szCs w:val="21"/>
        </w:rPr>
        <w:t>2</w:t>
      </w:r>
      <w:r w:rsidRPr="004905A0">
        <w:rPr>
          <w:rFonts w:ascii="Times New Roman" w:hAnsi="Times New Roman"/>
          <w:b/>
          <w:sz w:val="21"/>
          <w:szCs w:val="21"/>
        </w:rPr>
        <w:t>.</w:t>
      </w:r>
      <w:r w:rsidRPr="004905A0">
        <w:rPr>
          <w:rFonts w:ascii="Times New Roman" w:hAnsi="Times New Roman"/>
          <w:sz w:val="21"/>
          <w:szCs w:val="21"/>
        </w:rPr>
        <w:t xml:space="preserve"> The spatial distribution of error between the gold-standard and semi-automatic methods for three representative subjects, highlighting localized regions of low accuracy. </w:t>
      </w:r>
    </w:p>
    <w:p w:rsidR="004120CF" w:rsidRPr="004905A0" w:rsidRDefault="004120CF" w:rsidP="00395B8B">
      <w:pPr>
        <w:rPr>
          <w:szCs w:val="21"/>
        </w:rPr>
      </w:pPr>
    </w:p>
    <w:p w:rsidR="00E51A34" w:rsidRPr="004905A0" w:rsidRDefault="00E51A34" w:rsidP="00395B8B">
      <w:pPr>
        <w:rPr>
          <w:szCs w:val="21"/>
        </w:rPr>
      </w:pPr>
      <w:r w:rsidRPr="004905A0">
        <w:rPr>
          <w:b/>
          <w:szCs w:val="21"/>
        </w:rPr>
        <w:t>New or breakthrough work to be presented</w:t>
      </w:r>
      <w:r w:rsidRPr="004905A0">
        <w:rPr>
          <w:szCs w:val="21"/>
        </w:rPr>
        <w:t>:</w:t>
      </w:r>
    </w:p>
    <w:p w:rsidR="00E51A34" w:rsidRPr="004905A0" w:rsidRDefault="00052890" w:rsidP="00395B8B">
      <w:pPr>
        <w:rPr>
          <w:rFonts w:ascii="Times New Roman" w:hAnsi="Times New Roman"/>
          <w:szCs w:val="21"/>
        </w:rPr>
      </w:pPr>
      <w:r>
        <w:rPr>
          <w:rFonts w:ascii="Times New Roman" w:hAnsi="Times New Roman"/>
          <w:szCs w:val="21"/>
        </w:rPr>
        <w:t>We presented</w:t>
      </w:r>
      <w:r w:rsidR="00E51A34" w:rsidRPr="004905A0">
        <w:rPr>
          <w:rFonts w:ascii="Times New Roman" w:hAnsi="Times New Roman"/>
          <w:szCs w:val="21"/>
        </w:rPr>
        <w:t xml:space="preserve"> a statistical finite element shape model-guided method to segment pulmonary lobes from CT images. This new procedure does not depend on prior segmentation of anatomical structures (</w:t>
      </w:r>
      <w:r w:rsidR="00912072">
        <w:rPr>
          <w:rFonts w:ascii="Times New Roman" w:hAnsi="Times New Roman"/>
          <w:szCs w:val="21"/>
        </w:rPr>
        <w:t xml:space="preserve">airway lobar classification) therefore can provide a relatively accurate lobe segmentation result in all cases (including normal and abnormal cases), whereas some published methods fail to estimate fissures in </w:t>
      </w:r>
      <w:r w:rsidR="00912072" w:rsidRPr="004905A0">
        <w:rPr>
          <w:rFonts w:ascii="Times New Roman" w:hAnsi="Times New Roman" w:cs="Times New Roman"/>
          <w:szCs w:val="21"/>
        </w:rPr>
        <w:t>pathological lungs</w:t>
      </w:r>
      <w:r w:rsidR="00912072">
        <w:rPr>
          <w:rFonts w:ascii="Times New Roman" w:hAnsi="Times New Roman" w:cs="Times New Roman"/>
          <w:szCs w:val="21"/>
        </w:rPr>
        <w:t xml:space="preserve"> or even can’t perform well in normal lungs.</w:t>
      </w:r>
      <w:r w:rsidR="00E51A34" w:rsidRPr="004905A0">
        <w:rPr>
          <w:rFonts w:ascii="Times New Roman" w:hAnsi="Times New Roman"/>
          <w:szCs w:val="21"/>
        </w:rPr>
        <w:t xml:space="preserve"> </w:t>
      </w:r>
    </w:p>
    <w:p w:rsidR="00E51A34" w:rsidRPr="004905A0" w:rsidRDefault="00E51A34" w:rsidP="00395B8B">
      <w:pPr>
        <w:rPr>
          <w:szCs w:val="21"/>
        </w:rPr>
      </w:pPr>
    </w:p>
    <w:p w:rsidR="00E5313B" w:rsidRPr="004905A0" w:rsidRDefault="00E5313B" w:rsidP="00395B8B">
      <w:pPr>
        <w:rPr>
          <w:szCs w:val="21"/>
        </w:rPr>
      </w:pPr>
      <w:r w:rsidRPr="004905A0">
        <w:rPr>
          <w:b/>
          <w:szCs w:val="21"/>
        </w:rPr>
        <w:t>Conclusions</w:t>
      </w:r>
      <w:r w:rsidRPr="004905A0">
        <w:rPr>
          <w:szCs w:val="21"/>
        </w:rPr>
        <w:t>:</w:t>
      </w:r>
    </w:p>
    <w:p w:rsidR="00774784" w:rsidRPr="004905A0" w:rsidRDefault="00774784" w:rsidP="00395B8B">
      <w:pPr>
        <w:pStyle w:val="p1a"/>
        <w:rPr>
          <w:rFonts w:ascii="Times New Roman" w:hAnsi="Times New Roman"/>
          <w:szCs w:val="21"/>
        </w:rPr>
      </w:pPr>
      <w:r w:rsidRPr="004905A0">
        <w:rPr>
          <w:rFonts w:ascii="Times New Roman" w:hAnsi="Times New Roman"/>
          <w:szCs w:val="21"/>
        </w:rPr>
        <w:t xml:space="preserve">In this </w:t>
      </w:r>
      <w:r w:rsidRPr="004905A0">
        <w:rPr>
          <w:rFonts w:ascii="Times New Roman" w:hAnsi="Times New Roman"/>
          <w:szCs w:val="21"/>
        </w:rPr>
        <w:t>study, we developed</w:t>
      </w:r>
      <w:r w:rsidRPr="004905A0">
        <w:rPr>
          <w:rFonts w:ascii="Times New Roman" w:hAnsi="Times New Roman"/>
          <w:szCs w:val="21"/>
        </w:rPr>
        <w:t xml:space="preserve"> a pulmonary lobar segmentation method. Results show that the method can perform well to detect the location of the fissures over most of the fissure surfaces on CT images from normal subjects, and provides a relatively accurate result for IPF (abnormal) subjects</w:t>
      </w:r>
      <w:r w:rsidR="00116DA8">
        <w:rPr>
          <w:rFonts w:ascii="Times New Roman" w:hAnsi="Times New Roman"/>
          <w:szCs w:val="21"/>
        </w:rPr>
        <w:t xml:space="preserve"> </w:t>
      </w:r>
      <w:r w:rsidR="00116DA8" w:rsidRPr="00116DA8">
        <w:rPr>
          <w:rFonts w:ascii="Times New Roman" w:hAnsi="Times New Roman"/>
          <w:szCs w:val="21"/>
        </w:rPr>
        <w:t>although manual interaction is</w:t>
      </w:r>
      <w:r w:rsidR="00116DA8">
        <w:rPr>
          <w:rFonts w:ascii="Times New Roman" w:hAnsi="Times New Roman"/>
          <w:szCs w:val="21"/>
        </w:rPr>
        <w:t xml:space="preserve"> still needed for some subjects</w:t>
      </w:r>
      <w:r w:rsidRPr="004905A0">
        <w:rPr>
          <w:rFonts w:ascii="Times New Roman" w:hAnsi="Times New Roman"/>
          <w:szCs w:val="21"/>
        </w:rPr>
        <w:t xml:space="preserve">. </w:t>
      </w:r>
      <w:r w:rsidR="00116DA8">
        <w:rPr>
          <w:rFonts w:ascii="Times New Roman" w:hAnsi="Times New Roman"/>
          <w:szCs w:val="21"/>
        </w:rPr>
        <w:t xml:space="preserve">This method </w:t>
      </w:r>
      <w:r w:rsidR="00116DA8" w:rsidRPr="004905A0">
        <w:rPr>
          <w:rFonts w:ascii="Times New Roman" w:hAnsi="Times New Roman"/>
          <w:szCs w:val="21"/>
        </w:rPr>
        <w:t>has promising potential as a clinically useful semi-automatic lobe segmentation procedure.</w:t>
      </w:r>
    </w:p>
    <w:p w:rsidR="00E5313B" w:rsidRPr="004905A0" w:rsidRDefault="00E5313B" w:rsidP="00395B8B">
      <w:pPr>
        <w:rPr>
          <w:szCs w:val="21"/>
        </w:rPr>
      </w:pPr>
    </w:p>
    <w:p w:rsidR="00287FDF" w:rsidRPr="004905A0" w:rsidRDefault="00175296" w:rsidP="00395B8B">
      <w:pPr>
        <w:rPr>
          <w:szCs w:val="21"/>
        </w:rPr>
      </w:pPr>
      <w:r w:rsidRPr="004905A0">
        <w:rPr>
          <w:b/>
          <w:szCs w:val="21"/>
        </w:rPr>
        <w:t>Whether the work is being, or has been, subm</w:t>
      </w:r>
      <w:r w:rsidRPr="004905A0">
        <w:rPr>
          <w:b/>
          <w:szCs w:val="21"/>
        </w:rPr>
        <w:t>itted for publication or</w:t>
      </w:r>
      <w:r w:rsidRPr="004905A0">
        <w:rPr>
          <w:rFonts w:hint="eastAsia"/>
          <w:b/>
          <w:szCs w:val="21"/>
        </w:rPr>
        <w:t xml:space="preserve"> </w:t>
      </w:r>
      <w:r w:rsidRPr="004905A0">
        <w:rPr>
          <w:b/>
          <w:szCs w:val="21"/>
        </w:rPr>
        <w:t>presentation elsewhere</w:t>
      </w:r>
      <w:r w:rsidRPr="004905A0">
        <w:rPr>
          <w:szCs w:val="21"/>
        </w:rPr>
        <w:t>:</w:t>
      </w:r>
    </w:p>
    <w:p w:rsidR="00175296" w:rsidRPr="004905A0" w:rsidRDefault="00175296" w:rsidP="00395B8B">
      <w:pPr>
        <w:rPr>
          <w:rFonts w:hint="eastAsia"/>
          <w:szCs w:val="21"/>
        </w:rPr>
      </w:pPr>
      <w:r w:rsidRPr="004905A0">
        <w:rPr>
          <w:szCs w:val="21"/>
        </w:rPr>
        <w:t>No</w:t>
      </w:r>
    </w:p>
    <w:sectPr w:rsidR="00175296" w:rsidRPr="004905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A85" w:rsidRDefault="00554A85" w:rsidP="0038728C">
      <w:r>
        <w:separator/>
      </w:r>
    </w:p>
  </w:endnote>
  <w:endnote w:type="continuationSeparator" w:id="0">
    <w:p w:rsidR="00554A85" w:rsidRDefault="00554A85" w:rsidP="00387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A85" w:rsidRDefault="00554A85" w:rsidP="0038728C">
      <w:r>
        <w:separator/>
      </w:r>
    </w:p>
  </w:footnote>
  <w:footnote w:type="continuationSeparator" w:id="0">
    <w:p w:rsidR="00554A85" w:rsidRDefault="00554A85" w:rsidP="003872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B6D9A"/>
    <w:multiLevelType w:val="hybridMultilevel"/>
    <w:tmpl w:val="4AEEEFC2"/>
    <w:lvl w:ilvl="0" w:tplc="368853E0">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A512D9"/>
    <w:multiLevelType w:val="hybridMultilevel"/>
    <w:tmpl w:val="80C2F3AA"/>
    <w:lvl w:ilvl="0" w:tplc="A406159C">
      <w:start w:val="1"/>
      <w:numFmt w:val="lowerLetter"/>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2">
    <w:nsid w:val="18CE4682"/>
    <w:multiLevelType w:val="hybridMultilevel"/>
    <w:tmpl w:val="6CD8FE7C"/>
    <w:lvl w:ilvl="0" w:tplc="0A36F80C">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5DF130D"/>
    <w:multiLevelType w:val="hybridMultilevel"/>
    <w:tmpl w:val="E69ED794"/>
    <w:lvl w:ilvl="0" w:tplc="09C080A6">
      <w:start w:val="1"/>
      <w:numFmt w:val="lowerLetter"/>
      <w:lvlText w:val="(%1)"/>
      <w:lvlJc w:val="left"/>
      <w:pPr>
        <w:ind w:left="2400" w:hanging="360"/>
      </w:pPr>
      <w:rPr>
        <w:rFonts w:hint="default"/>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4">
    <w:nsid w:val="5FA91488"/>
    <w:multiLevelType w:val="hybridMultilevel"/>
    <w:tmpl w:val="52C2556E"/>
    <w:lvl w:ilvl="0" w:tplc="0F0EF8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473"/>
    <w:rsid w:val="00002735"/>
    <w:rsid w:val="00010C5E"/>
    <w:rsid w:val="000132B6"/>
    <w:rsid w:val="000145C5"/>
    <w:rsid w:val="00052890"/>
    <w:rsid w:val="00083288"/>
    <w:rsid w:val="00116DA8"/>
    <w:rsid w:val="00135457"/>
    <w:rsid w:val="00170E0E"/>
    <w:rsid w:val="00175296"/>
    <w:rsid w:val="00176CDD"/>
    <w:rsid w:val="001A092E"/>
    <w:rsid w:val="001C2473"/>
    <w:rsid w:val="002622E6"/>
    <w:rsid w:val="00262AEF"/>
    <w:rsid w:val="00287FDF"/>
    <w:rsid w:val="00340545"/>
    <w:rsid w:val="0038728C"/>
    <w:rsid w:val="00395B8B"/>
    <w:rsid w:val="003A2C34"/>
    <w:rsid w:val="003B4113"/>
    <w:rsid w:val="003F0C1B"/>
    <w:rsid w:val="00403202"/>
    <w:rsid w:val="004120CF"/>
    <w:rsid w:val="004905A0"/>
    <w:rsid w:val="004B72FA"/>
    <w:rsid w:val="004D3A9A"/>
    <w:rsid w:val="00554A85"/>
    <w:rsid w:val="005562E5"/>
    <w:rsid w:val="005B1B34"/>
    <w:rsid w:val="006819D3"/>
    <w:rsid w:val="0069509F"/>
    <w:rsid w:val="006A2137"/>
    <w:rsid w:val="006D2A45"/>
    <w:rsid w:val="00702E97"/>
    <w:rsid w:val="00726E95"/>
    <w:rsid w:val="00730477"/>
    <w:rsid w:val="00734120"/>
    <w:rsid w:val="00752ACF"/>
    <w:rsid w:val="00774784"/>
    <w:rsid w:val="00784F25"/>
    <w:rsid w:val="00790776"/>
    <w:rsid w:val="00864DBC"/>
    <w:rsid w:val="00870E0A"/>
    <w:rsid w:val="00912072"/>
    <w:rsid w:val="009813A4"/>
    <w:rsid w:val="009F677A"/>
    <w:rsid w:val="00A0536B"/>
    <w:rsid w:val="00A70D01"/>
    <w:rsid w:val="00AD74A1"/>
    <w:rsid w:val="00B63AEB"/>
    <w:rsid w:val="00B76C51"/>
    <w:rsid w:val="00BA6DA4"/>
    <w:rsid w:val="00BB369C"/>
    <w:rsid w:val="00C32430"/>
    <w:rsid w:val="00C33652"/>
    <w:rsid w:val="00D82B3C"/>
    <w:rsid w:val="00DD3FFB"/>
    <w:rsid w:val="00DE2136"/>
    <w:rsid w:val="00E242EE"/>
    <w:rsid w:val="00E51A34"/>
    <w:rsid w:val="00E5313B"/>
    <w:rsid w:val="00E76CA3"/>
    <w:rsid w:val="00F10263"/>
    <w:rsid w:val="00FD0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1F131E-C732-4F99-9A85-16276888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72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728C"/>
    <w:rPr>
      <w:sz w:val="18"/>
      <w:szCs w:val="18"/>
    </w:rPr>
  </w:style>
  <w:style w:type="paragraph" w:styleId="a4">
    <w:name w:val="footer"/>
    <w:basedOn w:val="a"/>
    <w:link w:val="Char0"/>
    <w:uiPriority w:val="99"/>
    <w:unhideWhenUsed/>
    <w:rsid w:val="0038728C"/>
    <w:pPr>
      <w:tabs>
        <w:tab w:val="center" w:pos="4153"/>
        <w:tab w:val="right" w:pos="8306"/>
      </w:tabs>
      <w:snapToGrid w:val="0"/>
      <w:jc w:val="left"/>
    </w:pPr>
    <w:rPr>
      <w:sz w:val="18"/>
      <w:szCs w:val="18"/>
    </w:rPr>
  </w:style>
  <w:style w:type="character" w:customStyle="1" w:styleId="Char0">
    <w:name w:val="页脚 Char"/>
    <w:basedOn w:val="a0"/>
    <w:link w:val="a4"/>
    <w:uiPriority w:val="99"/>
    <w:rsid w:val="0038728C"/>
    <w:rPr>
      <w:sz w:val="18"/>
      <w:szCs w:val="18"/>
    </w:rPr>
  </w:style>
  <w:style w:type="paragraph" w:customStyle="1" w:styleId="author">
    <w:name w:val="author"/>
    <w:basedOn w:val="a"/>
    <w:next w:val="a"/>
    <w:rsid w:val="0038728C"/>
    <w:pPr>
      <w:suppressAutoHyphens/>
      <w:spacing w:after="200"/>
      <w:jc w:val="center"/>
    </w:pPr>
    <w:rPr>
      <w:rFonts w:ascii="Calibri" w:hAnsi="Calibri" w:cs="Times New Roman"/>
      <w:sz w:val="20"/>
      <w:szCs w:val="20"/>
    </w:rPr>
  </w:style>
  <w:style w:type="paragraph" w:customStyle="1" w:styleId="p1a">
    <w:name w:val="p1a"/>
    <w:basedOn w:val="a"/>
    <w:rsid w:val="00002735"/>
    <w:rPr>
      <w:rFonts w:ascii="Calibri" w:hAnsi="Calibri" w:cs="Times New Roman"/>
      <w:szCs w:val="24"/>
    </w:rPr>
  </w:style>
  <w:style w:type="paragraph" w:styleId="a5">
    <w:name w:val="List Paragraph"/>
    <w:basedOn w:val="a"/>
    <w:uiPriority w:val="34"/>
    <w:qFormat/>
    <w:rsid w:val="003F0C1B"/>
    <w:pPr>
      <w:ind w:firstLineChars="200" w:firstLine="420"/>
    </w:pPr>
  </w:style>
  <w:style w:type="paragraph" w:customStyle="1" w:styleId="equation">
    <w:name w:val="equation"/>
    <w:basedOn w:val="a"/>
    <w:next w:val="a"/>
    <w:rsid w:val="00010C5E"/>
    <w:pPr>
      <w:tabs>
        <w:tab w:val="center" w:pos="3289"/>
        <w:tab w:val="right" w:pos="6917"/>
      </w:tabs>
      <w:spacing w:before="160" w:after="160"/>
    </w:pPr>
    <w:rPr>
      <w:rFonts w:ascii="Calibri" w:hAnsi="Calibri" w:cs="Times New Roman"/>
      <w:sz w:val="20"/>
      <w:szCs w:val="20"/>
    </w:rPr>
  </w:style>
  <w:style w:type="character" w:styleId="a6">
    <w:name w:val="Hyperlink"/>
    <w:basedOn w:val="a0"/>
    <w:uiPriority w:val="99"/>
    <w:rsid w:val="00010C5E"/>
    <w:rPr>
      <w:color w:val="auto"/>
      <w:u w:val="none"/>
    </w:rPr>
  </w:style>
  <w:style w:type="paragraph" w:customStyle="1" w:styleId="figurecaption">
    <w:name w:val="figurecaption"/>
    <w:basedOn w:val="a"/>
    <w:next w:val="a"/>
    <w:rsid w:val="00BB369C"/>
    <w:pPr>
      <w:keepLines/>
      <w:spacing w:before="120" w:after="240" w:line="220" w:lineRule="atLeast"/>
      <w:jc w:val="center"/>
    </w:pPr>
    <w:rPr>
      <w:rFonts w:ascii="Calibri" w:hAnsi="Calibri" w:cs="Times New Roman"/>
      <w:sz w:val="18"/>
      <w:szCs w:val="24"/>
    </w:rPr>
  </w:style>
  <w:style w:type="table" w:styleId="a7">
    <w:name w:val="Table Grid"/>
    <w:basedOn w:val="a1"/>
    <w:uiPriority w:val="39"/>
    <w:rsid w:val="00262A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1494</TotalTime>
  <Pages>4</Pages>
  <Words>1701</Words>
  <Characters>9696</Characters>
  <Application>Microsoft Office Word</Application>
  <DocSecurity>0</DocSecurity>
  <Lines>80</Lines>
  <Paragraphs>22</Paragraphs>
  <ScaleCrop>false</ScaleCrop>
  <Company/>
  <LinksUpToDate>false</LinksUpToDate>
  <CharactersWithSpaces>11375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cp:revision>
  <dcterms:created xsi:type="dcterms:W3CDTF">2018-07-21T20:55:00Z</dcterms:created>
  <dcterms:modified xsi:type="dcterms:W3CDTF">2018-07-23T01:06:00Z</dcterms:modified>
</cp:coreProperties>
</file>