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9.027832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9.345734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8.556488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8.835693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9.364014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9.651031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9.316315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9.041626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2.428436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4.311646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4.268219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3.553833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3.18277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-21.16797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6.73898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5.750096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3.188599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3.534057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4.230988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9.01828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8.555603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2.240997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3.657959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4.595642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3.855713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3.20874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-21.3923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6.74148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5.65317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3.202759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3.893554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4.595063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8.547058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9.351837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2.382904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3.475738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4.510498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3.863312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3.195801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-20.45621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6.77194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5.637548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3.151367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3.858917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4.542358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9.352142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2400.602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2481.288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-376.9236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446.8455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823.7691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-377.2326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446.013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823.2455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-376.9917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446.4374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823.4291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-50.76654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-47.56259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-20.49579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8.31134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-18.28394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-46.36185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-50.3089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-52.37292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-53.5856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-55.28079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-55.94922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-56.21762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-57.4357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-57.16678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-57.43231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-58.38361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-57.60831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-58.00162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-57.98111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-57.53345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-58.32758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-58.87085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-59.19516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-59.11646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-57.70718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-58.58441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-59.25073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-59.11053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-59.23856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-58.19983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-59.49918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-57.95547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-58.89728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-58.14246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-59.01703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-58.85532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-58.50018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-58.40405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-58.69119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-58.34433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-58.25778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-58.09525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-58.64096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-58.54062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-57.49191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-44.34647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-57.71259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-58.21448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-58.77542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-59.08264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-56.48553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-58.29153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-56.92752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-55.62897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-54.00699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-53.47705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-54.07196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-56.43463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-56.89783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-55.97821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-57.57642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-57.18338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-57.87482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-51.69083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-56.82416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-57.25827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-57.24332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-57.61902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-57.91263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-58.71054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-57.68744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-58.70248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-59.25833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-57.54312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-58.12033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-56.45071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-58.11938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-58.87585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-58.69913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-56.86124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-58.53046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-58.17886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-56.54825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-57.40717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-57.81351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-57.57355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-56.83307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-56.96027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-55.38852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-53.64584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-52.65302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-50.85562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-48.02252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-21.09821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7.941071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-18.87494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-47.21606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-50.72241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-52.51254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-54.00211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-54.95413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-55.90149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-56.72018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-56.86105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-57.40109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-57.87863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-57.91104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-58.15756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-57.53748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-58.93869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-58.34464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-58.76279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-58.23303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-58.86511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-58.36438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-56.61411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-57.96362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-58.23639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-58.48615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-58.71832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-57.55209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-58.54404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-59.21826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-57.74472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-58.75336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-57.9379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-57.75842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-58.61853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-58.33539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-57.52582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-57.43765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-57.06161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-52.90302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-58.49994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-57.35104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-57.51328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-56.02722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-56.23221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-55.64252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-54.60693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-54.4866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-54.12469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-55.91025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-57.41061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-58.73764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-57.47394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-58.98746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-58.77686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-57.43365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-59.24539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-57.53802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-58.76199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-56.98074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-57.79169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-44.47104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-57.86774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-58.21506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-58.54871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-57.66476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-58.98364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-58.49988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-58.60446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-58.74548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-59.11887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-58.37521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-58.45828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-58.10681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-58.64349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-58.94611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-57.90961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-58.55234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-57.60892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-58.48468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-58.37201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-57.14001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-56.44482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-57.82407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-58.57828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-57.73111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-58.54688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-57.34097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-58.31522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-57.68866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-56.59827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-57.67154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-57.45547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-56.88278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-56.40894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-56.06284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-56.09985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-55.56976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-55.12936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-52.04132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-50.51593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-46.98889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-20.23895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8.658447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-18.48462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-46.74152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-50.12912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157.722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118.5808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0.839353419307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157.7985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120.7786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0.831470514612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155.7593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116.483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0.863270443563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20.84565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21.16179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22.33386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-2.629519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-1.798153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-0.08368492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-2.629519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-1.798153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-0.08368492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-1.576185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-1.192093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-1.862288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-1.576185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-1.192093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-1.862288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-2.581835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-2.304316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-1.487494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-2.581835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-2.304316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-1.487494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-1.627197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8.987061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7.359863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-1.628052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8.99292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7.364899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-1.541443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8.501434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6.960022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-1.542145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8.509064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6.966949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-1.595825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9.291809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7.696045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-1.592407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9.292725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7.700378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19.80352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20.25938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0.2567768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6.154406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13.31003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10.50049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19.90628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20.36285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0.2260208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5.930376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13.61108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r>
              <w:t>10.30048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20.18285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20.64133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0.2713203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6.605041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15.42631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11.50054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20.57409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20.71166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-0.3726482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6.330788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15.85935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r>
              <w:t>11.40053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19.76776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20.99156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1.003504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6.731713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15.41469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11.90056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20.87021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21.04187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-0.5118847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6.676483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16.64778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12.00056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-40.36096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-32.57101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-35.84952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-0.3345032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-34.02859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-33.19763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-41.44345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-46.58755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-48.68649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-49.56744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-50.44693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-51.11154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-50.86047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-51.38864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-51.49792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-52.36496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-50.91403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-52.35364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-52.67731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-51.21729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-52.48495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-51.62643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-52.19934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-51.72696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-51.28339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-51.66574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-51.98761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-51.34674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-50.10553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-40.09512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-49.81915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-51.68127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-51.07544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-50.27539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-51.54303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-50.86041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-49.88266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-48.9639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-49.26892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-47.34302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-47.77148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-48.53012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-49.80618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-49.47693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-50.81424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-49.9238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-49.25839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-45.3176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-49.06128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-50.33163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-50.14487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-51.93259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-51.84079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-52.43491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-51.84619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-51.97171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-52.71121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-52.46274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-51.39264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-51.85294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-50.52353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-50.62415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-50.96301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-50.34372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-50.36963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-47.6218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-44.20987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-40.05899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-32.27267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-35.91074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0.03317261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-33.37723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-33.11026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-40.703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-46.1687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-48.03802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-49.48044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-50.22214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-50.12021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-50.69269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-51.13818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-50.90366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-51.17142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-51.57278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-51.67499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-50.54803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-51.79929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-51.61569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-51.28091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-52.14102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-51.57681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-51.55399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-51.61874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-51.32288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-48.58295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-51.24496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-51.59573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-51.26019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-50.65097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-50.58572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-50.55371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-49.10898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-48.66357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-49.13565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-49.22623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-49.85953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-51.26303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-52.00238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-51.94464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-51.43585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-50.73199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-42.27875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-50.44376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-52.11768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-51.81583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-51.74933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-52.58997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-52.08176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-51.88831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-51.68536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-51.95709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-50.40436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-50.87296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-51.58173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-51.23398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-51.36429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-50.93927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-50.42212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-50.46143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-49.72147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-49.99637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-48.9068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-47.50565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-43.22549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-39.61942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-31.5177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-35.02173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0.8947144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-32.45889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-32.28378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-40.56232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-39.77557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-32.19263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-35.91913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0.1985474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-35.33588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-32.10553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-40.65723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-44.58609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-46.73218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-49.57227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-50.63977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-51.05005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-50.99771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-51.20618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-51.75284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-51.64938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-51.25641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-52.43149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-52.61847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-51.28497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-51.55606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-51.69095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-51.35345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-52.35657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-51.73044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-52.13309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-51.77106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-51.49829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-52.13876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-49.62164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-39.94699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-49.66245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-51.30127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-51.40903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-50.57877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-51.69812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-51.65421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-49.77658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-50.22525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-47.96231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-48.3356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-47.56076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-47.66721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-48.04727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-49.84552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-49.85516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-51.04587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-49.88217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-49.81842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-45.26685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-49.3493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-50.26898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-49.73352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-51.39902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-50.99414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-52.56192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-52.38474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-52.29346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-50.91092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-51.93549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-52.17798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-51.75204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-50.60043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-51.05112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-49.98547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-48.23581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-46.72006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-45.10345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-44.53363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-39.40741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-31.20526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-35.47699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0.499054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-33.86826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-31.9295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-41.00165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-44.20535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-45.24411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-46.61356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-49.28076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-50.18643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-51.06277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-51.15585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-51.51178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-51.38937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-50.92841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-51.29572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-51.23779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-50.86646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-51.67947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-51.59601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-51.68405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-51.11823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-51.55307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-51.04346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-51.31204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-51.84161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-51.86197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-51.89581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-48.78259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-52.23468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-50.72922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-51.52496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-51.13605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-49.63373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-48.85693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-48.38385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-49.22708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-50.64545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-52.40381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-51.33084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-51.17874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-50.89816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-42.44232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-50.48776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-52.03296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-52.16144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-51.88541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-52.46771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-52.06744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-52.29736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-52.05313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-51.74857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-52.36856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-51.07965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-52.08176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-51.91034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-51.39932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-50.59723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-51.49887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-51.21884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-52.01654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-51.20346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-50.80539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-51.24957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-50.87784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-51.06616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-51.01807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-50.08691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-50.40955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-49.79932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-48.45056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-45.96338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-43.46381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-42.62814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-38.79572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-30.70505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-34.48209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1.013153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-32.81711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-31.24213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-39.37384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7.938263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2.916199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3.013855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4.279083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3.531647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3.123504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-21.33948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6.68704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5.708226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3.122803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3.550232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4.26828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7.957092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7.615204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2.368164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3.135651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4.196808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3.952545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3.157623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-21.52362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6.65213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5.663208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3.162414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3.954987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7.61853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8.420898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2.303405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3.293274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3.949402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3.943695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3.080536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-20.43323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6.68961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5.575682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3.084106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3.996216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3.898132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8.415253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  <w:bookmarkStart w:id="92" w:name="_GoBack"/>
            <w:bookmarkEnd w:id="92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9.418488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0.4585571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8.995972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0.4362793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9.852692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0.4449768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-49.59833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-49.03259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-47.52396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-43.55692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-12.52786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8.562836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-14.09695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-43.43707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-46.74252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-48.71432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-49.2767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-50.25064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-50.90247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-51.13922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-51.58545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-52.07184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-51.77954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-51.71573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-52.00064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-52.03226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-52.15958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-52.15445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-51.97757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-41.73935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-50.33524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-50.89566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-50.61111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-50.65488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-51.01672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-51.25119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-47.27921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-51.25336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-48.89316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-47.76752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-43.70596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-12.45834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8.209351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-13.92249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-43.81125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-47.16211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-48.87476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-50.01331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-50.68802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-52.24811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-47.70184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-41.5654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-50.21152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-49.23694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-48.77524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-47.02811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-42.5712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-11.55215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8.988007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-12.79697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-43.10492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-46.9155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-49.05099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247.6528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186.7623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0.80098791534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250.2813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192.2567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0.814446384928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249.8991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189.5595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0.829035798848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-13.6044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-0.1728535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-0.2191067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-0.2830029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-15.02347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1.938581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0.03027916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0.8583069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-14.52947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0.4827976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0.03218651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0.2582073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9.282623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0.5022888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8.914246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0.4264526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9.77948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0.4473572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-49.77142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-49.17282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-46.32443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-33.53302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-5.086029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3.98703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-8.27655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-32.83749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-46.6329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-48.89404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-49.77106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-50.54709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-50.90646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-51.12842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-52.64731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-52.47586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-52.69168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-51.54565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-52.24988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-52.5929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-51.65997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-52.01407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-52.12103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-50.31116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-44.70374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-50.08856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-51.32553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-51.12115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-51.27307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-48.58115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-52.37085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-45.49298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-34.34598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-5.335968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3.656769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-8.564697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-32.98181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-50.14459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-50.65897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-52.72931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-49.38721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-49.53967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-44.71378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-50.47058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-52.62131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-52.63837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-52.54745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-52.51801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-52.90909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-52.55527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-50.15833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-49.24307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-43.56525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-32.42508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-4.570282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4.430359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-7.709717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-32.92825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-45.7735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496.1505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331.368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0.704829280632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499.9385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339.5596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0.716736358572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497.5591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340.7583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0.73413952232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-13.35144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-1.204014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0.002384186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-0.9112358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-15.24258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1.449108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0.4401207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1.145363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-15.73038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1.739502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0.45681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0.980854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B47F6F"/>
    <w:rsid w:val="05FC1978"/>
    <w:rsid w:val="0642795F"/>
    <w:rsid w:val="066545F5"/>
    <w:rsid w:val="068C1552"/>
    <w:rsid w:val="06A4261C"/>
    <w:rsid w:val="06AF1A7F"/>
    <w:rsid w:val="06BC2287"/>
    <w:rsid w:val="078A41B1"/>
    <w:rsid w:val="084046B6"/>
    <w:rsid w:val="08E3501B"/>
    <w:rsid w:val="09D634A2"/>
    <w:rsid w:val="09EC14C0"/>
    <w:rsid w:val="0A540CE6"/>
    <w:rsid w:val="0AD7130E"/>
    <w:rsid w:val="0AF11262"/>
    <w:rsid w:val="0B090280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173500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3C43C8"/>
    <w:rsid w:val="1741296D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3B0623"/>
    <w:rsid w:val="1E5E2E94"/>
    <w:rsid w:val="1E7A5E79"/>
    <w:rsid w:val="1EB56845"/>
    <w:rsid w:val="1F7C4742"/>
    <w:rsid w:val="1F896C89"/>
    <w:rsid w:val="20132D6C"/>
    <w:rsid w:val="2095198C"/>
    <w:rsid w:val="20B608A0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851767"/>
    <w:rsid w:val="24CA6E0A"/>
    <w:rsid w:val="267465B6"/>
    <w:rsid w:val="271378C4"/>
    <w:rsid w:val="27826F0C"/>
    <w:rsid w:val="280910B8"/>
    <w:rsid w:val="280D2F94"/>
    <w:rsid w:val="289A2485"/>
    <w:rsid w:val="290C2769"/>
    <w:rsid w:val="29416695"/>
    <w:rsid w:val="29C82F4F"/>
    <w:rsid w:val="29F246E5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D25090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D04112"/>
    <w:rsid w:val="36FF6FF6"/>
    <w:rsid w:val="37651590"/>
    <w:rsid w:val="37AA5643"/>
    <w:rsid w:val="37EC0BC5"/>
    <w:rsid w:val="383848F6"/>
    <w:rsid w:val="384B51E5"/>
    <w:rsid w:val="38713BEC"/>
    <w:rsid w:val="391C282D"/>
    <w:rsid w:val="399D1A51"/>
    <w:rsid w:val="39D51147"/>
    <w:rsid w:val="3A323669"/>
    <w:rsid w:val="3A70561D"/>
    <w:rsid w:val="3ABB1E6C"/>
    <w:rsid w:val="3B221654"/>
    <w:rsid w:val="3BC62ADC"/>
    <w:rsid w:val="3C1641C0"/>
    <w:rsid w:val="3C2F7CF1"/>
    <w:rsid w:val="3C6009E4"/>
    <w:rsid w:val="3CAA3443"/>
    <w:rsid w:val="3CCF6EDF"/>
    <w:rsid w:val="3CFF3556"/>
    <w:rsid w:val="3D175028"/>
    <w:rsid w:val="3DF80243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A75712"/>
    <w:rsid w:val="42B961E2"/>
    <w:rsid w:val="42EB4661"/>
    <w:rsid w:val="43492D2F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6B6266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63D38"/>
    <w:rsid w:val="4D6757C5"/>
    <w:rsid w:val="4D8E6B8B"/>
    <w:rsid w:val="4DFF20F8"/>
    <w:rsid w:val="4E44423B"/>
    <w:rsid w:val="4E510DAB"/>
    <w:rsid w:val="4E5B608E"/>
    <w:rsid w:val="4EB236B9"/>
    <w:rsid w:val="4EDC2210"/>
    <w:rsid w:val="4F48092D"/>
    <w:rsid w:val="4F5E4B8A"/>
    <w:rsid w:val="4FC21B8F"/>
    <w:rsid w:val="4FE9177D"/>
    <w:rsid w:val="50ED0403"/>
    <w:rsid w:val="519468AB"/>
    <w:rsid w:val="52650029"/>
    <w:rsid w:val="534D770C"/>
    <w:rsid w:val="53A23FDC"/>
    <w:rsid w:val="54021DEC"/>
    <w:rsid w:val="54314895"/>
    <w:rsid w:val="547D05C4"/>
    <w:rsid w:val="552C0322"/>
    <w:rsid w:val="556F0D78"/>
    <w:rsid w:val="5618232C"/>
    <w:rsid w:val="567D7FB4"/>
    <w:rsid w:val="569D4556"/>
    <w:rsid w:val="569E0252"/>
    <w:rsid w:val="56D40F7B"/>
    <w:rsid w:val="57E44AFE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DE94D37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22B14DF"/>
    <w:rsid w:val="635E3E59"/>
    <w:rsid w:val="639840A4"/>
    <w:rsid w:val="63BC7808"/>
    <w:rsid w:val="63F45773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5944F6"/>
    <w:rsid w:val="71A57811"/>
    <w:rsid w:val="72E2309B"/>
    <w:rsid w:val="72E4339F"/>
    <w:rsid w:val="73634B6A"/>
    <w:rsid w:val="73E02E5D"/>
    <w:rsid w:val="751C3138"/>
    <w:rsid w:val="7564025F"/>
    <w:rsid w:val="75E475C9"/>
    <w:rsid w:val="767646D3"/>
    <w:rsid w:val="76D9489C"/>
    <w:rsid w:val="76E37854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982A2E"/>
    <w:rsid w:val="7CC775AE"/>
    <w:rsid w:val="7DA039CF"/>
    <w:rsid w:val="7DE55D6C"/>
    <w:rsid w:val="7E492061"/>
    <w:rsid w:val="7E550001"/>
    <w:rsid w:val="7E727C32"/>
    <w:rsid w:val="7E8667E8"/>
    <w:rsid w:val="7EDD6E97"/>
    <w:rsid w:val="7EF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2021-07-02T13:12:57Z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