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3.png" ContentType="image/png"/>
  <Override PartName="/word/media/rId106.png" ContentType="image/png"/>
  <Override PartName="/word/media/rId100.png" ContentType="image/png"/>
  <Override PartName="/word/media/rId88.png" ContentType="image/png"/>
  <Override PartName="/word/media/rId91.png" ContentType="image/png"/>
  <Override PartName="/word/media/rId94.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hệ thống báo hai giá trị mã băm khác nhau nhưng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w:t>
      </w:r>
      <w:r>
        <w:t xml:space="preserve"> </w:t>
      </w:r>
      <w:r>
        <w:rPr>
          <w:b/>
          <w:bCs/>
        </w:rPr>
        <w:t xml:space="preserve">chỉ bằng pilot</w:t>
      </w:r>
      <w:r>
        <w:t xml:space="preserve">.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Nguyên nhân khiến JPEG-70 và Resize-0.75 thất bại không nằm ở vật mang mà ở cách bên nhận kế toán ký hiệu bị xoá; sau khi sửa, cả hai ca này giải mã được, và ca ảnh chụp màn hình cũng vậy. Số đo sau khi sửa cùng chẩn đoán đầy đủ nằm ở Mục 4.2.4.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r>
        <w:br w:type="page"/>
      </w:r>
    </w:p>
    <w:bookmarkEnd w:id="41"/>
    <w:bookmarkEnd w:id="42"/>
    <w:bookmarkEnd w:id="43"/>
    <w:bookmarkEnd w:id="44"/>
    <w:bookmarkStart w:id="110"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jc w:val="left"/>
        <w:numPr>
          <w:ilvl w:val="1"/>
          <w:numId w:val="1051"/>
        </w:numPr>
      </w:pPr>
      <w:r>
        <w:t xml:space="preserve">Khi cấu hình tắt phân hệ thủy vân, hệ thống chuyển sang in một nhãn cấp phát nhìn thấy được dạng</w:t>
      </w:r>
      <w:r>
        <w:t xml:space="preserve"> </w:t>
      </w:r>
      <w:r>
        <w:rPr>
          <w:rStyle w:val="VerbatimChar"/>
        </w:rPr>
        <w:t xml:space="preserve">SB1-&lt;base32(issuance_id)&gt;</w:t>
      </w:r>
      <w:r>
        <w:t xml:space="preserve"> </w:t>
      </w:r>
      <w:r>
        <w:t xml:space="preserve">lên mỗi trang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4"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3"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1"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7"/>
        </w:numPr>
      </w:pPr>
      <w:r>
        <w:t xml:space="preserve">Cần nói rõ một chi tiết mà câu trên dễ gây hiểu nhầm: bên trong đường ống,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rPr>
                <w:b/>
                <w:bCs/>
              </w:rPr>
              <w:t xml:space="preserve">Truy được nguồn</w:t>
            </w:r>
            <w:r>
              <w:t xml:space="preserve">,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rPr>
                <w:b/>
                <w:bCs/>
              </w:rPr>
              <w:t xml:space="preserve">Truy được nguồn</w:t>
            </w:r>
          </w:p>
        </w:tc>
      </w:tr>
    </w:tbl>
    <w:p>
      <w:pPr>
        <w:pStyle w:val="BodyText"/>
      </w:pPr>
      <w:r>
        <w:t xml:space="preserve">Hàng cuối bị thu nhỏ mạnh hơn mà vẫn ra đúng mã hồ sơ. Đây là bằng chứng dứt điểm rằng hệ thống đang chạy</w:t>
      </w:r>
      <w:r>
        <w:t xml:space="preserve"> </w:t>
      </w:r>
      <w:r>
        <w:rPr>
          <w:b/>
          <w:bCs/>
        </w:rPr>
        <w:t xml:space="preserve">có</w:t>
      </w:r>
      <w:r>
        <w:t xml:space="preserve"> </w:t>
      </w:r>
      <w:r>
        <w:t xml:space="preserve">truy vết được ảnh chụp màn hình đã bị thu nhỏ hơn một nửa.</w:t>
      </w:r>
    </w:p>
    <w:bookmarkEnd w:id="69"/>
    <w:bookmarkStart w:id="70"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này tách bạch ba biến một cách sạch sẽ:</w:t>
      </w:r>
    </w:p>
    <w:p>
      <w:pPr>
        <w:pStyle w:val="Compact"/>
        <w:numPr>
          <w:ilvl w:val="0"/>
          <w:numId w:val="1058"/>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8"/>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8"/>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hợp đồng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70"/>
    <w:bookmarkEnd w:id="71"/>
    <w:bookmarkStart w:id="72"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9"/>
        </w:numPr>
      </w:pPr>
      <w:r>
        <w:t xml:space="preserve">Vật mang đang dùng khôi phục 99,7 phần trăm số bit ở đúng tỉ lệ mà dây chuyền trả về rỗng (Mục 4.2.4.1). Kênh truyền không hỏng.</w:t>
      </w:r>
    </w:p>
    <w:p>
      <w:pPr>
        <w:pStyle w:val="Compact"/>
        <w:numPr>
          <w:ilvl w:val="0"/>
          <w:numId w:val="1059"/>
        </w:numPr>
      </w:pPr>
      <w:r>
        <w:t xml:space="preserve">Vật mang thay thế theo hướng được đề nghị đo kém hơn ở mọi tỉ lệ (Mục 4.2.4.1).</w:t>
      </w:r>
    </w:p>
    <w:p>
      <w:pPr>
        <w:pStyle w:val="Compact"/>
        <w:numPr>
          <w:ilvl w:val="0"/>
          <w:numId w:val="1059"/>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2"/>
    <w:bookmarkEnd w:id="73"/>
    <w:bookmarkEnd w:id="74"/>
    <w:bookmarkStart w:id="87"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5"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60"/>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60"/>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60"/>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5"/>
    <w:bookmarkStart w:id="77"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6"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1"/>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1"/>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6"/>
    <w:bookmarkEnd w:id="77"/>
    <w:bookmarkStart w:id="78"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2"/>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2"/>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8"/>
    <w:bookmarkStart w:id="83" w:name="Xcba741b7d15d7c2a6d0fd21f4824de4303624e5"/>
    <w:p>
      <w:pPr>
        <w:pStyle w:val="Heading3"/>
      </w:pPr>
      <w:r>
        <w:t xml:space="preserve">4.3.4. b.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79" w:name="X688838cb799453fdebcac4e464dd148530bc8ec"/>
    <w:p>
      <w:pPr>
        <w:pStyle w:val="Heading4"/>
      </w:pPr>
      <w:r>
        <w:t xml:space="preserve">4.3.4.1. Công trình 1: thủy vân ảnh trang văn bản chống chụp màn hình [20]</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79"/>
    <w:bookmarkStart w:id="80" w:name="X7806c10368fe7d43c216032361e5eaf81f777b3"/>
    <w:p>
      <w:pPr>
        <w:pStyle w:val="Heading4"/>
      </w:pPr>
      <w:r>
        <w:t xml:space="preserve">4.3.4.2. Công trình 2: thủy vân chống chụp màn hình dùng điểm đặc trưng [21]</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80"/>
    <w:bookmarkStart w:id="81" w:name="Xb6e8a56451cfac62513e1dd6b387b27e76bc18b"/>
    <w:p>
      <w:pPr>
        <w:pStyle w:val="Heading4"/>
      </w:pPr>
      <w:r>
        <w:t xml:space="preserve">4.3.4.3. Công trình 3: thư viện đang được dùng trong sản phẩm thật [22]</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81"/>
    <w:bookmarkStart w:id="82" w:name="bốn-điều-rút-ra-cho-kiến-trúc-v4"/>
    <w:p>
      <w:pPr>
        <w:pStyle w:val="Heading4"/>
      </w:pPr>
      <w:r>
        <w:t xml:space="preserve">4.3.4.4. Bốn điều rút ra cho kiến trúc V4</w:t>
      </w:r>
    </w:p>
    <w:p>
      <w:pPr>
        <w:pStyle w:val="Compact"/>
        <w:numPr>
          <w:ilvl w:val="0"/>
          <w:numId w:val="1063"/>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3"/>
        </w:numPr>
      </w:pPr>
      <w:r>
        <w:rPr>
          <w:b/>
          <w:bCs/>
        </w:rPr>
        <w:t xml:space="preserve">Đồng bộ bằng đặc trưng nội dung, không chỉ bằng mẫu pilot tần số.</w:t>
      </w:r>
      <w:r>
        <w:t xml:space="preserve"> </w:t>
      </w:r>
      <w:r>
        <w:t xml:space="preserve">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3"/>
        </w:numPr>
      </w:pPr>
      <w:r>
        <w:rPr>
          <w:b/>
          <w:bCs/>
        </w:rPr>
        <w:t xml:space="preserve">Cường độ nhúng thích nghi theo năng lượng cục bộ</w:t>
      </w:r>
      <w:r>
        <w:t xml:space="preserve">, thay cho một bước lượng tử duy nhất toàn trang.</w:t>
      </w:r>
    </w:p>
    <w:p>
      <w:pPr>
        <w:pStyle w:val="Compact"/>
        <w:numPr>
          <w:ilvl w:val="0"/>
          <w:numId w:val="1063"/>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p>
      <w:r>
        <w:pict>
          <v:rect style="width:0;height:1.5pt" o:hralign="center" o:hrstd="t" o:hr="t"/>
        </w:pict>
      </w:r>
    </w:p>
    <w:bookmarkEnd w:id="82"/>
    <w:bookmarkEnd w:id="83"/>
    <w:bookmarkStart w:id="84" w:name="kiến-trúc-v4-đề-xuất"/>
    <w:p>
      <w:pPr>
        <w:pStyle w:val="Heading3"/>
      </w:pPr>
      <w:r>
        <w:t xml:space="preserve">4.3.5.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84"/>
    <w:bookmarkStart w:id="85" w:name="cái-gì-kiến-trúc-này-không-sửa-được"/>
    <w:p>
      <w:pPr>
        <w:pStyle w:val="Heading3"/>
      </w:pPr>
      <w:r>
        <w:t xml:space="preserve">4.3.6. Cái gì kiến trúc này không sửa được</w:t>
      </w:r>
    </w:p>
    <w:p>
      <w:pPr>
        <w:pStyle w:val="Compact"/>
        <w:numPr>
          <w:ilvl w:val="0"/>
          <w:numId w:val="1064"/>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4"/>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5"/>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4"/>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85"/>
    <w:bookmarkStart w:id="86" w:name="vì-sao-chẩn-đoán-này-có-được"/>
    <w:p>
      <w:pPr>
        <w:pStyle w:val="Heading3"/>
      </w:pPr>
      <w:r>
        <w:t xml:space="preserve">4.3.7.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6"/>
    <w:bookmarkEnd w:id="87"/>
    <w:bookmarkStart w:id="109"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89" name="Picture"/>
            <a:graphic>
              <a:graphicData uri="http://schemas.openxmlformats.org/drawingml/2006/picture">
                <pic:pic>
                  <pic:nvPicPr>
                    <pic:cNvPr descr="report-assets/figures/ui-issuance-result.png" id="90" name="Picture"/>
                    <pic:cNvPicPr>
                      <a:picLocks noChangeArrowheads="1" noChangeAspect="1"/>
                    </pic:cNvPicPr>
                  </pic:nvPicPr>
                  <pic:blipFill>
                    <a:blip r:embed="rId88"/>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92" name="Picture"/>
            <a:graphic>
              <a:graphicData uri="http://schemas.openxmlformats.org/drawingml/2006/picture">
                <pic:pic>
                  <pic:nvPicPr>
                    <pic:cNvPr descr="report-assets/figures/ui-verification-match.png" id="93" name="Picture"/>
                    <pic:cNvPicPr>
                      <a:picLocks noChangeArrowheads="1" noChangeAspect="1"/>
                    </pic:cNvPicPr>
                  </pic:nvPicPr>
                  <pic:blipFill>
                    <a:blip r:embed="rId91"/>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95" name="Picture"/>
            <a:graphic>
              <a:graphicData uri="http://schemas.openxmlformats.org/drawingml/2006/picture">
                <pic:pic>
                  <pic:nvPicPr>
                    <pic:cNvPr descr="report-assets/figures/ui-verification-no-match.png" id="96" name="Picture"/>
                    <pic:cNvPicPr>
                      <a:picLocks noChangeArrowheads="1" noChangeAspect="1"/>
                    </pic:cNvPicPr>
                  </pic:nvPicPr>
                  <pic:blipFill>
                    <a:blip r:embed="rId94"/>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5575300" cy="3261317"/>
            <wp:effectExtent b="0" l="0" r="0" t="0"/>
            <wp:docPr descr="" title="" id="98" name="Picture"/>
            <a:graphic>
              <a:graphicData uri="http://schemas.openxmlformats.org/drawingml/2006/picture">
                <pic:pic>
                  <pic:nvPicPr>
                    <pic:cNvPr descr="report-assets/figures/ui-verification-traced.png" id="99" name="Picture"/>
                    <pic:cNvPicPr>
                      <a:picLocks noChangeArrowheads="1" noChangeAspect="1"/>
                    </pic:cNvPicPr>
                  </pic:nvPicPr>
                  <pic:blipFill>
                    <a:blip r:embed="rId97"/>
                    <a:stretch>
                      <a:fillRect/>
                    </a:stretch>
                  </pic:blipFill>
                  <pic:spPr bwMode="auto">
                    <a:xfrm>
                      <a:off x="0" y="0"/>
                      <a:ext cx="5575300" cy="3261317"/>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hệ thống báo hai giá trị mã băm khác nhau nhưng vẫn chỉ đúng bản cấp phát gốc</w:t>
      </w:r>
    </w:p>
    <w:p>
      <w:pPr>
        <w:pStyle w:val="BodyText"/>
      </w:pPr>
      <w:r>
        <w:drawing>
          <wp:inline>
            <wp:extent cx="4973052" cy="2720282"/>
            <wp:effectExtent b="0" l="0" r="0" t="0"/>
            <wp:docPr descr="" title="" id="101" name="Picture"/>
            <a:graphic>
              <a:graphicData uri="http://schemas.openxmlformats.org/drawingml/2006/picture">
                <pic:pic>
                  <pic:nvPicPr>
                    <pic:cNvPr descr="report-assets/figures/chart-v1-vs-v3.png" id="102" name="Picture"/>
                    <pic:cNvPicPr>
                      <a:picLocks noChangeArrowheads="1" noChangeAspect="1"/>
                    </pic:cNvPicPr>
                  </pic:nvPicPr>
                  <pic:blipFill>
                    <a:blip r:embed="rId100"/>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104" name="Picture"/>
            <a:graphic>
              <a:graphicData uri="http://schemas.openxmlformats.org/drawingml/2006/picture">
                <pic:pic>
                  <pic:nvPicPr>
                    <pic:cNvPr descr="report-assets/figures/chart-attack-envelope.png" id="105" name="Picture"/>
                    <pic:cNvPicPr>
                      <a:picLocks noChangeArrowheads="1" noChangeAspect="1"/>
                    </pic:cNvPicPr>
                  </pic:nvPicPr>
                  <pic:blipFill>
                    <a:blip r:embed="rId103"/>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107" name="Picture"/>
            <a:graphic>
              <a:graphicData uri="http://schemas.openxmlformats.org/drawingml/2006/picture">
                <pic:pic>
                  <pic:nvPicPr>
                    <pic:cNvPr descr="report-assets/figures/chart-frame-restore.png" id="108" name="Picture"/>
                    <pic:cNvPicPr>
                      <a:picLocks noChangeArrowheads="1" noChangeAspect="1"/>
                    </pic:cNvPicPr>
                  </pic:nvPicPr>
                  <pic:blipFill>
                    <a:blip r:embed="rId106"/>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r>
        <w:br w:type="page"/>
      </w:r>
    </w:p>
    <w:bookmarkEnd w:id="109"/>
    <w:bookmarkEnd w:id="110"/>
    <w:bookmarkStart w:id="111"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11"/>
    <w:bookmarkStart w:id="112"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6"/>
        </w:numPr>
      </w:pPr>
      <w:r>
        <w:rPr>
          <w:b/>
          <w:bCs/>
        </w:rPr>
        <w:t xml:space="preserve">Sách Chuyên khảo Quốc tế:</w:t>
      </w:r>
    </w:p>
    <w:p>
      <w:pPr>
        <w:pStyle w:val="Compact"/>
        <w:numPr>
          <w:ilvl w:val="1"/>
          <w:numId w:val="1067"/>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67"/>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6"/>
        </w:numPr>
      </w:pPr>
      <w:r>
        <w:rPr>
          <w:b/>
          <w:bCs/>
        </w:rPr>
        <w:t xml:space="preserve">Giáo trình đại học trong nước:</w:t>
      </w:r>
    </w:p>
    <w:p>
      <w:pPr>
        <w:pStyle w:val="Compact"/>
        <w:numPr>
          <w:ilvl w:val="1"/>
          <w:numId w:val="1068"/>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68"/>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6"/>
        </w:numPr>
      </w:pPr>
      <w:r>
        <w:rPr>
          <w:b/>
          <w:bCs/>
        </w:rPr>
        <w:t xml:space="preserve">Bài báo Khoa học Tiêu biểu:</w:t>
      </w:r>
    </w:p>
    <w:p>
      <w:pPr>
        <w:pStyle w:val="Compact"/>
        <w:numPr>
          <w:ilvl w:val="1"/>
          <w:numId w:val="1069"/>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69"/>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69"/>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6"/>
        </w:numPr>
      </w:pPr>
      <w:r>
        <w:rPr>
          <w:b/>
          <w:bCs/>
        </w:rPr>
        <w:t xml:space="preserve">Tiêu chuẩn Kỹ thuật và Giao thức Quốc tế:</w:t>
      </w:r>
    </w:p>
    <w:p>
      <w:pPr>
        <w:pStyle w:val="Compact"/>
        <w:numPr>
          <w:ilvl w:val="1"/>
          <w:numId w:val="1070"/>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70"/>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70"/>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70"/>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70"/>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70"/>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70"/>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70"/>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6"/>
        </w:numPr>
      </w:pPr>
      <w:r>
        <w:rPr>
          <w:b/>
          <w:bCs/>
        </w:rPr>
        <w:t xml:space="preserve">Cài đặt Mã nguồn mở dùng để đối chiếu:</w:t>
      </w:r>
    </w:p>
    <w:p>
      <w:pPr>
        <w:pStyle w:val="Compact"/>
        <w:numPr>
          <w:ilvl w:val="1"/>
          <w:numId w:val="1071"/>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71"/>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71"/>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71"/>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pPr>
        <w:pStyle w:val="Compact"/>
        <w:numPr>
          <w:ilvl w:val="1"/>
          <w:numId w:val="1071"/>
        </w:numPr>
      </w:pPr>
      <w:r>
        <w:t xml:space="preserve">[20] gslxr,</w:t>
      </w:r>
      <w:r>
        <w:t xml:space="preserve"> </w:t>
      </w:r>
      <w:r>
        <w:t xml:space="preserve">“Screen-Shooting-Resilient-Document-Image-Watermarking,”</w:t>
      </w:r>
      <w:r>
        <w:t xml:space="preserve"> </w:t>
      </w:r>
      <w:r>
        <w:t xml:space="preserve">GitHub repository. [Online]. Available: https://github.com/gslxr/Screen-Shooting-Resilient-Document-Image-Watermarking</w:t>
      </w:r>
    </w:p>
    <w:p>
      <w:pPr>
        <w:pStyle w:val="Compact"/>
        <w:numPr>
          <w:ilvl w:val="1"/>
          <w:numId w:val="1071"/>
        </w:numPr>
      </w:pPr>
      <w:r>
        <w:t xml:space="preserve">[21] H. Fang, W. Zhang, H. Zhou, H. Cui and N. Yu,</w:t>
      </w:r>
      <w:r>
        <w:t xml:space="preserve"> </w:t>
      </w:r>
      <w:r>
        <w:t xml:space="preserve">“Screen-shooting resilient watermarking,”</w:t>
      </w:r>
      <w:r>
        <w:t xml:space="preserve"> </w:t>
      </w:r>
      <w:r>
        <w:t xml:space="preserve">IEEE Transactions on Information Forensics and Security, vol. 14, no. 6, pp. 1403-1418, 2019. Mã nguồn: https://github.com/FangHanNUS/Screen-Shooting-Resilient-Watermarking</w:t>
      </w:r>
    </w:p>
    <w:p>
      <w:pPr>
        <w:pStyle w:val="Compact"/>
        <w:numPr>
          <w:ilvl w:val="1"/>
          <w:numId w:val="1071"/>
        </w:numPr>
      </w:pPr>
      <w:r>
        <w:t xml:space="preserve">[22] ShieldMnt,</w:t>
      </w:r>
      <w:r>
        <w:t xml:space="preserve"> </w:t>
      </w:r>
      <w:r>
        <w:t xml:space="preserve">“invisible-watermark: python library for invisible image watermark,”</w:t>
      </w:r>
      <w:r>
        <w:t xml:space="preserve"> </w:t>
      </w:r>
      <w:r>
        <w:t xml:space="preserve">GitHub repository. [Online]. Available: https://github.com/ShieldMnt/invisible-watermark</w:t>
      </w:r>
    </w:p>
    <w:p>
      <w:r>
        <w:br w:type="page"/>
      </w:r>
    </w:p>
    <w:bookmarkEnd w:id="112"/>
    <w:bookmarkStart w:id="113"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13"/>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2026-09-14T14:26:23Z</dcterms:created>
  <dcterms:modified xsi:type="dcterms:W3CDTF">2026-09-14T14:26:23Z</dcterms:modified>
</cp:coreProperties>
</file>

<file path=docProps/custom.xml><?xml version="1.0" encoding="utf-8"?>
<Properties xmlns="http://schemas.openxmlformats.org/officeDocument/2006/custom-properties" xmlns:vt="http://schemas.openxmlformats.org/officeDocument/2006/docPropsVTypes"/>
</file>