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100.png" ContentType="image/png"/>
  <Override PartName="/word/media/rId96.png" ContentType="image/png"/>
  <Override PartName="/word/media/rId57.png" ContentType="image/png"/>
  <Override PartName="/word/media/rId46.png" ContentType="image/png"/>
  <Override PartName="/word/media/rId49.png" ContentType="image/png"/>
  <Override PartName="/word/media/rId52.png" ContentType="image/png"/>
  <Override PartName="/word/media/rId81.png" ContentType="image/png"/>
  <Override PartName="/word/footer-front.xml" ContentType="application/vnd.openxmlformats-officedocument.wordprocessingml.footer+xml"/>
  <Override PartName="/word/foote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Tập các lệnh mà một chương trình mở ra cho chương trình khác gọi vào.</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giữ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Tên ghép từ ba người tìm ra nó: Bose, Ray-Chaudhuri và Hocquenghem. Một họ mã sửa lỗi cho phép chọn trước số bit sai tối đa mà mã tự sửa được.</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hóa chạy trên cùng một bộ trang mẫu, để hai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Phần trăm số bit sai trong tổng số bit đọc ra được.</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cố định mà mọi trang tài liệu bị kéo về trước khi nhúng, để bên nhúng và bên đọc cùng làm việc trên một kích thước. Trong hệ thống này là 1152 x 2304 điểm ảnh.</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Giữ nguyên bộ này qua các lần chạy thì kết quả hai lần mới so với nhau được.</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tc>
          <w:tcPr/>
          <w:p>
            <w:pPr>
              <w:pStyle w:val="Compact"/>
              <w:spacing w:before="40" w:after="40" w:line="240" w:lineRule="auto"/>
              <w:jc w:val="left"/>
            </w:pPr>
            <w:r>
              <w:rPr>
                <w:b/>
                <w:bCs/>
              </w:rPr>
              <w:t xml:space="preserve">crop, resize</w:t>
            </w:r>
          </w:p>
        </w:tc>
        <w:tc>
          <w:tcPr/>
          <w:p>
            <w:pPr>
              <w:pStyle w:val="Compact"/>
              <w:spacing w:before="40" w:after="40" w:line="240" w:lineRule="auto"/>
              <w:jc w:val="left"/>
            </w:pPr>
            <w:r>
              <w:t xml:space="preserve">Tên các phép tấn công trong bảng đo, giữ nguyên như trong mã nguồn: crop 0.25 là cắt bỏ 25 phần trăm diện tích tính từ ngoài vào, resize 0.75 là thu nhỏ ảnh còn 75 phần trăm mỗi cạnh.</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dãy số trông như ngẫu nhiên nhưng dựng lại được từ một khóa; biết một đoạn của dãy vẫn không đoán được đoạn tiếp theo.</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 Phép tách một khối ảnh thành các thành phần biến thiên nhanh chậm khác nhau, để có thể sửa riêng từng thành phần. Đây chính là phép mà chuẩn nén JPEG dùng.</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chuyển một trang tài liệu thành ảnh.</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wavelet rời rạc. Phép tách một ảnh thành một bản thu nhỏ giữ phần thô, cộng với ba phần chi tiết theo chiều ngang, chiều dọc và đường chéo.</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thêm một ít dữ liệu dư vào sau thông điệp, đủ để bên nhận tự sửa vài chỗ sai mà không phải hỏi lại bên gửi.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thà không chỉ ra vùng nào bị sửa, còn hơn khoanh bừa một vùng.</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bộ trang mẫu,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mã và cấu hình dùng riêng cho việc chạy hàng loạt phép đo lặp lại được, nằm tách khỏi mã chạy thật của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 Mã xác thực tính bằng hàm băm kết hợp một khóa bí mật.</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giữa phần giao và phần hợp của hai vùng, dùng để chấm xem vùng mà hệ thống khoanh trùng với vùng bị sửa thật đến đâu. Bằng 1 là trùng khít, bằng 0 là không chạm nhau.</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 Quy tắc viết một đối tượng JSON theo đúng một dạng duy nhất, để hai máy khác nhau luôn ký lên cùng một chuỗi byte.</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tức mỗi lần nén là bỏ bớt một phần chi tiết không lấy lại được, đổi lấy tệp nhỏ hơn. JPEG-70 nghĩa là nén ở mức chất lượng 70 trên thang 100.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các thuật toán xử lý tín hiệu làm việc được trên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màn hình thêm vào hai bên hoặc trên dưới khung ảnh, khi tỉ lệ của ảnh không khớp tỉ lệ của màn hình.</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ngắn tính từ thông điệp cộng với một khóa bí mật mà hai bên cùng giữ; ai không có khóa thì không tạo được mã hợp lệ.</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Tệp mô tả một lần cấp phát: ai nhận, mã băm của tệp gốc và tệp phát hành, khóa nào đã ký. Chính tệp này được ký số, chứ không phải bản thân tài liệu.</w:t>
            </w:r>
          </w:p>
        </w:tc>
      </w:tr>
      <w:tr>
        <w:tc>
          <w:tcPr/>
          <w:p>
            <w:pPr>
              <w:pStyle w:val="Compact"/>
              <w:spacing w:before="40" w:after="40" w:line="240" w:lineRule="auto"/>
              <w:jc w:val="left"/>
            </w:pPr>
            <w:r>
              <w:rPr>
                <w:b/>
                <w:bCs/>
              </w:rPr>
              <w:t xml:space="preserve">MOS</w:t>
            </w:r>
          </w:p>
        </w:tc>
        <w:tc>
          <w:tcPr/>
          <w:p>
            <w:pPr>
              <w:pStyle w:val="Compact"/>
              <w:spacing w:before="40" w:after="40" w:line="240" w:lineRule="auto"/>
              <w:jc w:val="left"/>
            </w:pPr>
            <w:r>
              <w:t xml:space="preserve">Mean Opinion Score. Điểm trung bình do người thật chấm khi đo chất lượng cảm nhận, đối lại với các chỉ số máy tính ra như PSNR.</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 Phép tìm các điểm đặc trưng trên ảnh rồi mô tả chúng, dùng để khớp hai ảnh chụp cùng một cảnh.</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giấu vào trong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những vị trí tần số đã biết trước. Bên giải mã dò lại chùm tần số này để đoán xem ảnh đã bị phóng to, thu nhỏ hay xoay bao nhiêu so với lúc nhúng.</w:t>
            </w:r>
          </w:p>
        </w:tc>
      </w:tr>
      <w:tr>
        <w:tc>
          <w:tcPr/>
          <w:p>
            <w:pPr>
              <w:pStyle w:val="Compact"/>
              <w:spacing w:before="40" w:after="40" w:line="240" w:lineRule="auto"/>
              <w:jc w:val="left"/>
            </w:pPr>
            <w:r>
              <w:rPr>
                <w:b/>
                <w:bCs/>
              </w:rPr>
              <w:t xml:space="preserve">PKI</w:t>
            </w:r>
          </w:p>
        </w:tc>
        <w:tc>
          <w:tcPr/>
          <w:p>
            <w:pPr>
              <w:pStyle w:val="Compact"/>
              <w:spacing w:before="40" w:after="40" w:line="240" w:lineRule="auto"/>
              <w:jc w:val="left"/>
            </w:pPr>
            <w:r>
              <w:t xml:space="preserve">Public Key Infrastructure, hạ tầng khóa công khai. Hệ thống cấp và thu hồi chứng thư số, để một bên tin được rằng khóa công khai của bên kia đúng là của họ.</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đo sàng lọc chạy trước cổng phát hành, dùng để loại sớm những bộ tham số kém mà không phải chạy hết bộ đo đầy đủ.</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Bộ tham số đã chốt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 Đo bằng decibel (dB); số càng lớn thì ảnh sau khi xử lý càng giống ảnh gốc, trên 40 dB thì mắt thường gần như không phân biệt được.</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Cách giấu tin bằng việc làm tròn một hệ số về điểm lưới chẵn hay lẻ, tùy bit cần giấu là 0 hay 1.</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 Phép ước lượng chịu được nhiễu: lấy ngẫu nhiên vài điểm, dựng thử một phép biến đổi, rồi giữ phép nào được nhiều điểm còn lại ủng hộ nhất.</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Cách phân quyền theo vai trò của người dùng thay vì gán quyền cho từng người một.</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làm việc theo từng byte chứ không theo từng bit. Nó thêm một số byte dư vào sau dữ liệu, đủ để bên nhận tự sửa vài byte hỏng.</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Lượng bộ nhớ thật mà một tiến trình đang chiếm.</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tìm điểm đặc trưng trên ảnh mà vẫn nhận ra được sau khi ảnh bị phóng to hay thu nhỏ.</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 Đo mức giống nhau về cấu trúc giữa hai ảnh, theo cách gần với cảm nhận của mắt hơn PSNR. Bằng 1 là hai ảnh trùng khít.</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Một tài liệu duy nhất giữ bản đúng của mọi con số, các tài liệu khác chép lại từ đó chứ không tự sửa.</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hóa và bộ giải mã qua một tầng mô phỏng biến dạng.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 Phép tách một ma trận thành các thành phần xếp theo mức đóng góp, thành phần đầu giữ phần lớn năng lượng.</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tức vùng hình chữ nhật mà thuật toán chia trang ra để giấu payload vào từng ô.</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thì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Một định danh 128 bit sinh ngẫu nhiên, đủ dài để hai lần sinh trùng nhau là điều không xảy ra trên thực tế.</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hai cách chọn đại lượng lượng tử hóa, đo độ chính xác bit qua bảy tỉ lệ thu nhỏ</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Kết quả giải mã ca ảnh chụp màn hình sau khi sửa ngân sách ký hiệu xoá</w:t>
            </w:r>
          </w:p>
        </w:tc>
      </w:tr>
      <w:tr>
        <w:tc>
          <w:tcPr/>
          <w:p>
            <w:pPr>
              <w:pStyle w:val="Compact"/>
              <w:spacing w:before="40" w:after="40" w:line="240" w:lineRule="auto"/>
              <w:jc w:val="left"/>
            </w:pPr>
            <w:r>
              <w:t xml:space="preserve">Bảng 4.13</w:t>
            </w:r>
          </w:p>
        </w:tc>
        <w:tc>
          <w:tcPr/>
          <w:p>
            <w:pPr>
              <w:pStyle w:val="Compact"/>
              <w:spacing w:before="40" w:after="40" w:line="240" w:lineRule="auto"/>
              <w:jc w:val="left"/>
            </w:pPr>
            <w:r>
              <w:t xml:space="preserve">Sáu phép thử truy vết qua đúng giao diện người dùng, ngày 14/09/2026</w:t>
            </w:r>
          </w:p>
        </w:tc>
      </w:tr>
      <w:tr>
        <w:tc>
          <w:tcPr/>
          <w:p>
            <w:pPr>
              <w:pStyle w:val="Compact"/>
              <w:spacing w:before="40" w:after="40" w:line="240" w:lineRule="auto"/>
              <w:jc w:val="left"/>
            </w:pPr>
            <w:r>
              <w:t xml:space="preserve">Bảng 4.14</w:t>
            </w:r>
          </w:p>
        </w:tc>
        <w:tc>
          <w:tcPr/>
          <w:p>
            <w:pPr>
              <w:pStyle w:val="Compact"/>
              <w:spacing w:before="40" w:after="40" w:line="240" w:lineRule="auto"/>
              <w:jc w:val="left"/>
            </w:pPr>
            <w:r>
              <w:t xml:space="preserve">Hai phép thử ảnh chụp màn hình khác nhau ở vật mang và kích thước cấp phát</w:t>
            </w:r>
          </w:p>
        </w:tc>
      </w:tr>
      <w:tr>
        <w:tc>
          <w:tcPr/>
          <w:p>
            <w:pPr>
              <w:pStyle w:val="Compact"/>
              <w:spacing w:before="40" w:after="40" w:line="240" w:lineRule="auto"/>
              <w:jc w:val="left"/>
            </w:pPr>
            <w:r>
              <w:t xml:space="preserve">Bảng 4.15</w:t>
            </w:r>
          </w:p>
        </w:tc>
        <w:tc>
          <w:tcPr/>
          <w:p>
            <w:pPr>
              <w:pStyle w:val="Compact"/>
              <w:spacing w:before="40" w:after="40" w:line="240" w:lineRule="auto"/>
              <w:jc w:val="left"/>
            </w:pPr>
            <w:r>
              <w:t xml:space="preserve">Phép đo tách biến: hai vật mang nhân hai kích thước cấp phát nhân ba điều kiện</w:t>
            </w:r>
          </w:p>
        </w:tc>
      </w:tr>
      <w:tr>
        <w:tc>
          <w:tcPr/>
          <w:p>
            <w:pPr>
              <w:pStyle w:val="Compact"/>
              <w:spacing w:before="40" w:after="40" w:line="240" w:lineRule="auto"/>
              <w:jc w:val="left"/>
            </w:pPr>
            <w:r>
              <w:t xml:space="preserve">Bảng 4.16</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4.17</w:t>
            </w:r>
          </w:p>
        </w:tc>
        <w:tc>
          <w:tcPr/>
          <w:p>
            <w:pPr>
              <w:pStyle w:val="Compact"/>
              <w:spacing w:before="40" w:after="40" w:line="240" w:lineRule="auto"/>
              <w:jc w:val="left"/>
            </w:pPr>
            <w:r>
              <w:t xml:space="preserve">Ba lớp nguyên nhân thất bại và biện pháp tương ứng</w:t>
            </w:r>
          </w:p>
        </w:tc>
      </w:tr>
      <w:tr>
        <w:tc>
          <w:tcPr/>
          <w:p>
            <w:pPr>
              <w:pStyle w:val="Compact"/>
              <w:spacing w:before="40" w:after="40" w:line="240" w:lineRule="auto"/>
              <w:jc w:val="left"/>
            </w:pPr>
            <w:r>
              <w:t xml:space="preserve">Bảng 4.18</w:t>
            </w:r>
          </w:p>
        </w:tc>
        <w:tc>
          <w:tcPr/>
          <w:p>
            <w:pPr>
              <w:pStyle w:val="Compact"/>
              <w:spacing w:before="40" w:after="40" w:line="240" w:lineRule="auto"/>
              <w:jc w:val="left"/>
            </w:pPr>
            <w:r>
              <w:t xml:space="preserve">Tác động của bước bóc viền lên tỉ lệ truy vết, đo trên hai độ phân giải màn hình</w:t>
            </w:r>
          </w:p>
        </w:tc>
      </w:tr>
      <w:tr>
        <w:tc>
          <w:tcPr/>
          <w:p>
            <w:pPr>
              <w:pStyle w:val="Compact"/>
              <w:spacing w:before="40" w:after="40" w:line="240" w:lineRule="auto"/>
              <w:jc w:val="left"/>
            </w:pPr>
            <w:r>
              <w:t xml:space="preserve">Bảng 4.19</w:t>
            </w:r>
          </w:p>
        </w:tc>
        <w:tc>
          <w:tcPr/>
          <w:p>
            <w:pPr>
              <w:pStyle w:val="Compact"/>
              <w:spacing w:before="40" w:after="40" w:line="240" w:lineRule="auto"/>
              <w:jc w:val="left"/>
            </w:pPr>
            <w:r>
              <w:t xml:space="preserve">Quét tám ứng viên dùng được của thế hệ V2 trên một trang chữ nét dày</w:t>
            </w:r>
          </w:p>
        </w:tc>
      </w:tr>
      <w:tr>
        <w:tc>
          <w:tcPr/>
          <w:p>
            <w:pPr>
              <w:pStyle w:val="Compact"/>
              <w:spacing w:before="40" w:after="40" w:line="240" w:lineRule="auto"/>
              <w:jc w:val="left"/>
            </w:pPr>
            <w:r>
              <w:t xml:space="preserve">Bảng 4.20</w:t>
            </w:r>
          </w:p>
        </w:tc>
        <w:tc>
          <w:tcPr/>
          <w:p>
            <w:pPr>
              <w:pStyle w:val="Compact"/>
              <w:spacing w:before="40" w:after="40" w:line="240" w:lineRule="auto"/>
              <w:jc w:val="left"/>
            </w:pPr>
            <w:r>
              <w:t xml:space="preserve">Quét lại đúng tám ứng viên đó trên một trang chữ nét mảnh, tỉ lệ điểm tối 9,24 phần trăm</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một bộ trang mẫu đã khoá,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sectPr>
          <w:footerReference w:type="default" r:id="rIdFooter1"/>
          <w:pgSz w:w="11906" w:h="16838"/>
          <w:pgMar w:bottom="1701" w:footer="708" w:gutter="0" w:header="708" w:left="1984" w:right="1134" w:top="1984"/>
          <w:pgNumType w:fmt="lowerRoman" w:start="1"/>
        </w:sectPr>
      </w:pPr>
    </w:p>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bài tập lớn:</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thủy vân số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f6b985d06e86b68dd2de5566ba01dd2ddc40424"/>
    <w:p>
      <w:pPr>
        <w:pStyle w:val="Heading3"/>
      </w:pPr>
      <w:r>
        <w:t xml:space="preserve">Thống nhất ngữ nghĩa:</w:t>
      </w:r>
      <w:r>
        <w:t xml:space="preserve"> </w:t>
      </w:r>
      <w:r>
        <w:t xml:space="preserve">“văn bản”</w:t>
      </w:r>
      <w:r>
        <w:t xml:space="preserve"> </w:t>
      </w:r>
      <w:r>
        <w:t xml:space="preserve">(document) so với</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73852470e9fc27a6dee2a641dd4c49aad269013"/>
    <w:p>
      <w:pPr>
        <w:pStyle w:val="Heading1"/>
      </w:pPr>
      <w:r>
        <w:t xml:space="preserve">CHƯƠNG 1. CƠ SỞ LÝ THUYẾT KỸ THUẬT THỦY VÂN SỐ</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[5] và [1])</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sóng con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and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and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(design trade-off) giữa ba yếu tố thường cạnh tranh lẫn nhau:</w:t>
      </w:r>
    </w:p>
    <w:p>
      <w:pPr>
        <w:pStyle w:val="BodyText"/>
      </w:pPr>
      <m:oMathPara>
        <m:oMathParaPr>
          <m:jc m:val="center"/>
        </m:oMathParaPr>
        <m:oMath>
          <m:r>
            <m:rPr>
              <m:nor/>
              <m:sty m:val="p"/>
            </m:rPr>
            <m:t>Độ bền vững</m:t>
          </m:r>
          <m:r>
            <m:rPr>
              <m:sty m:val="p"/>
            </m:rPr>
            <m:t>↔</m:t>
          </m:r>
          <m:r>
            <m:rPr>
              <m:nor/>
              <m:sty m:val="p"/>
            </m:rPr>
            <m:t>Tính vô hình</m:t>
          </m:r>
          <m:r>
            <m:rPr>
              <m:sty m:val="p"/>
            </m:rPr>
            <m:t>↔</m:t>
          </m:r>
          <m:r>
            <m:rPr>
              <m:nor/>
              <m:sty m:val="p"/>
            </m:rPr>
            <m:t>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Tính vô hình, hay độ trung thực (imperceptibility,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nhúng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 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and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đặc tả đã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integrity) cho các thẻ xác thực trong thuật toán bán dễ vỡ.</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Tính vô hình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thuật toán nghiên cứu chưa đạt mức bền vững đủ để đưa lên hệ thống thật:</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kiến-trúc-thuật-toán-bán-dễ-vỡ-phân-tán"/>
    <w:p>
      <w:pPr>
        <w:pStyle w:val="Heading3"/>
      </w:pPr>
      <w:r>
        <w:t xml:space="preserve">2.2.1. Kiến trúc thuật toán bán dễ vỡ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lớp payload:</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lớp liên kết trong kiến trúc:</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năng lực trên hệ thống thật:</w:t>
      </w:r>
      <w:r>
        <w:t xml:space="preserve"> </w:t>
      </w:r>
      <w:r>
        <w:t xml:space="preserve">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Xa8597b961700287943beef87fac9e21cd92c65e"/>
    <w:p>
      <w:pPr>
        <w:pStyle w:val="Heading3"/>
      </w:pPr>
      <w:r>
        <w:t xml:space="preserve">3.1.2. Kiến trúc hồ sơ toàn vẹn có chữ ký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số nguyên bản (exact channel):</w:t>
      </w:r>
      <w:r>
        <w:t xml:space="preserve"> </w:t>
      </w:r>
      <w:r>
        <w:t xml:space="preserve">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có biến đổi:</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 in 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[19], [5], [10] và [6])</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watermark)</w:t>
            </w:r>
          </w:p>
        </w:tc>
        <w:tc>
          <w:tcPr/>
          <w:p>
            <w:pPr>
              <w:pStyle w:val="Compact"/>
              <w:spacing w:before="40" w:after="40" w:line="240" w:lineRule="auto"/>
              <w:jc w:val="left"/>
            </w:pPr>
            <w:r>
              <w:t xml:space="preserve">Giấu tin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có tổn hao.</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ra mã băm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có tổn hao, cắt cúp, co giãn, in ra rồi quét lại,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(khóa chung,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c71314c362d449be246af2a4b3c7d3244863909"/>
    <w:p>
      <w:pPr>
        <w:pStyle w:val="Heading5"/>
      </w:pPr>
      <w:r>
        <w:t xml:space="preserve">Thủy vân số so với giấu tin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Giấu tin mật:</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Thủy vân số:</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thủy-vân-số-so-với-chữ-ký-số"/>
    <w:p>
      <w:pPr>
        <w:pStyle w:val="Heading5"/>
      </w:pPr>
      <w:r>
        <w:t xml:space="preserve">Thủy vân số so với chữ ký số</w:t>
      </w:r>
    </w:p>
    <w:p>
      <w:pPr>
        <w:pStyle w:val="Compact"/>
        <w:numPr>
          <w:ilvl w:val="0"/>
          <w:numId w:val="1049"/>
        </w:numPr>
      </w:pPr>
      <w:r>
        <w:rPr>
          <w:b/>
          <w:bCs/>
        </w:rPr>
        <w:t xml:space="preserve">Chữ ký số:</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pPr>
        <w:pStyle w:val="Compact"/>
        <w:jc w:val="left"/>
        <w:numPr>
          <w:ilvl w:val="0"/>
          <w:numId w:val="1049"/>
        </w:numPr>
      </w:pPr>
      <w:r>
        <w:rPr>
          <w:b/>
          <w:bCs/>
        </w:rPr>
        <w:t xml:space="preserve">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5" w:name="X9841bc93db205883626cadedc2ca5d988da25b0"/>
    <w:p>
      <w:pPr>
        <w:pStyle w:val="Heading1"/>
      </w:pPr>
      <w:r>
        <w:t xml:space="preserve">CHƯƠNG 4. HỆ THỐNG SPLITBIND: XÂY DỰNG, THỰC NGHIỆM VÀ ĐỀ XUẤT</w:t>
      </w:r>
    </w:p>
    <w:bookmarkStart w:id="56" w:name="kiến-trúc-và-cách-xây-dựng-hệ-thống"/>
    <w:p>
      <w:pPr>
        <w:pStyle w:val="Heading2"/>
      </w:pPr>
      <w:r>
        <w:t xml:space="preserve">4.1. Kiến trúc và cách xây dựng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55"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FirstParagraph"/>
      </w:pPr>
      <w:r>
        <w:drawing>
          <wp:inline>
            <wp:extent cx="5575300" cy="3075505"/>
            <wp:effectExtent b="0" l="0" r="0" t="0"/>
            <wp:docPr descr="" title="" id="47" name="Picture"/>
            <a:graphic>
              <a:graphicData uri="http://schemas.openxmlformats.org/drawingml/2006/picture">
                <pic:pic>
                  <pic:nvPicPr>
                    <pic:cNvPr descr="report-assets/figures/ui-issuance-result.png" id="48" name="Picture"/>
                    <pic:cNvPicPr>
                      <a:picLocks noChangeArrowheads="1" noChangeAspect="1"/>
                    </pic:cNvPicPr>
                  </pic:nvPicPr>
                  <pic:blipFill>
                    <a:blip r:embed="rId46"/>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jc w:val="left"/>
      </w:pPr>
      <w:r>
        <w:rPr>
          <w:b/>
          <w:bCs/>
        </w:rPr>
        <w:t xml:space="preserve">Hình 4.1:</w:t>
      </w:r>
      <w:r>
        <w:t xml:space="preserve"> </w:t>
      </w:r>
      <w:r>
        <w:t xml:space="preserve">Giao diện cấp phát tài liệu trên hệ thống đang vận hành</w:t>
      </w:r>
      <w:r>
        <w:t xml:space="preserve"> </w:t>
      </w:r>
      <w:r>
        <w:t xml:space="preserve">2.</w:t>
      </w:r>
      <w:r>
        <w:t xml:space="preserve"> </w:t>
      </w:r>
      <w:r>
        <w:rPr>
          <w:b/>
          <w:bCs/>
        </w:rPr>
        <w:t xml:space="preserve">Quy trình xác minh tính toàn vẹn (verification workflow):</w:t>
      </w:r>
      <w:r>
        <w:t xml:space="preserve"> </w:t>
      </w:r>
      <w:r>
        <w:t xml:space="preserve">* 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r>
        <w:t xml:space="preserve"> </w:t>
      </w:r>
      <w:r>
        <w:t xml:space="preserve">* 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p>
      <w:pPr>
        <w:pStyle w:val="BodyText"/>
      </w:pPr>
      <w:r>
        <w:drawing>
          <wp:inline>
            <wp:extent cx="5575300" cy="3075505"/>
            <wp:effectExtent b="0" l="0" r="0" t="0"/>
            <wp:docPr descr="" title="" id="50" name="Picture"/>
            <a:graphic>
              <a:graphicData uri="http://schemas.openxmlformats.org/drawingml/2006/picture">
                <pic:pic>
                  <pic:nvPicPr>
                    <pic:cNvPr descr="report-assets/figures/ui-verification-match.png" id="51" name="Picture"/>
                    <pic:cNvPicPr>
                      <a:picLocks noChangeArrowheads="1" noChangeAspect="1"/>
                    </pic:cNvPicPr>
                  </pic:nvPicPr>
                  <pic:blipFill>
                    <a:blip r:embed="rId49"/>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53" name="Picture"/>
            <a:graphic>
              <a:graphicData uri="http://schemas.openxmlformats.org/drawingml/2006/picture">
                <pic:pic>
                  <pic:nvPicPr>
                    <pic:cNvPr descr="report-assets/figures/ui-verification-no-match.png" id="54" name="Picture"/>
                    <pic:cNvPicPr>
                      <a:picLocks noChangeArrowheads="1" noChangeAspect="1"/>
                    </pic:cNvPicPr>
                  </pic:nvPicPr>
                  <pic:blipFill>
                    <a:blip r:embed="rId5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bookmarkEnd w:id="55"/>
    <w:bookmarkEnd w:id="56"/>
    <w:bookmarkStart w:id="89"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bán dễ vỡ.</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64" w:name="X945e946a6bb16552800ca0d5e17c450b179f4c4"/>
    <w:p>
      <w:pPr>
        <w:pStyle w:val="Heading3"/>
      </w:pPr>
      <w:r>
        <w:t xml:space="preserve">4.2.1. Kết quả đo thế hệ V3, bổ sung chứ không thay thế bộ số liệu V1 đã khoá</w:t>
      </w:r>
    </w:p>
    <w:p>
      <w:pPr>
        <w:pStyle w:val="FirstParagraph"/>
      </w:pPr>
      <w:r>
        <w:t xml:space="preserve">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2"/>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2"/>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2"/>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60"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pPr>
      <w:r>
        <w:drawing>
          <wp:inline>
            <wp:extent cx="4973052" cy="2720282"/>
            <wp:effectExtent b="0" l="0" r="0" t="0"/>
            <wp:docPr descr="" title="" id="58" name="Picture"/>
            <a:graphic>
              <a:graphicData uri="http://schemas.openxmlformats.org/drawingml/2006/picture">
                <pic:pic>
                  <pic:nvPicPr>
                    <pic:cNvPr descr="report-assets/figures/chart-v1-vs-v3.png" id="59" name="Picture"/>
                    <pic:cNvPicPr>
                      <a:picLocks noChangeArrowheads="1" noChangeAspect="1"/>
                    </pic:cNvPicPr>
                  </pic:nvPicPr>
                  <pic:blipFill>
                    <a:blip r:embed="rId57"/>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một bộ trang mẫu đã khoá, cùng định nghĩa cổng</w:t>
      </w:r>
    </w:p>
    <w:p>
      <w:pPr>
        <w:pStyle w:val="BodyText"/>
        <w:jc w:val="left"/>
      </w:pPr>
      <w:r>
        <w:rPr>
          <w:b/>
          <w:bCs/>
        </w:rPr>
        <w:t xml:space="preserve">Phép so sánh này có kiểm soát.</w:t>
      </w:r>
      <w:r>
        <w:t xml:space="preserve"> </w:t>
      </w:r>
      <w:r>
        <w:t xml:space="preserve">Cả hai thế hệ được đo trên cùng một bộ trang mẫu khoá theo mã băm</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60"/>
    <w:bookmarkStart w:id="61"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61"/>
    <w:bookmarkStart w:id="62"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62"/>
    <w:bookmarkStart w:id="63" w:name="ranh-giới-bắt-buộc-phải-nêu-kèm"/>
    <w:p>
      <w:pPr>
        <w:pStyle w:val="Heading4"/>
      </w:pPr>
      <w:r>
        <w:t xml:space="preserve">4.2.1.4. Ranh giới bắt buộc phải nêu kèm</w:t>
      </w:r>
    </w:p>
    <w:p>
      <w:pPr>
        <w:pStyle w:val="Compact"/>
        <w:jc w:val="left"/>
        <w:numPr>
          <w:ilvl w:val="0"/>
          <w:numId w:val="1053"/>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3"/>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3"/>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3"/>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63"/>
    <w:bookmarkEnd w:id="64"/>
    <w:bookmarkStart w:id="70"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65"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[21] chấm ba hệ thống Adobe TrustMark [3], Meta PixelSeal và Meta Watermark Anything [17]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[21];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65"/>
    <w:bookmarkStart w:id="66" w:name="hai-loại-thất-bại-có-bản-chất-khác-nhau"/>
    <w:p>
      <w:pPr>
        <w:pStyle w:val="Heading4"/>
      </w:pPr>
      <w:r>
        <w:t xml:space="preserve">4.2.2.2. Hai loại thất bại có bản chất khác nhau</w:t>
      </w:r>
    </w:p>
    <w:p>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4"/>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4"/>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66"/>
    <w:bookmarkStart w:id="67"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67"/>
    <w:bookmarkStart w:id="68" w:name="bốn-hệ-quả-rút-ra"/>
    <w:p>
      <w:pPr>
        <w:pStyle w:val="Heading4"/>
      </w:pPr>
      <w:r>
        <w:t xml:space="preserve">4.2.2.4. Bốn hệ quả rút ra</w:t>
      </w:r>
    </w:p>
    <w:p>
      <w:pPr>
        <w:pStyle w:val="Compact"/>
        <w:numPr>
          <w:ilvl w:val="0"/>
          <w:numId w:val="1055"/>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5"/>
        </w:numPr>
      </w:pPr>
      <w:r>
        <w:t xml:space="preserve">Vị thế của SplitBind thuận lợi hơn các thư viện công khai ở đúng điểm này. Một công cụ thủy vân mù buộc phải suy đoán hình học gốc: thư viện [9]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5"/>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5"/>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68"/>
    <w:bookmarkStart w:id="69"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69"/>
    <w:bookmarkEnd w:id="70"/>
    <w:bookmarkStart w:id="76"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71"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71"/>
    <w:bookmarkStart w:id="72"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72"/>
    <w:bookmarkStart w:id="73"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số phiếu tối thiểu.</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73"/>
    <w:bookmarkStart w:id="74"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bookmarkEnd w:id="74"/>
    <w:bookmarkStart w:id="75"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75"/>
    <w:bookmarkEnd w:id="76"/>
    <w:bookmarkStart w:id="88"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77"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pPr>
        <w:pStyle w:val="BodyText"/>
      </w:pPr>
      <w:r>
        <w:rPr>
          <w:b/>
          <w:bCs/>
        </w:rPr>
        <w:t xml:space="preserve">Bảng 4.11:</w:t>
      </w:r>
      <w:r>
        <w:t xml:space="preserve"> </w:t>
      </w:r>
      <w:r>
        <w:t xml:space="preserve">Đối chiếu hai cách chọn đại lượng lượng tử hóa, đo độ chính xác bit qua bảy tỉ lệ thu nhỏ</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77"/>
    <w:bookmarkStart w:id="78"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78"/>
    <w:bookmarkStart w:id="79"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p>
      <w:pPr>
        <w:pStyle w:val="BodyText"/>
      </w:pPr>
      <w:r>
        <w:rPr>
          <w:b/>
          <w:bCs/>
        </w:rPr>
        <w:t xml:space="preserve">Bảng 4.12:</w:t>
      </w:r>
      <w:r>
        <w:t xml:space="preserve"> </w:t>
      </w:r>
      <w:r>
        <w:t xml:space="preserve">Kết quả giải mã ca ảnh chụp màn hình sau khi sửa ngân sách ký hiệu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79"/>
    <w:bookmarkStart w:id="80"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80"/>
    <w:bookmarkStart w:id="86"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6"/>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6"/>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6"/>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6"/>
        </w:numPr>
      </w:pPr>
      <w:r>
        <w:t xml:space="preserve">Xác minh nhận PDF, PNG và JPEG, kể cả ảnh chụp màn hình có viền. Nhận được tệp không đồng nghĩa với truy được nguồn; ranh giới đo được nằm ở Bảng 4.13.</w:t>
      </w:r>
    </w:p>
    <w:p>
      <w:pPr>
        <w:pStyle w:val="Compact"/>
        <w:numPr>
          <w:ilvl w:val="0"/>
          <w:numId w:val="1056"/>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84"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pPr>
        <w:pStyle w:val="BodyText"/>
      </w:pPr>
      <w:r>
        <w:rPr>
          <w:b/>
          <w:bCs/>
        </w:rPr>
        <w:t xml:space="preserve">Bảng 4.13:</w:t>
      </w:r>
      <w:r>
        <w:t xml:space="preserve"> </w:t>
      </w:r>
      <w:r>
        <w:t xml:space="preserve">Sáu phép thử truy vết qua đúng giao diện người dùng, ngày 14/09/2026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4.5: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pPr>
      <w:r>
        <w:drawing>
          <wp:inline>
            <wp:extent cx="5575300" cy="3071332"/>
            <wp:effectExtent b="0" l="0" r="0" t="0"/>
            <wp:docPr descr="" title="" id="82" name="Picture"/>
            <a:graphic>
              <a:graphicData uri="http://schemas.openxmlformats.org/drawingml/2006/picture">
                <pic:pic>
                  <pic:nvPicPr>
                    <pic:cNvPr descr="report-assets/figures/ui-verification-traced.png" id="83" name="Picture"/>
                    <pic:cNvPicPr>
                      <a:picLocks noChangeArrowheads="1" noChangeAspect="1"/>
                    </pic:cNvPicPr>
                  </pic:nvPicPr>
                  <pic:blipFill>
                    <a:blip r:embed="rId81"/>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p>
      <w:pPr>
        <w:pStyle w:val="BodyText"/>
      </w:pPr>
      <w:r>
        <w:rPr>
          <w:b/>
          <w:bCs/>
        </w:rPr>
        <w:t xml:space="preserve">Bảng 4.14:</w:t>
      </w:r>
      <w:r>
        <w:t xml:space="preserve"> </w:t>
      </w:r>
      <w:r>
        <w:t xml:space="preserve">Hai phép thử ảnh chụp màn hình khác nhau ở vật mang và kích thước cấp phát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84"/>
    <w:bookmarkStart w:id="85"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p>
      <w:pPr>
        <w:pStyle w:val="BodyText"/>
      </w:pPr>
      <w:r>
        <w:rPr>
          <w:b/>
          <w:bCs/>
        </w:rPr>
        <w:t xml:space="preserve">Bảng 4.15:</w:t>
      </w:r>
      <w:r>
        <w:t xml:space="preserve"> </w:t>
      </w:r>
      <w:r>
        <w:t xml:space="preserve">Phép đo tách biến: hai vật mang nhân hai kích thước cấp phát nhân ba điều kiện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4.15 tách bạch ba biến một cách sạch sẽ:</w:t>
      </w:r>
    </w:p>
    <w:p>
      <w:pPr>
        <w:pStyle w:val="Compact"/>
        <w:numPr>
          <w:ilvl w:val="0"/>
          <w:numId w:val="1057"/>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7"/>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7"/>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tệp đặc tả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85"/>
    <w:bookmarkEnd w:id="86"/>
    <w:bookmarkStart w:id="87"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87"/>
    <w:bookmarkEnd w:id="88"/>
    <w:bookmarkEnd w:id="89"/>
    <w:bookmarkStart w:id="114"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90"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90"/>
    <w:bookmarkStart w:id="9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4.16:</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pPr>
      <w:r>
        <w:drawing>
          <wp:inline>
            <wp:extent cx="5575300" cy="3978727"/>
            <wp:effectExtent b="0" l="0" r="0" t="0"/>
            <wp:docPr descr="" title="" id="92" name="Picture"/>
            <a:graphic>
              <a:graphicData uri="http://schemas.openxmlformats.org/drawingml/2006/picture">
                <pic:pic>
                  <pic:nvPicPr>
                    <pic:cNvPr descr="report-assets/figures/chart-attack-envelope.png" id="93" name="Picture"/>
                    <pic:cNvPicPr>
                      <a:picLocks noChangeArrowheads="1" noChangeAspect="1"/>
                    </pic:cNvPicPr>
                  </pic:nvPicPr>
                  <pic:blipFill>
                    <a:blip r:embed="rId91"/>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94" w:name="ba-lớp-thất-bại-khác-nhau-không-phải-một"/>
    <w:p>
      <w:pPr>
        <w:pStyle w:val="Heading4"/>
      </w:pPr>
      <w:r>
        <w:t xml:space="preserve">4.3.2.1. Ba lớp thất bại khác nhau, không phải một</w:t>
      </w:r>
    </w:p>
    <w:p>
      <w:pPr>
        <w:pStyle w:val="FirstParagraph"/>
      </w:pPr>
      <w:r>
        <w:rPr>
          <w:b/>
          <w:bCs/>
        </w:rPr>
        <w:t xml:space="preserve">Bảng 4.17:</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đòn bẩy tham số từng là câu chuyện đúng, và cả ba đòn bẩy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t xml:space="preserve">Ảnh chụp màn hình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94"/>
    <w:bookmarkEnd w:id="95"/>
    <w:bookmarkStart w:id="99"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p>
      <w:pPr>
        <w:pStyle w:val="BodyText"/>
      </w:pPr>
      <w:r>
        <w:rPr>
          <w:b/>
          <w:bCs/>
        </w:rPr>
        <w:t xml:space="preserve">Bảng 4.18:</w:t>
      </w:r>
      <w:r>
        <w:t xml:space="preserve"> </w:t>
      </w:r>
      <w:r>
        <w:t xml:space="preserve">Tác động của bước bóc viền lên tỉ lệ truy vết, đo trên hai độ phân giải màn hình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drawing>
          <wp:inline>
            <wp:extent cx="5367230" cy="2371939"/>
            <wp:effectExtent b="0" l="0" r="0" t="0"/>
            <wp:docPr descr="" title="" id="97" name="Picture"/>
            <a:graphic>
              <a:graphicData uri="http://schemas.openxmlformats.org/drawingml/2006/picture">
                <pic:pic>
                  <pic:nvPicPr>
                    <pic:cNvPr descr="report-assets/figures/chart-frame-restore.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99"/>
    <w:bookmarkStart w:id="105"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trong tệp đặc tả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pPr>
        <w:pStyle w:val="BodyText"/>
      </w:pPr>
      <w:r>
        <w:rPr>
          <w:b/>
          <w:bCs/>
        </w:rPr>
        <w:t xml:space="preserve">Bảng 4.19:</w:t>
      </w:r>
      <w:r>
        <w:t xml:space="preserve"> </w:t>
      </w:r>
      <w:r>
        <w:t xml:space="preserve">Quét tám ứng viên dùng được của thế hệ V2 trên một trang chữ nét dày</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2"/>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2"/>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103"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pPr>
        <w:pStyle w:val="BodyText"/>
      </w:pPr>
      <w:r>
        <w:rPr>
          <w:b/>
          <w:bCs/>
        </w:rPr>
        <w:t xml:space="preserve">Bảng 4.20:</w:t>
      </w:r>
      <w:r>
        <w:t xml:space="preserve"> </w:t>
      </w:r>
      <w:r>
        <w:t xml:space="preserve">Quét lại đúng tám ứng viên đó trên một trang chữ nét mảnh, tỉ lệ điểm tối 9,24 phần trăm</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4.20 thu hẹp kết luận trước đó một cách đáng kể, và cần nói thẳng:</w:t>
      </w:r>
    </w:p>
    <w:p>
      <w:pPr>
        <w:pStyle w:val="Compact"/>
        <w:numPr>
          <w:ilvl w:val="0"/>
          <w:numId w:val="1063"/>
        </w:numPr>
      </w:pPr>
      <w:r>
        <w:t xml:space="preserve">Không ứng viên nào sống sót qua nén JPEG 70 trên trang chữ thật. Cả tám đều mất đồng bộ.</w:t>
      </w:r>
    </w:p>
    <w:p>
      <w:pPr>
        <w:pStyle w:val="Compact"/>
        <w:numPr>
          <w:ilvl w:val="0"/>
          <w:numId w:val="1063"/>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3"/>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drawing>
          <wp:inline>
            <wp:extent cx="4908884" cy="3772186"/>
            <wp:effectExtent b="0" l="0" r="0" t="0"/>
            <wp:docPr descr="" title="" id="101" name="Picture"/>
            <a:graphic>
              <a:graphicData uri="http://schemas.openxmlformats.org/drawingml/2006/picture">
                <pic:pic>
                  <pic:nvPicPr>
                    <pic:cNvPr descr="report-assets/figures/chart-carrier-decides.png" id="102" name="Picture"/>
                    <pic:cNvPicPr>
                      <a:picLocks noChangeArrowheads="1" noChangeAspect="1"/>
                    </pic:cNvPicPr>
                  </pic:nvPicPr>
                  <pic:blipFill>
                    <a:blip r:embed="rId100"/>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103"/>
    <w:bookmarkStart w:id="104"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4"/>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4"/>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4"/>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bookmarkEnd w:id="104"/>
    <w:bookmarkEnd w:id="105"/>
    <w:bookmarkStart w:id="110"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106" w:name="X14a4c9c498124e7e1041b011419f6c3a4e1458c"/>
    <w:p>
      <w:pPr>
        <w:pStyle w:val="Heading4"/>
      </w:pPr>
      <w:r>
        <w:t xml:space="preserve">4.3.5.1. Công trình 1: thủy vân ảnh trang văn bản chống chụp màn hình [8]</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106"/>
    <w:bookmarkStart w:id="107" w:name="X424aa753d06926474670a4444d1862497de092d"/>
    <w:p>
      <w:pPr>
        <w:pStyle w:val="Heading4"/>
      </w:pPr>
      <w:r>
        <w:t xml:space="preserve">4.3.5.2. Công trình 2: thủy vân chống chụp màn hình dùng điểm đặc trưng [7]</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107"/>
    <w:bookmarkStart w:id="108" w:name="Xcff98d6f2174902b1f757cee8db39f3a1b07b5a"/>
    <w:p>
      <w:pPr>
        <w:pStyle w:val="Heading4"/>
      </w:pPr>
      <w:r>
        <w:t xml:space="preserve">4.3.5.3. Công trình 3: thư viện đang được dùng trong sản phẩm thật [18]</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108"/>
    <w:bookmarkStart w:id="109" w:name="bốn-điều-rút-ra-cho-kiến-trúc-v4"/>
    <w:p>
      <w:pPr>
        <w:pStyle w:val="Heading4"/>
      </w:pPr>
      <w:r>
        <w:t xml:space="preserve">4.3.5.4. Bốn điều rút ra cho kiến trúc V4</w:t>
      </w:r>
    </w:p>
    <w:p>
      <w:pPr>
        <w:pStyle w:val="Compact"/>
        <w:numPr>
          <w:ilvl w:val="0"/>
          <w:numId w:val="1065"/>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5"/>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5"/>
        </w:numPr>
      </w:pPr>
      <w:r>
        <w:rPr>
          <w:b/>
          <w:bCs/>
        </w:rPr>
        <w:t xml:space="preserve">Cường độ nhúng thích nghi theo năng lượng cục bộ</w:t>
      </w:r>
      <w:r>
        <w:t xml:space="preserve">, thay cho một bước lượng tử duy nhất toàn trang.</w:t>
      </w:r>
    </w:p>
    <w:p>
      <w:pPr>
        <w:pStyle w:val="Compact"/>
        <w:numPr>
          <w:ilvl w:val="0"/>
          <w:numId w:val="1065"/>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109"/>
    <w:bookmarkEnd w:id="110"/>
    <w:bookmarkStart w:id="111"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111"/>
    <w:bookmarkStart w:id="112" w:name="cái-gì-kiến-trúc-này-không-sửa-được"/>
    <w:p>
      <w:pPr>
        <w:pStyle w:val="Heading3"/>
      </w:pPr>
      <w:r>
        <w:t xml:space="preserve">4.3.7. Cái gì kiến trúc này không sửa được</w:t>
      </w:r>
    </w:p>
    <w:p>
      <w:pPr>
        <w:pStyle w:val="Compact"/>
        <w:numPr>
          <w:ilvl w:val="0"/>
          <w:numId w:val="1066"/>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6"/>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pPr>
        <w:pStyle w:val="Compact"/>
        <w:numPr>
          <w:ilvl w:val="1"/>
          <w:numId w:val="1067"/>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6"/>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112"/>
    <w:bookmarkStart w:id="113"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đặc tả tấn công có sẵn họ</w:t>
      </w:r>
      <w:r>
        <w:t xml:space="preserve"> </w:t>
      </w:r>
      <w:r>
        <w:rPr>
          <w:rStyle w:val="VerbatimChar"/>
        </w:rPr>
        <w:t xml:space="preserve">screenshot</w:t>
      </w:r>
      <w:r>
        <w:t xml:space="preserve"> </w:t>
      </w:r>
      <w:r>
        <w:t xml:space="preserve">để đo; bộ trang mẫu khoá theo mã băm làm phép so sánh có kiểm soát. Một dự án ghi chép cẩu thả sẽ không để lại gì để kiểm toán.</w:t>
      </w:r>
    </w:p>
    <w:bookmarkEnd w:id="113"/>
    <w:bookmarkEnd w:id="114"/>
    <w:bookmarkEnd w:id="115"/>
    <w:bookmarkStart w:id="116" w:name="kết-luận"/>
    <w:p>
      <w:pPr>
        <w:pStyle w:val="Heading1"/>
      </w:pPr>
      <w:r>
        <w:t xml:space="preserve">KẾT LUẬN</w:t>
      </w:r>
    </w:p>
    <w:p>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6"/>
    <w:bookmarkStart w:id="117" w:name="tài-liệu-tham-khảo"/>
    <w:p>
      <w:pPr>
        <w:pStyle w:val="Heading1"/>
      </w:pPr>
      <w:r>
        <w:t xml:space="preserve">TÀI LIỆU THAM KHẢO</w:t>
      </w:r>
    </w:p>
    <w:p>
      <w:pPr>
        <w:pStyle w:val="FirstParagraph"/>
      </w:pPr>
      <w:r>
        <w:rPr>
          <w:b/>
          <w:bCs/>
        </w:rPr>
        <w:t xml:space="preserve">Tiếng Việt</w:t>
      </w:r>
    </w:p>
    <w:p>
      <w:pPr>
        <w:pStyle w:val="Compact"/>
        <w:numPr>
          <w:ilvl w:val="0"/>
          <w:numId w:val="1068"/>
        </w:numPr>
      </w:pPr>
      <w:r>
        <w:t xml:space="preserve">Hoàng Xuân Dậu. (2020). Giáo trình Cơ sở An toàn Thông tin. Học viện Công nghệ Bưu chính Viễn thông.</w:t>
      </w:r>
    </w:p>
    <w:p>
      <w:pPr>
        <w:pStyle w:val="Compact"/>
        <w:numPr>
          <w:ilvl w:val="0"/>
          <w:numId w:val="1068"/>
        </w:numPr>
      </w:pPr>
      <w:r>
        <w:t xml:space="preserve">Thái Thanh Tùng. (2011). Giáo trình Mật mã học và Hệ thống Thông tin An toàn. Nhà xuất bản Thông tin và Truyền thông.</w:t>
      </w:r>
    </w:p>
    <w:p>
      <w:pPr>
        <w:pStyle w:val="FirstParagraph"/>
      </w:pPr>
      <w:r>
        <w:rPr>
          <w:b/>
          <w:bCs/>
        </w:rPr>
        <w:t xml:space="preserve">Tiếng Anh</w:t>
      </w:r>
    </w:p>
    <w:p>
      <w:pPr>
        <w:pStyle w:val="Compact"/>
        <w:numPr>
          <w:ilvl w:val="0"/>
          <w:numId w:val="1069"/>
        </w:numPr>
      </w:pPr>
      <w:r>
        <w:t xml:space="preserve">Adobe Research. (2026). TrustMark: Universal Watermarking for Arbitrary Resolution Images. GitHub. https://github.com/adobe/trustmark</w:t>
      </w:r>
    </w:p>
    <w:p>
      <w:pPr>
        <w:pStyle w:val="Compact"/>
        <w:numPr>
          <w:ilvl w:val="0"/>
          <w:numId w:val="1069"/>
        </w:numPr>
      </w:pPr>
      <w:r>
        <w:t xml:space="preserve">Chen, B., &amp; Wornell, G. W. (2001). Quantization index modulation: a class of provably good methods for digital watermarking and information embedding. IEEE Transactions on Information Theory, 47(4), 1423-1443. https://doi.org/10.1109/18.923725</w:t>
      </w:r>
    </w:p>
    <w:p>
      <w:pPr>
        <w:pStyle w:val="Compact"/>
        <w:numPr>
          <w:ilvl w:val="0"/>
          <w:numId w:val="1069"/>
        </w:numPr>
      </w:pPr>
      <w:r>
        <w:t xml:space="preserve">Cox, I. J., Miller, M. L., Bloom, J. A., Fridrich, J., &amp; Kalker, T. (2007). Digital Watermarking and Steganography (2nd ed.). Morgan Kaufmann.</w:t>
      </w:r>
    </w:p>
    <w:p>
      <w:pPr>
        <w:pStyle w:val="Compact"/>
        <w:numPr>
          <w:ilvl w:val="0"/>
          <w:numId w:val="1069"/>
        </w:numPr>
      </w:pPr>
      <w:r>
        <w:t xml:space="preserve">Douglas, M., Bailey, K., Leeney, M., &amp; Curran, K. (2018). An overview of steganography techniques applied to the protection of biometric data. Multimedia Tools and Applications, 77(13), 17333-17373. https://doi.org/10.1007/s11042-017-5308-3</w:t>
      </w:r>
    </w:p>
    <w:p>
      <w:pPr>
        <w:pStyle w:val="Compact"/>
        <w:numPr>
          <w:ilvl w:val="0"/>
          <w:numId w:val="1069"/>
        </w:numPr>
      </w:pPr>
      <w:r>
        <w:t xml:space="preserve">Fang, H., Zhang, W., Zhou, H., Cui, H., &amp; Yu, N. (2019). Screen-shooting resilient watermarking. IEEE Transactions on Information Forensics and Security, 14(6), 1403-1418. https://doi.org/10.1109/TIFS.2018.2878541</w:t>
      </w:r>
    </w:p>
    <w:p>
      <w:pPr>
        <w:pStyle w:val="Compact"/>
        <w:numPr>
          <w:ilvl w:val="0"/>
          <w:numId w:val="1069"/>
        </w:numPr>
      </w:pPr>
      <w:r>
        <w:t xml:space="preserve">gslxr. (2024). Screen-Shooting-Resilient-Document-Image-Watermarking. GitHub. https://github.com/gslxr/Screen-Shooting-Resilient-Document-Image-Watermarking</w:t>
      </w:r>
    </w:p>
    <w:p>
      <w:pPr>
        <w:pStyle w:val="Compact"/>
        <w:numPr>
          <w:ilvl w:val="0"/>
          <w:numId w:val="1069"/>
        </w:numPr>
      </w:pPr>
      <w:r>
        <w:t xml:space="preserve">Guo Fei. (2025). blind_watermark: blind and invisible image watermark. GitHub. https://github.com/guofei9987/blind_watermark</w:t>
      </w:r>
    </w:p>
    <w:p>
      <w:pPr>
        <w:pStyle w:val="Compact"/>
        <w:numPr>
          <w:ilvl w:val="0"/>
          <w:numId w:val="1069"/>
        </w:numPr>
      </w:pPr>
      <w:r>
        <w:t xml:space="preserve">Hamid, N., Yahya, A., Ahmad, R. B., &amp; Al-Qershi, O. M. (2012). Image Steganography Techniques: An Overview. International Journal of Computer Science and Security, 6(3), 168-187.</w:t>
      </w:r>
    </w:p>
    <w:p>
      <w:pPr>
        <w:pStyle w:val="Compact"/>
        <w:numPr>
          <w:ilvl w:val="0"/>
          <w:numId w:val="1069"/>
        </w:numPr>
      </w:pPr>
      <w:r>
        <w:t xml:space="preserve">Josefsson, S., &amp; Liusvaara, I. (2017). Edwards-Curve Digital Signature Algorithm (EdDSA). In RFC 8032. Internet Engineering Task Force. https://www.rfc-editor.org/rfc/rfc8032</w:t>
      </w:r>
    </w:p>
    <w:p>
      <w:pPr>
        <w:pStyle w:val="Compact"/>
        <w:numPr>
          <w:ilvl w:val="0"/>
          <w:numId w:val="1069"/>
        </w:numPr>
      </w:pPr>
      <w:r>
        <w:t xml:space="preserve">Krawczyk, H., Bellare, M., &amp; Canetti, R. (1997). HMAC: Keyed-Hashing for Message Authentication. In RFC 2104. Internet Engineering Task Force. https://www.rfc-editor.org/rfc/rfc2104</w:t>
      </w:r>
    </w:p>
    <w:p>
      <w:pPr>
        <w:pStyle w:val="Compact"/>
        <w:numPr>
          <w:ilvl w:val="0"/>
          <w:numId w:val="1069"/>
        </w:numPr>
      </w:pPr>
      <w:r>
        <w:t xml:space="preserve">National Institute of Standards and Technology. (2008). The Keyed-Hash Message Authentication Code (HMAC). In Federal Information Processing Standards Publication 198-1. National Institute of Standards and Technology. https://doi.org/10.6028/NIST.FIPS.198-1</w:t>
      </w:r>
    </w:p>
    <w:p>
      <w:pPr>
        <w:pStyle w:val="Compact"/>
        <w:numPr>
          <w:ilvl w:val="0"/>
          <w:numId w:val="1069"/>
        </w:numPr>
      </w:pPr>
      <w:r>
        <w:t xml:space="preserve">National Institute of Standards and Technology. (2015). Secure Hash Standard (SHS). In Federal Information Processing Standards Publication 180-4. National Institute of Standards and Technology. https://doi.org/10.6028/NIST.FIPS.180-4</w:t>
      </w:r>
    </w:p>
    <w:p>
      <w:pPr>
        <w:pStyle w:val="Compact"/>
        <w:numPr>
          <w:ilvl w:val="0"/>
          <w:numId w:val="1069"/>
        </w:numPr>
      </w:pPr>
      <w:r>
        <w:t xml:space="preserve">National Institute of Standards and Technology. (2026). Implementation Guidance for FIPS 140-3 and the Cryptographic Module Verification Program. NIST Computer Security Resource Center. https://csrc.nist.gov/projects/cryptographic-module-validation-program/fips-140-3-ig-announcements</w:t>
      </w:r>
    </w:p>
    <w:p>
      <w:pPr>
        <w:pStyle w:val="Compact"/>
        <w:numPr>
          <w:ilvl w:val="0"/>
          <w:numId w:val="1069"/>
        </w:numPr>
      </w:pPr>
      <w:r>
        <w:t xml:space="preserve">Rundgren, A., Jordan, B., &amp; Erdtman, S. (2020). JSON Canonicalization Scheme (JCS). In RFC 8785. Internet Engineering Task Force. https://www.rfc-editor.org/rfc/rfc8785</w:t>
      </w:r>
    </w:p>
    <w:p>
      <w:pPr>
        <w:pStyle w:val="Compact"/>
        <w:numPr>
          <w:ilvl w:val="0"/>
          <w:numId w:val="1069"/>
        </w:numPr>
      </w:pPr>
      <w:r>
        <w:t xml:space="preserve">Sander, T., Fernandez, P., Durmus, A., Douze, M., &amp; Furon, T. (2025). Watermark Anything with Localized Messages. Meta AI Research. https://github.com/facebookresearch/watermark-anything</w:t>
      </w:r>
    </w:p>
    <w:p>
      <w:pPr>
        <w:pStyle w:val="Compact"/>
        <w:numPr>
          <w:ilvl w:val="0"/>
          <w:numId w:val="1069"/>
        </w:numPr>
      </w:pPr>
      <w:r>
        <w:t xml:space="preserve">ShieldMnt. (2024). invisible-watermark: python library for invisible image watermark. GitHub. https://github.com/ShieldMnt/invisible-watermark</w:t>
      </w:r>
    </w:p>
    <w:p>
      <w:pPr>
        <w:pStyle w:val="Compact"/>
        <w:numPr>
          <w:ilvl w:val="0"/>
          <w:numId w:val="1069"/>
        </w:numPr>
      </w:pPr>
      <w:r>
        <w:t xml:space="preserve">Stallings, W. (2017). Cryptography and Network Security: Principles and Practice (7th ed.). Pearson.</w:t>
      </w:r>
    </w:p>
    <w:p>
      <w:pPr>
        <w:pStyle w:val="Compact"/>
        <w:numPr>
          <w:ilvl w:val="0"/>
          <w:numId w:val="1069"/>
        </w:numPr>
      </w:pPr>
      <w:r>
        <w:t xml:space="preserve">Tancik, M., Mildenhall, B., &amp; Ng, R. (2020). StegaStamp: Invisible Hyperlinks in Physical Photographs. Proceedings of the IEEE/CVF Conference on Computer Vision and Pattern Recognition, 2117-2126. https://doi.org/10.1109/CVPR42600.2020.00219</w:t>
      </w:r>
    </w:p>
    <w:p>
      <w:pPr>
        <w:pStyle w:val="Compact"/>
        <w:numPr>
          <w:ilvl w:val="0"/>
          <w:numId w:val="1069"/>
        </w:numPr>
      </w:pPr>
      <w:r>
        <w:t xml:space="preserve">wmbench contributors. (2026). wmbench: image watermarking benchmark. GitHub. https://github.com/alexandersolonsky/wmbench</w:t>
      </w:r>
    </w:p>
    <w:p>
      <w:pPr>
        <w:pStyle w:val="Compact"/>
        <w:numPr>
          <w:ilvl w:val="0"/>
          <w:numId w:val="1069"/>
        </w:numPr>
      </w:pPr>
      <w:r>
        <w:t xml:space="preserve">Zhu, J., Kaplan, R., Johnson, J., &amp; Fei-Fei, L. (2018). HiDDeN: Hiding Data with Deep Networks. Proceedings of the European Conference on Computer Vision, 657-672. https://doi.org/10.1007/978-3-030-01267-0_40</w:t>
      </w:r>
    </w:p>
    <w:bookmarkEnd w:id="117"/>
    <w:bookmarkStart w:id="118"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hoặc số liệu</w:t>
            </w:r>
          </w:p>
        </w:tc>
        <w:tc>
          <w:tcPr/>
          <w:p>
            <w:pPr>
              <w:pStyle w:val="Compact"/>
              <w:spacing w:before="40" w:after="40" w:line="240" w:lineRule="auto"/>
              <w:jc w:val="left"/>
            </w:pPr>
            <w:r>
              <w:t xml:space="preserve">Nhãn phân loại</w:t>
            </w:r>
          </w:p>
        </w:tc>
        <w:tc>
          <w:tcPr/>
          <w:p>
            <w:pPr>
              <w:pStyle w:val="Compact"/>
              <w:spacing w:before="40" w:after="40" w:line="240" w:lineRule="auto"/>
              <w:jc w:val="left"/>
            </w:pPr>
            <w:r>
              <w:t xml:space="preserve">Bằng chứng thực tế,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ca kiểm thử đạt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đặc tả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bán dễ vỡ định vị sửa đổi,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HMAC-SHA256 và vòng khối đối tác.</w:t>
            </w:r>
          </w:p>
        </w:tc>
      </w:tr>
      <w:tr>
        <w:tc>
          <w:tcPr/>
          <w:p>
            <w:pPr>
              <w:pStyle w:val="Compact"/>
              <w:spacing w:before="40" w:after="40" w:line="240" w:lineRule="auto"/>
              <w:jc w:val="left"/>
            </w:pPr>
            <w:r>
              <w:t xml:space="preserve">Quy mô benchmark can thiệp 48 hàng, IoU tổng hợp bằng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hoá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giao diện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(hệ thống thật)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số liệu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chuyển sắc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[21];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đoạn mã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đặc tả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4.5</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8"/>
    <w:sectPr>
      <w:footerReference w:type="default" r:id="rIdFooter2"/>
      <w:pgSz w:w="11906" w:h="16838"/>
      <w:pgMar w:bottom="1701" w:footer="708" w:gutter="0" w:header="708" w:left="1984" w:right="1134" w:top="1984"/>
      <w:footnotePr>
        <w:numRestart w:val="eachSect"/>
      </w:footnotePr>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body.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er-front.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1" Target="media/rId81.png" /><Relationship Id="rIdCoverLogo" Type="http://schemas.openxmlformats.org/officeDocument/2006/relationships/image" Target="media/cover-logo.png"/><Relationship Id="rIdFooter1" Type="http://schemas.openxmlformats.org/officeDocument/2006/relationships/footer" Target="footer-front.xml"/><Relationship Id="rIdFooter2" Type="http://schemas.openxmlformats.org/officeDocument/2006/relationships/footer" Target="footer-body.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2026-09-15T05:42:54Z</dcterms:created>
  <dcterms:modified xsi:type="dcterms:W3CDTF">2026-09-15T05:42:54Z</dcterms:modified>
</cp:coreProperties>
</file>

<file path=docProps/custom.xml><?xml version="1.0" encoding="utf-8"?>
<Properties xmlns="http://schemas.openxmlformats.org/officeDocument/2006/custom-properties" xmlns:vt="http://schemas.openxmlformats.org/officeDocument/2006/docPropsVTypes"/>
</file>