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sz w:val="48"/>
        </w:rPr>
        <w:t>Sơ đồ: Phương thức sản xuất</w:t>
      </w:r>
    </w:p>
    <w:p>
      <w:pPr>
        <w:jc w:val="center"/>
      </w:pPr>
      <w:r>
        <w:rPr>
          <w:rFonts w:ascii="Arial" w:hAnsi="Arial" w:eastAsia="Arial"/>
          <w:i/>
          <w:sz w:val="21"/>
        </w:rPr>
        <w:t>Tái dựng từ ảnh bài giảng; đã chuẩn hoá thành sơ đồ rõ nét để học và chép bài.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5398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_do_phuong_thuc_san_xu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39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Markdown / Mermaid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>```mermaid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>flowchart LR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P["Phương thức SX"] --&gt; L["Lực lượng SX"]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P --&gt; Q["Quan hệ SX"]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L --&gt; NL["Người lao động"]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L --&gt; TLSX["Tư liệu SX"]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TLSX --&gt; TLLD["Tư liệu lao động"]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TLSX --&gt; DTLD["Đối tượng lao động"]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TLLD --&gt; CCLD["Công cụ lao động"]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TLLD --&gt; PTLD["Phương tiện lao động"]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DTLD --&gt; TN["Tự nhiên"]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DTLD --&gt; NT["Nhân tạo"]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Q --&gt; SH["Quan hệ về sở hữu tư liệu SX"]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Q --&gt; TCQL["Quan hệ trong tổ chức &amp; quản lý SX"]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Q --&gt; PP["Quan hệ trong phân phối sản phẩm LĐ"]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L -- "quyết định" --&gt; Q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 xml:space="preserve">    Q -. "tác động trở lại" .-&gt; L</w:t>
      </w:r>
    </w:p>
    <w:p>
      <w:pPr>
        <w:pStyle w:val="CodeBlock"/>
        <w:spacing w:after="0" w:before="0"/>
      </w:pPr>
      <w:r>
        <w:rPr>
          <w:rFonts w:ascii="Consolas" w:hAnsi="Consolas" w:eastAsia="Consolas"/>
          <w:sz w:val="16"/>
        </w:rPr>
        <w:t>```</w:t>
      </w:r>
    </w:p>
    <w:p>
      <w:pPr>
        <w:pStyle w:val="Heading1"/>
      </w:pPr>
      <w:r>
        <w:t>2. Dạng cây nội dung</w:t>
      </w:r>
    </w:p>
    <w:p>
      <w:pPr>
        <w:spacing w:after="40"/>
        <w:ind w:left="0" w:firstLine="0"/>
      </w:pPr>
      <w:r>
        <w:rPr>
          <w:rFonts w:ascii="Arial" w:hAnsi="Arial" w:eastAsia="Arial"/>
          <w:b/>
          <w:sz w:val="21"/>
        </w:rPr>
        <w:t>Phương thức SX gồm 2 mặt cơ bản:</w:t>
      </w:r>
    </w:p>
    <w:p>
      <w:pPr>
        <w:spacing w:after="40"/>
        <w:ind w:left="360" w:hanging="173"/>
      </w:pPr>
      <w:r>
        <w:rPr>
          <w:rFonts w:ascii="Arial" w:hAnsi="Arial" w:eastAsia="Arial"/>
          <w:b/>
          <w:sz w:val="21"/>
        </w:rPr>
        <w:t>• Lực lượng SX</w:t>
      </w:r>
    </w:p>
    <w:p>
      <w:pPr>
        <w:spacing w:after="40"/>
        <w:ind w:left="720" w:hanging="173"/>
      </w:pPr>
      <w:r>
        <w:rPr>
          <w:rFonts w:ascii="Arial" w:hAnsi="Arial" w:eastAsia="Arial"/>
          <w:b/>
          <w:sz w:val="21"/>
        </w:rPr>
        <w:t>• Người lao động</w:t>
      </w:r>
    </w:p>
    <w:p>
      <w:pPr>
        <w:spacing w:after="40"/>
        <w:ind w:left="720" w:hanging="173"/>
      </w:pPr>
      <w:r>
        <w:rPr>
          <w:rFonts w:ascii="Arial" w:hAnsi="Arial" w:eastAsia="Arial"/>
          <w:b/>
          <w:sz w:val="21"/>
        </w:rPr>
        <w:t>• Tư liệu SX</w:t>
      </w:r>
    </w:p>
    <w:p>
      <w:pPr>
        <w:spacing w:after="40"/>
        <w:ind w:left="1080" w:hanging="173"/>
      </w:pPr>
      <w:r>
        <w:rPr>
          <w:rFonts w:ascii="Arial" w:hAnsi="Arial" w:eastAsia="Arial"/>
          <w:b w:val="0"/>
          <w:sz w:val="21"/>
        </w:rPr>
        <w:t>• Tư liệu lao động</w:t>
      </w:r>
    </w:p>
    <w:p>
      <w:pPr>
        <w:spacing w:after="40"/>
        <w:ind w:left="1440" w:hanging="173"/>
      </w:pPr>
      <w:r>
        <w:rPr>
          <w:rFonts w:ascii="Arial" w:hAnsi="Arial" w:eastAsia="Arial"/>
          <w:sz w:val="21"/>
        </w:rPr>
        <w:t>• Công cụ lao động</w:t>
      </w:r>
    </w:p>
    <w:p>
      <w:pPr>
        <w:spacing w:after="40"/>
        <w:ind w:left="1440" w:hanging="173"/>
      </w:pPr>
      <w:r>
        <w:rPr>
          <w:rFonts w:ascii="Arial" w:hAnsi="Arial" w:eastAsia="Arial"/>
          <w:sz w:val="21"/>
        </w:rPr>
        <w:t>• Phương tiện lao động</w:t>
      </w:r>
    </w:p>
    <w:p>
      <w:pPr>
        <w:spacing w:after="40"/>
        <w:ind w:left="1080" w:hanging="173"/>
      </w:pPr>
      <w:r>
        <w:rPr>
          <w:rFonts w:ascii="Arial" w:hAnsi="Arial" w:eastAsia="Arial"/>
          <w:b w:val="0"/>
          <w:sz w:val="21"/>
        </w:rPr>
        <w:t>• Đối tượng lao động</w:t>
      </w:r>
    </w:p>
    <w:p>
      <w:pPr>
        <w:spacing w:after="40"/>
        <w:ind w:left="1440" w:hanging="173"/>
      </w:pPr>
      <w:r>
        <w:rPr>
          <w:rFonts w:ascii="Arial" w:hAnsi="Arial" w:eastAsia="Arial"/>
          <w:sz w:val="21"/>
        </w:rPr>
        <w:t>• Tự nhiên</w:t>
      </w:r>
    </w:p>
    <w:p>
      <w:pPr>
        <w:spacing w:after="40"/>
        <w:ind w:left="1440" w:hanging="173"/>
      </w:pPr>
      <w:r>
        <w:rPr>
          <w:rFonts w:ascii="Arial" w:hAnsi="Arial" w:eastAsia="Arial"/>
          <w:sz w:val="21"/>
        </w:rPr>
        <w:t>• Nhân tạo</w:t>
      </w:r>
    </w:p>
    <w:p>
      <w:pPr>
        <w:spacing w:after="40"/>
        <w:ind w:left="360" w:hanging="173"/>
      </w:pPr>
      <w:r>
        <w:rPr>
          <w:rFonts w:ascii="Arial" w:hAnsi="Arial" w:eastAsia="Arial"/>
          <w:b/>
          <w:sz w:val="21"/>
        </w:rPr>
        <w:t>• Quan hệ SX</w:t>
      </w:r>
    </w:p>
    <w:p>
      <w:pPr>
        <w:spacing w:after="40"/>
        <w:ind w:left="720" w:hanging="173"/>
      </w:pPr>
      <w:r>
        <w:rPr>
          <w:rFonts w:ascii="Arial" w:hAnsi="Arial" w:eastAsia="Arial"/>
          <w:b/>
          <w:sz w:val="21"/>
        </w:rPr>
        <w:t>• Quan hệ về sở hữu tư liệu SX</w:t>
      </w:r>
    </w:p>
    <w:p>
      <w:pPr>
        <w:spacing w:after="40"/>
        <w:ind w:left="720" w:hanging="173"/>
      </w:pPr>
      <w:r>
        <w:rPr>
          <w:rFonts w:ascii="Arial" w:hAnsi="Arial" w:eastAsia="Arial"/>
          <w:b/>
          <w:sz w:val="21"/>
        </w:rPr>
        <w:t>• Quan hệ trong tổ chức &amp; quản lý SX</w:t>
      </w:r>
    </w:p>
    <w:p>
      <w:pPr>
        <w:spacing w:after="40"/>
        <w:ind w:left="720" w:hanging="173"/>
      </w:pPr>
      <w:r>
        <w:rPr>
          <w:rFonts w:ascii="Arial" w:hAnsi="Arial" w:eastAsia="Arial"/>
          <w:b/>
          <w:sz w:val="21"/>
        </w:rPr>
        <w:t>• Quan hệ trong phân phối sản phẩm LĐ</w:t>
      </w:r>
    </w:p>
    <w:p>
      <w:pPr>
        <w:pStyle w:val="Heading1"/>
      </w:pPr>
      <w:r>
        <w:t>3. Ghi chú học nhanh</w:t>
      </w:r>
    </w:p>
    <w:p>
      <w:pPr>
        <w:spacing w:after="40"/>
      </w:pPr>
      <w:r>
        <w:t>• Lực lượng sản xuất biểu hiện năng lực thực tiễn của con người trong quá trình sản xuất.</w:t>
      </w:r>
    </w:p>
    <w:p>
      <w:pPr>
        <w:spacing w:after="40"/>
      </w:pPr>
      <w:r>
        <w:t>• Tư liệu sản xuất gồm tư liệu lao động và đối tượng lao động.</w:t>
      </w:r>
    </w:p>
    <w:p>
      <w:pPr>
        <w:spacing w:after="40"/>
      </w:pPr>
      <w:r>
        <w:t>• Quan hệ sản xuất gồm quan hệ sở hữu, quan hệ tổ chức - quản lý và quan hệ phân phối.</w:t>
      </w:r>
    </w:p>
    <w:p>
      <w:pPr>
        <w:spacing w:after="40"/>
      </w:pPr>
      <w:r>
        <w:t>• Trong sơ đồ, hai mặt lực lượng SX và quan hệ SX gắn với nhau để tạo thành phương thức SX.</w:t>
      </w:r>
    </w:p>
    <w:p>
      <w:pPr>
        <w:jc w:val="right"/>
      </w:pPr>
      <w:r>
        <w:rPr>
          <w:i/>
          <w:color w:val="5A5A5A"/>
          <w:sz w:val="18"/>
        </w:rPr>
        <w:t>Nguồn nội dung: ảnh bài giảng người dùng cung cấp.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