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636B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多媒体工程师全栈手册</w:t>
      </w:r>
    </w:p>
    <w:p w14:paraId="76C8A605">
      <w:pPr>
        <w:spacing w:before="380" w:after="140" w:line="288" w:lineRule="auto"/>
        <w:ind w:left="0"/>
        <w:jc w:val="left"/>
        <w:outlineLvl w:val="0"/>
      </w:pPr>
    </w:p>
    <w:p w14:paraId="4E1DC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文档说明：覆盖前期方案风险、图纸会审、选型计算、施工工艺、FAT工厂测试、SAT现场分阶段测试、压力边界测试、系统自愈、第三方对接、网络安全、电气消防安全、运维体系、应急预案。面向展馆、文旅、互动展项音视频集成，可用于内部培训、现场调试、项目交付。</w:t>
      </w:r>
    </w:p>
    <w:p w14:paraId="2AD05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通用执行三原则</w:t>
      </w:r>
    </w:p>
    <w:p w14:paraId="5573B77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优先级原则：标书技术要求＞原厂官方手册＞本手册参考参数；所有量化数值仅作为工程参考，不替代合同与原厂文档。</w:t>
      </w:r>
    </w:p>
    <w:p w14:paraId="630356C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故障判定三原则</w:t>
      </w:r>
    </w:p>
    <w:p w14:paraId="05AF6C8D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硬件隔离法：脱离中控、脱离内容，单机播放标准测试素材。故障可复现归硬件/链路层；故障消失，则定位上层软件、脚本或内容问题。</w:t>
      </w:r>
    </w:p>
    <w:p w14:paraId="08449264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报文证据优先原则：责任判定必须留存抓包截图、设备原始日志，禁止仅依靠口头现象主观判定故障归属。</w:t>
      </w:r>
    </w:p>
    <w:p w14:paraId="3DD36F92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主观艺术观感不属于硬件故障，必须以签署完成的《艺术效果确认单》作为判定依据。</w:t>
      </w:r>
    </w:p>
    <w:p w14:paraId="483DA07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变更闭环原则：所有变更必须书面签字，评估硬件、工期、成本、内容修改、验收指标连锁影响；口头变更24小时内补签书面确认，无签字不予实施。</w:t>
      </w:r>
    </w:p>
    <w:p w14:paraId="5061F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文档版本变更记录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92375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50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96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36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A9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主要修订内容</w:t>
            </w:r>
          </w:p>
        </w:tc>
      </w:tr>
      <w:tr w14:paraId="358F52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9D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V1.0终版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986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F59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97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初始终版发布</w:t>
            </w:r>
          </w:p>
        </w:tc>
      </w:tr>
    </w:tbl>
    <w:p w14:paraId="1D360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使用建议</w:t>
      </w:r>
    </w:p>
    <w:p w14:paraId="1CC9B8B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普通展馆项目：可跳过【大型沉浸式专项工程补充】【知识产权与软件授权深度管理】高阶章节；</w:t>
      </w:r>
    </w:p>
    <w:p w14:paraId="7982FA1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CAVE/球幕/巡展项目，重点阅读高阶章节、临展专项；</w:t>
      </w:r>
    </w:p>
    <w:p w14:paraId="2F8A006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项目前期优先阅读：前期方案+创意可行性评审，大部分现场故障根源来自前期；</w:t>
      </w:r>
    </w:p>
    <w:p w14:paraId="08DD4AE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现场排故障优先使用：八级故障排查 + 开馆突发故障应急处置卡；</w:t>
      </w:r>
    </w:p>
    <w:p w14:paraId="6EDF7E9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附录全部表单可直接打印，作为项目纸质记录。</w:t>
      </w:r>
    </w:p>
    <w:p w14:paraId="6D2A19C4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目录</w:t>
      </w:r>
      <w:bookmarkEnd w:id="0"/>
    </w:p>
    <w:p w14:paraId="165A2D7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岗位能力总览（技能分级：熟练掌握｜了解懂原理｜加分辅助）</w:t>
      </w:r>
    </w:p>
    <w:p w14:paraId="68E3169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投标与前期方案风险管控</w:t>
      </w:r>
    </w:p>
    <w:p w14:paraId="3A97F8F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2‑A 创意方案转工程落地约束（艺术‑技术边界）</w:t>
      </w:r>
    </w:p>
    <w:p w14:paraId="09390CC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线缆与接插件工程施工工艺</w:t>
      </w:r>
    </w:p>
    <w:p w14:paraId="17FB832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硬件系统模块调试｜底层参数+实操步骤+故障根治+国标阈值</w:t>
      </w:r>
    </w:p>
    <w:p w14:paraId="3F616E1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素材编码影视级压制规范</w:t>
      </w:r>
    </w:p>
    <w:p w14:paraId="3DE557C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中控脚本、互锁逻辑、非标协议对接</w:t>
      </w:r>
    </w:p>
    <w:p w14:paraId="057D129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系统可靠性、断电自愈、告警体系</w:t>
      </w:r>
    </w:p>
    <w:p w14:paraId="67FB54B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第三方系统对接规范</w:t>
      </w:r>
    </w:p>
    <w:p w14:paraId="7CEFB69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八级分层标准化故障排查 + 高频隐性故障清单</w:t>
      </w:r>
    </w:p>
    <w:p w14:paraId="744E668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测试体系：FAT工厂验收、SAT现场分阶段测试、拷机&amp;压力测试</w:t>
      </w:r>
    </w:p>
    <w:p w14:paraId="4E72E1C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项目交付｜备品备件分层策略｜文档归档</w:t>
      </w:r>
    </w:p>
    <w:p w14:paraId="32FAACB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运维巡检体系与开馆故障应急处置预案</w:t>
      </w:r>
    </w:p>
    <w:p w14:paraId="1F3E0C5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项目复盘知识库与质量管控体系</w:t>
      </w:r>
    </w:p>
    <w:p w14:paraId="4804A8C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大型沉浸式专项工程补充（CAVE、球幕、异形穹顶）【高阶可选】</w:t>
      </w:r>
    </w:p>
    <w:p w14:paraId="5497788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知识产权与软件授权深度管理【高阶可选】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附录：全套可直接打印表单</w:t>
      </w:r>
    </w:p>
    <w:p w14:paraId="545FED7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7077E9">
      <w:pPr>
        <w:spacing w:before="380" w:after="140" w:line="288" w:lineRule="auto"/>
        <w:ind w:left="0"/>
        <w:jc w:val="left"/>
        <w:outlineLvl w:val="0"/>
      </w:pPr>
      <w:bookmarkStart w:id="1" w:name="heading_2"/>
      <w:r>
        <w:rPr>
          <w:rFonts w:ascii="Arial" w:hAnsi="Arial" w:eastAsia="等线" w:cs="Arial"/>
          <w:b/>
          <w:sz w:val="36"/>
        </w:rPr>
        <w:t>1. 岗位能力总览</w:t>
      </w:r>
      <w:bookmarkEnd w:id="1"/>
    </w:p>
    <w:p w14:paraId="650C45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能力边界：聚焦系统集成、设备联调、故障定位、方案对接、交付验收；不需要深度开发Unity/UE、不需要大型PLC编程，做到看得懂报文、下发指令、区分故障归属（硬件/线路/协议/内容）。</w:t>
      </w:r>
    </w:p>
    <w:p w14:paraId="675074AB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1.1 音视频系统【核心主业，必须熟练】</w:t>
      </w:r>
      <w:bookmarkEnd w:id="2"/>
    </w:p>
    <w:p w14:paraId="1380560F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熟练掌握</w:t>
      </w:r>
      <w:bookmarkEnd w:id="3"/>
    </w:p>
    <w:p w14:paraId="2AF8552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显示：LED大屏（点间距、模组、接收卡带载、同步异步、拓扑配置、逐点校色）、投影机、多通道边缘融合、LCD拼接；分辨率、像素带载计算、网线传输距离核算。</w:t>
      </w:r>
    </w:p>
    <w:p w14:paraId="3D9D9EA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音频：数字DSP、调音台、功放、音箱、Dante数字音频；阻抗匹配、EQ、延时、压限、回声抑制、地环路干扰处理、时序逻辑。</w:t>
      </w:r>
    </w:p>
    <w:p w14:paraId="0F85913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信号链路：HDMI/SDI/DVI、HDBaseT传输、矩阵切换、分布式系统；EDID故障排查（黑屏、花屏、分辨率漂移）；色深、刷新率、时序适配。</w:t>
      </w:r>
    </w:p>
    <w:p w14:paraId="0EA67F1F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了解原理</w:t>
      </w:r>
      <w:bookmarkEnd w:id="4"/>
    </w:p>
    <w:p w14:paraId="3C210C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OLED、冰屏、格栅屏特性；音频矩阵路由、背景音乐分区。</w:t>
      </w:r>
    </w:p>
    <w:p w14:paraId="173E57CA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1.2 互动展项硬件与控制【展馆高频】</w:t>
      </w:r>
      <w:bookmarkEnd w:id="5"/>
    </w:p>
    <w:p w14:paraId="4F7D67DB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熟练掌握</w:t>
      </w:r>
      <w:bookmarkEnd w:id="6"/>
    </w:p>
    <w:p w14:paraId="154B10D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控制器：RS232/RS485串口、TCP‑Socket；时序电源、继电器；串口16进制报文调试；Arduino/单片机基础调试、PWM调光。</w:t>
      </w:r>
    </w:p>
    <w:p w14:paraId="3A048D5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传感器外设：红外触控、RFID、按键、超声波；串口/网口外设调试。</w:t>
      </w:r>
    </w:p>
    <w:p w14:paraId="5ADF07D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灯光：DMX512总线调试、灯具地址配置、灯光联动时序。</w:t>
      </w:r>
    </w:p>
    <w:p w14:paraId="6487D0D0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了解原理</w:t>
      </w:r>
      <w:bookmarkEnd w:id="7"/>
    </w:p>
    <w:p w14:paraId="3B548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树莓派、雷达互动、地面互动、体感设备原理与典型故障。</w:t>
      </w:r>
    </w:p>
    <w:p w14:paraId="000F3E78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1.3 软件工具能力</w:t>
      </w:r>
      <w:bookmarkEnd w:id="8"/>
    </w:p>
    <w:p w14:paraId="74666EA0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熟练</w:t>
      </w:r>
      <w:bookmarkEnd w:id="9"/>
    </w:p>
    <w:p w14:paraId="27CE008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调试软件：LED调试软件（诺瓦LCT、卡莱特LEDVISION、灵星雨LedStudio）、融合软件、中控编程软件；</w:t>
      </w:r>
    </w:p>
    <w:p w14:paraId="7119836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网络调试：Putty、Socket调试助手、抓包工具，收发十六进制指令；远程运维RustDesk/VNC/noVNC；</w:t>
      </w:r>
    </w:p>
    <w:p w14:paraId="1D88980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工程绘图：Visio/亿图绘制拓扑、接线图；Excel做设备清单、像素计算；看得懂CAD弱电图纸。</w:t>
      </w:r>
    </w:p>
    <w:p w14:paraId="44351538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了解</w:t>
      </w:r>
      <w:bookmarkEnd w:id="10"/>
    </w:p>
    <w:p w14:paraId="25BD9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视频编码H.264/H.265，码率、封装格式；Unity/UE互动内容联调，区分内容bug和硬件故障；简单视频转码测试素材。</w:t>
      </w:r>
    </w:p>
    <w:p w14:paraId="24CD9243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1.4 网络与操作系统</w:t>
      </w:r>
      <w:bookmarkEnd w:id="11"/>
    </w:p>
    <w:p w14:paraId="6C46D46B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熟练</w:t>
      </w:r>
      <w:bookmarkEnd w:id="12"/>
    </w:p>
    <w:p w14:paraId="754ED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VLAN划分、IGMP‑Snooping、PoE交换机配置、静态IP；网线压制测试；广播风暴排查；Windows工控机7×24h系统调优（关闭更新、休眠、自启配置）；蓝屏、软件闪退排查。</w:t>
      </w:r>
    </w:p>
    <w:p w14:paraId="3FAA1412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了解</w:t>
      </w:r>
      <w:bookmarkEnd w:id="13"/>
    </w:p>
    <w:p w14:paraId="222C2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银河麒麟国产系统基础部署、systemd自启服务；简单Linux命令；Dante音频网络原理。</w:t>
      </w:r>
    </w:p>
    <w:p w14:paraId="22E45B97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1.5 弱电工程实操</w:t>
      </w:r>
      <w:bookmarkEnd w:id="14"/>
    </w:p>
    <w:p w14:paraId="5A77B09C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熟练</w:t>
      </w:r>
      <w:bookmarkEnd w:id="15"/>
    </w:p>
    <w:p w14:paraId="2C7ED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强弱电隔离敷设、屏蔽线缆接地、等电位处理；时序上电/下电逻辑；分层故障定位：电源→物理链路→网络→硬件→协议→软件→内容；看懂原理图、接线图，遵循国标弱电规范。</w:t>
      </w:r>
    </w:p>
    <w:p w14:paraId="38F908CE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1.6 通信协议【核心灵魂】</w:t>
      </w:r>
      <w:bookmarkEnd w:id="16"/>
    </w:p>
    <w:p w14:paraId="3D5862C8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熟练调试读懂</w:t>
      </w:r>
      <w:bookmarkEnd w:id="17"/>
    </w:p>
    <w:p w14:paraId="1449EB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RS232/485、Modbus‑RTU、TCP Socket；DMX512；报文校验、字节序、超时重试逻辑。</w:t>
      </w:r>
    </w:p>
    <w:p w14:paraId="18025D3B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了解</w:t>
      </w:r>
      <w:bookmarkEnd w:id="18"/>
    </w:p>
    <w:p w14:paraId="7EA95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Art‑Net/sACN、Dante、KNX。</w:t>
      </w:r>
    </w:p>
    <w:p w14:paraId="30607BA2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1.7 方案与文档交付</w:t>
      </w:r>
      <w:bookmarkEnd w:id="19"/>
    </w:p>
    <w:p w14:paraId="353A3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熟练：多媒体方案设备选型、点位梳理；输出调试记录、竣工文档、分层操作维护手册；和甲方、内容团队、施工方对接，划分工作边界。</w:t>
      </w:r>
    </w:p>
    <w:p w14:paraId="48C9B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补充：创意‑内容‑集成三方责任边界</w:t>
      </w:r>
    </w:p>
    <w:p w14:paraId="12C0852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多媒体集成方：硬件系统、信号链路、中控联动、参数调试、整套系统稳定性保障；</w:t>
      </w:r>
    </w:p>
    <w:p w14:paraId="62676FB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内容制作团队：视频素材、Unity/UE交互工程、画面构图、色彩艺术表现、交互业务逻辑；</w:t>
      </w:r>
    </w:p>
    <w:p w14:paraId="79497D0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创意策划方：展项叙事脚本、展项叙事逻辑定义。</w:t>
      </w:r>
    </w:p>
    <w:p w14:paraId="733E91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故障判定补充：画面观感差，需要区分硬件参数问题、内容构图色彩缺陷、创意叙事逻辑问题，提前划分责任边界，避免项目现场互相推诿。</w:t>
      </w:r>
    </w:p>
    <w:p w14:paraId="404CD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补充：临展、巡展项目基础能力（了解原理）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了解临展快速拆装结构、航空箱整机集成、工业快速接头、临时供电体系、运输振动防护；掌握巡展每站搭建后精简FAT复测流程、配置一键参数恢复方案。</w:t>
      </w:r>
    </w:p>
    <w:p w14:paraId="57B41452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1.8 现场软素质</w:t>
      </w:r>
      <w:bookmarkEnd w:id="20"/>
    </w:p>
    <w:p w14:paraId="7C25B9F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固定分层排错思维；</w:t>
      </w:r>
    </w:p>
    <w:p w14:paraId="656F2DC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展会开馆前快速应急抢修，业务连续性优先；</w:t>
      </w:r>
    </w:p>
    <w:p w14:paraId="60719BA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风险预判：散热、接地干扰、系统休眠、自动更新、断电自恢复。</w:t>
      </w:r>
    </w:p>
    <w:p w14:paraId="150FAF1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安全风险识别：触电风险识别、机柜防倾倒、登高作业管控、高压警示标识识别、大功率设备残余电容放电风险、锂电池设备拆机风险、现场动火作业管控。</w:t>
      </w:r>
    </w:p>
    <w:p w14:paraId="1ED02C7C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1.9 国产化平台适配能力</w:t>
      </w:r>
      <w:bookmarkEnd w:id="21"/>
    </w:p>
    <w:p w14:paraId="643BD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了解：银河麒麟、统信UOS，飞腾/鲲鹏国产CPU平台兼容性风险。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项目前期必须完成外设驱动预验证；部分USB采集卡、Dante声卡、LED发送卡无国产平台驱动，严禁进场之后才发现驱动缺失造成项目停滞。</w:t>
      </w:r>
    </w:p>
    <w:p w14:paraId="6BC1BF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355E93">
      <w:pPr>
        <w:spacing w:before="380" w:after="140" w:line="288" w:lineRule="auto"/>
        <w:ind w:left="0"/>
        <w:jc w:val="left"/>
        <w:outlineLvl w:val="0"/>
      </w:pPr>
      <w:bookmarkStart w:id="22" w:name="heading_23"/>
      <w:r>
        <w:rPr>
          <w:rFonts w:ascii="Arial" w:hAnsi="Arial" w:eastAsia="等线" w:cs="Arial"/>
          <w:b/>
          <w:sz w:val="36"/>
        </w:rPr>
        <w:t>2. 投标与前期方案风险管控</w:t>
      </w:r>
      <w:bookmarkEnd w:id="22"/>
    </w:p>
    <w:p w14:paraId="062A3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大量现场故障根源来自方案、选型、图纸错误，进场修改成本极高。</w:t>
      </w:r>
    </w:p>
    <w:p w14:paraId="2D67AF18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2.1 设备选型冗余计算原则</w:t>
      </w:r>
      <w:bookmarkEnd w:id="23"/>
    </w:p>
    <w:p w14:paraId="04A64BA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LED显示屏</w:t>
      </w:r>
    </w:p>
    <w:p w14:paraId="65F80847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电源功率冗余≥1.3倍，考虑低温启动冲击电流；高温环境电源降额20%使用；区分恒流/恒压驱动。</w:t>
      </w:r>
    </w:p>
    <w:p w14:paraId="3FFF27D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投影机融合项目</w:t>
      </w:r>
    </w:p>
    <w:p w14:paraId="27C27A74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选型亮度必须计入融合重叠带亮度损失15%‑25%，叠加环境光损耗，避免融合完成整体亮度不足。</w:t>
      </w:r>
    </w:p>
    <w:p w14:paraId="647070F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功放音箱</w:t>
      </w:r>
    </w:p>
    <w:p w14:paraId="38C053DF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全频音箱功放功率取音箱额定1.2‑1.5倍；低音炮1.5‑2倍；核算并联后最低负载阻抗，防止阻抗过低烧毁功放。</w:t>
      </w:r>
    </w:p>
    <w:p w14:paraId="60B8C3F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网络设备</w:t>
      </w:r>
    </w:p>
    <w:p w14:paraId="4BF7A9FC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万兆交换机除端口数量，核算背板带宽、包转发率；大组播灯光/流媒体场景预留带宽余量。</w:t>
      </w:r>
    </w:p>
    <w:p w14:paraId="48E49DA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工控播放终端</w:t>
      </w:r>
    </w:p>
    <w:p w14:paraId="2B6CB168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展馆7×24必须优先工业级整机；SSD区分工业SLC与消费级TLC，关注TBW寿命；关键联动链路禁止USB转485，优先PCI‑E串口扩展卡。</w:t>
      </w:r>
    </w:p>
    <w:p w14:paraId="41403A4C">
      <w:pPr>
        <w:spacing w:before="320" w:after="120" w:line="288" w:lineRule="auto"/>
        <w:ind w:left="0"/>
        <w:jc w:val="left"/>
        <w:outlineLvl w:val="1"/>
      </w:pPr>
      <w:bookmarkStart w:id="24" w:name="heading_25"/>
      <w:r>
        <w:rPr>
          <w:rFonts w:ascii="Arial" w:hAnsi="Arial" w:eastAsia="等线" w:cs="Arial"/>
          <w:b/>
          <w:sz w:val="32"/>
        </w:rPr>
        <w:t>2.2 方案风险评估表（项目前期填写）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A4B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27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B07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核查内容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FF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风险记录</w:t>
            </w:r>
          </w:p>
        </w:tc>
      </w:tr>
      <w:tr w14:paraId="17D9B8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42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34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高温/高湿/粉尘/盐雾/低温凝露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3A604">
            <w:pPr>
              <w:spacing w:before="120" w:after="120" w:line="288" w:lineRule="auto"/>
              <w:ind w:left="0"/>
              <w:jc w:val="left"/>
            </w:pPr>
          </w:p>
        </w:tc>
      </w:tr>
      <w:tr w14:paraId="6DD6CD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F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建筑结构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DE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LED箱体重量、投影吊架吊顶承重、机房散热空间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2F50C">
            <w:pPr>
              <w:spacing w:before="120" w:after="120" w:line="288" w:lineRule="auto"/>
              <w:ind w:left="0"/>
              <w:jc w:val="left"/>
            </w:pPr>
          </w:p>
        </w:tc>
      </w:tr>
      <w:tr w14:paraId="15A4DC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51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散热热设计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19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机柜通风、进排风路径、嵌入式密闭箱体散热、夏季极端高温工况、空调冗余、滤网拆装维护空间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1B9B5">
            <w:pPr>
              <w:spacing w:before="120" w:after="120" w:line="288" w:lineRule="auto"/>
              <w:ind w:left="0"/>
              <w:jc w:val="left"/>
            </w:pPr>
          </w:p>
        </w:tc>
      </w:tr>
      <w:tr w14:paraId="7BAC0E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C0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运维可维护性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F4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设备检修空间、更换备件操作空间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B4D6B">
            <w:pPr>
              <w:spacing w:before="120" w:after="120" w:line="288" w:lineRule="auto"/>
              <w:ind w:left="0"/>
              <w:jc w:val="left"/>
            </w:pPr>
          </w:p>
        </w:tc>
      </w:tr>
      <w:tr w14:paraId="74788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67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5A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非标设备协议、固件版本、第三方对接接口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0B4A5">
            <w:pPr>
              <w:spacing w:before="120" w:after="120" w:line="288" w:lineRule="auto"/>
              <w:ind w:left="0"/>
              <w:jc w:val="left"/>
            </w:pPr>
          </w:p>
        </w:tc>
      </w:tr>
      <w:tr w14:paraId="5F2AC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00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噪声约束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3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观众区、机房噪声限值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8CBE5">
            <w:pPr>
              <w:spacing w:before="120" w:after="120" w:line="288" w:lineRule="auto"/>
              <w:ind w:left="0"/>
              <w:jc w:val="left"/>
            </w:pPr>
          </w:p>
        </w:tc>
      </w:tr>
      <w:tr w14:paraId="10186F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8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国产化兼容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71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CPU架构（飞腾/鲲鹏/x86）、外设驱动、系统版本冻结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6B04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A652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选型提示：嵌入式装修封闭LED箱体严禁完全密封无通风；机柜设备之间预留1U散热间隙；防尘滤网必须预留拆装维护空间。</w:t>
      </w:r>
    </w:p>
    <w:p w14:paraId="37D45584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2.3 图纸会审要点</w:t>
      </w:r>
      <w:bookmarkEnd w:id="25"/>
    </w:p>
    <w:p w14:paraId="7BB92BA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点位：电源、信号口、等电位端子位置核对；</w:t>
      </w:r>
    </w:p>
    <w:p w14:paraId="01308B0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管线：HDMI/HDBaseT最小弯曲半径；强弱电间距；预埋管转弯数量；禁止普通网线替代HDBaseT；</w:t>
      </w:r>
    </w:p>
    <w:p w14:paraId="38A1857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装修干涉：触控框收口、投影机镜头被龙骨遮挡、散热出风口被封堵；</w:t>
      </w:r>
    </w:p>
    <w:p w14:paraId="4542065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接地：确认建筑等电位接地点，禁止现场临时自制接地极。</w:t>
      </w:r>
    </w:p>
    <w:p w14:paraId="23F9C9B7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2.4 非标设备锁死要求</w:t>
      </w:r>
      <w:bookmarkEnd w:id="26"/>
    </w:p>
    <w:p w14:paraId="2BED6F5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进场前冻结完整协议文档：寄存器、字节序、CRC校验、异常错误码；</w:t>
      </w:r>
    </w:p>
    <w:p w14:paraId="57B925C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样机完成实验室联调，禁止现场开发调试协议；</w:t>
      </w:r>
    </w:p>
    <w:p w14:paraId="2225102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固件版本冻结，现场不允许私自升级固件，固件升级必须做完整回归测试。</w:t>
      </w:r>
    </w:p>
    <w:p w14:paraId="12034033">
      <w:pPr>
        <w:spacing w:before="320" w:after="120" w:line="288" w:lineRule="auto"/>
        <w:ind w:left="0"/>
        <w:jc w:val="left"/>
        <w:outlineLvl w:val="1"/>
      </w:pPr>
      <w:bookmarkStart w:id="27" w:name="heading_28"/>
      <w:r>
        <w:rPr>
          <w:rFonts w:ascii="Arial" w:hAnsi="Arial" w:eastAsia="等线" w:cs="Arial"/>
          <w:b/>
          <w:sz w:val="32"/>
        </w:rPr>
        <w:t>2.5 标书合同技术边界澄清</w:t>
      </w:r>
      <w:bookmarkEnd w:id="27"/>
    </w:p>
    <w:p w14:paraId="5F695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明确多媒体与装修、智能化、消防BA、票务闸机工作边界；对接第三方接口文档提供方、接口责任归属，避免后期扯皮。</w:t>
      </w:r>
    </w:p>
    <w:p w14:paraId="63BFB4E5">
      <w:pPr>
        <w:spacing w:before="320" w:after="120" w:line="288" w:lineRule="auto"/>
        <w:ind w:left="0"/>
        <w:jc w:val="left"/>
        <w:outlineLvl w:val="1"/>
      </w:pPr>
      <w:bookmarkStart w:id="28" w:name="heading_29"/>
      <w:r>
        <w:rPr>
          <w:rFonts w:ascii="Arial" w:hAnsi="Arial" w:eastAsia="等线" w:cs="Arial"/>
          <w:b/>
          <w:sz w:val="32"/>
        </w:rPr>
        <w:t>2.6 现场变更与签证风险管控</w:t>
      </w:r>
      <w:bookmarkEnd w:id="28"/>
    </w:p>
    <w:p w14:paraId="35E18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纸会审完成后，若发生装修改动、点位迁移、设备替换、线缆路径变更，必须输出书面技术变更单。变更单需要评估连锁影响：线缆长度、LED接收卡带载、整机功率、VLAN规划、系统延时。口头变更一律不予实施，所有变更文件归入竣工归档，作为后期验收、维保依据。</w:t>
      </w:r>
    </w:p>
    <w:p w14:paraId="4A25A1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闭环要求：所有技术变更单，除技术评估外，必须同步评估工期影响、成本增减、验收指标变更；变更单必须包含：变更前状态、变更后状态、工期增减、费用增减、连锁系统影响；无甲方签字确认变更单，不启动实施。口头变更必须24小时内补书面确认，否则拒绝实施。</w:t>
      </w:r>
    </w:p>
    <w:p w14:paraId="005597D3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2.7 锂电池类设备选型约束</w:t>
      </w:r>
      <w:bookmarkEnd w:id="29"/>
    </w:p>
    <w:p w14:paraId="256E6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机柜内部禁止大量堆放无保护锂电池组；无线传感器、便携互动终端优先直流外接供电。确需使用锂电池，必须具备过充、过温保护，安装位置远离功放、电源等热源。</w:t>
      </w:r>
    </w:p>
    <w:p w14:paraId="5AD5B808">
      <w:pPr>
        <w:spacing w:before="320" w:after="120" w:line="288" w:lineRule="auto"/>
        <w:ind w:left="0"/>
        <w:jc w:val="left"/>
        <w:outlineLvl w:val="1"/>
      </w:pPr>
      <w:bookmarkStart w:id="30" w:name="heading_31"/>
      <w:r>
        <w:rPr>
          <w:rFonts w:ascii="Arial" w:hAnsi="Arial" w:eastAsia="等线" w:cs="Arial"/>
          <w:b/>
          <w:sz w:val="32"/>
        </w:rPr>
        <w:t>2.8 特殊恶劣环境选型提示</w:t>
      </w:r>
      <w:bookmarkEnd w:id="30"/>
    </w:p>
    <w:p w14:paraId="2C3880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防爆场所、地下高湿展馆、滨海盐雾腐蚀项目，商用普通设备不可直接使用，设备需要满足对应防腐、防潮、防爆防护等级，前期方案阶段确认防护指标。</w:t>
      </w:r>
    </w:p>
    <w:p w14:paraId="3F5B0E5A">
      <w:pPr>
        <w:spacing w:before="320" w:after="120" w:line="288" w:lineRule="auto"/>
        <w:ind w:left="0"/>
        <w:jc w:val="left"/>
        <w:outlineLvl w:val="1"/>
      </w:pPr>
      <w:bookmarkStart w:id="31" w:name="heading_32"/>
      <w:r>
        <w:rPr>
          <w:rFonts w:ascii="Arial" w:hAnsi="Arial" w:eastAsia="等线" w:cs="Arial"/>
          <w:b/>
          <w:sz w:val="32"/>
        </w:rPr>
        <w:t>2.9 投标阶段技术风险识别</w:t>
      </w:r>
      <w:bookmarkEnd w:id="31"/>
    </w:p>
    <w:p w14:paraId="540DAF4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投标阶段严禁直接复制通用技术标书，必须结合项目建筑图纸、现场环境做可行性预判；标书响应参数需要确认市面设备可供货，不写实验室理想参数，避免中标后设备无法实现标书指标。</w:t>
      </w:r>
    </w:p>
    <w:p w14:paraId="1D68229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标书中性能指标必须区分：必选指标（硬性达标）、期望指标（加分项），防止全部作为硬性验收门槛，造成成本大幅超支。</w:t>
      </w:r>
    </w:p>
    <w:p w14:paraId="6335F20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投标阶段识别三大风险：建筑土建不满足设备安装条件、机房空调供电容量不足、第三方系统接口无公开协议。上述风险必须在投标答疑阶段书面提出，留存答疑记录。</w:t>
      </w:r>
    </w:p>
    <w:p w14:paraId="37E06E7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当招标书存在互相矛盾技术条款，必须书面答疑确认，不能以经验默认执行。</w:t>
      </w:r>
    </w:p>
    <w:p w14:paraId="286C3828">
      <w:pPr>
        <w:spacing w:before="320" w:after="120" w:line="288" w:lineRule="auto"/>
        <w:ind w:left="0"/>
        <w:jc w:val="left"/>
        <w:outlineLvl w:val="1"/>
      </w:pPr>
      <w:bookmarkStart w:id="32" w:name="heading_33"/>
      <w:r>
        <w:rPr>
          <w:rFonts w:ascii="Arial" w:hAnsi="Arial" w:eastAsia="等线" w:cs="Arial"/>
          <w:b/>
          <w:sz w:val="32"/>
        </w:rPr>
        <w:t>2.10 分包工作界面与管控</w:t>
      </w:r>
      <w:bookmarkEnd w:id="32"/>
    </w:p>
    <w:p w14:paraId="434A42E8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明确分包交付物清单：管线预埋、等电位端子、吊架预埋件、机柜基础、机房空调、总供电容量，哪些由装修/弱电分包实施；多媒体方负责复核验收，不承担土建预埋不合格带来的整改成本。</w:t>
      </w:r>
    </w:p>
    <w:p w14:paraId="4D0C0CC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所有分包施工完成，多媒体进场前执行进场条件确认单，供电、管线、预埋件不达标不予进场施工，书面记录。</w:t>
      </w:r>
    </w:p>
    <w:p w14:paraId="0CC16F0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分包线缆质量、预埋管转弯、弯曲半径必须做进场报验，不合格线缆禁止封管。</w:t>
      </w:r>
    </w:p>
    <w:p w14:paraId="70AC3560">
      <w:pPr>
        <w:spacing w:before="320" w:after="120" w:line="288" w:lineRule="auto"/>
        <w:ind w:left="0"/>
        <w:jc w:val="left"/>
        <w:outlineLvl w:val="1"/>
      </w:pPr>
      <w:bookmarkStart w:id="33" w:name="heading_34"/>
      <w:r>
        <w:rPr>
          <w:rFonts w:ascii="Arial" w:hAnsi="Arial" w:eastAsia="等线" w:cs="Arial"/>
          <w:b/>
          <w:sz w:val="32"/>
        </w:rPr>
        <w:t>2.11 国产化项目专项评审</w:t>
      </w:r>
      <w:bookmarkEnd w:id="33"/>
    </w:p>
    <w:p w14:paraId="062A9DD4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国产化项目前期必须完成全外设兼容性清单：采集卡、LED发送/接收卡、Dante声卡、串口扩展卡、中控外设、USB外设，形成《国产化外设兼容验证表》，作为方案附件。</w:t>
      </w:r>
    </w:p>
    <w:p w14:paraId="279FFC7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若部分硬件无国产平台驱动，只有两个解决路径：①替换硬件；②保留一台Windows终端做隔离业务；严禁进场后再做驱动测试。</w:t>
      </w:r>
    </w:p>
    <w:p w14:paraId="4591B48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银河麒麟/统信UOS，确认系统版本号、内核版本，不同内核外设驱动兼容性差异巨大，方案阶段冻结操作系统版本。</w:t>
      </w:r>
    </w:p>
    <w:p w14:paraId="2B9895BF">
      <w:pPr>
        <w:spacing w:before="320" w:after="120" w:line="288" w:lineRule="auto"/>
        <w:ind w:left="0"/>
        <w:jc w:val="left"/>
        <w:outlineLvl w:val="1"/>
      </w:pPr>
      <w:bookmarkStart w:id="34" w:name="heading_35"/>
      <w:r>
        <w:rPr>
          <w:rFonts w:ascii="Arial" w:hAnsi="Arial" w:eastAsia="等线" w:cs="Arial"/>
          <w:b/>
          <w:sz w:val="32"/>
        </w:rPr>
        <w:t>2.12 预算拆分与变更成本评估</w:t>
      </w:r>
      <w:bookmarkEnd w:id="34"/>
    </w:p>
    <w:p w14:paraId="5806FDED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方案阶段完成技术对应的完整预算拆分：硬件采购、中控脚本开发、内容制作、安装施工、系统调试、第三方接口对接、国产化改造、备品备件、质保运维。</w:t>
      </w:r>
    </w:p>
    <w:p w14:paraId="02B626B1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发生技术变更，除评估工期、硬件费用外，必须评估内容修改成本；点位迁移、展项形态改动，往往需要同步修改UE/Unity交互工程、渲染视频素材，该部分成本极易遗漏。</w:t>
      </w:r>
    </w:p>
    <w:p w14:paraId="03EE5098">
      <w:pPr>
        <w:spacing w:before="320" w:after="120" w:line="288" w:lineRule="auto"/>
        <w:ind w:left="0"/>
        <w:jc w:val="left"/>
        <w:outlineLvl w:val="1"/>
      </w:pPr>
      <w:bookmarkStart w:id="35" w:name="heading_36"/>
      <w:r>
        <w:rPr>
          <w:rFonts w:ascii="Arial" w:hAnsi="Arial" w:eastAsia="等线" w:cs="Arial"/>
          <w:b/>
          <w:sz w:val="32"/>
        </w:rPr>
        <w:t>2.13 BIM图纸协同要点</w:t>
      </w:r>
      <w:bookmarkEnd w:id="35"/>
    </w:p>
    <w:p w14:paraId="753330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大型文旅展馆项目，多媒体设备、吊架、箱体、线缆管线导入BIM模型，核查与机电、暖通、消防、装修构件空间干涉，规避二维图纸无法发现的空间打架问题。</w:t>
      </w:r>
    </w:p>
    <w:p w14:paraId="3C766919">
      <w:pPr>
        <w:spacing w:before="320" w:after="120" w:line="288" w:lineRule="auto"/>
        <w:ind w:left="0"/>
        <w:jc w:val="left"/>
        <w:outlineLvl w:val="1"/>
      </w:pPr>
      <w:bookmarkStart w:id="36" w:name="heading_37"/>
      <w:r>
        <w:rPr>
          <w:rFonts w:ascii="Arial" w:hAnsi="Arial" w:eastAsia="等线" w:cs="Arial"/>
          <w:b/>
          <w:sz w:val="32"/>
        </w:rPr>
        <w:t>2.14 定制化硬件风险管控</w:t>
      </w:r>
      <w:bookmarkEnd w:id="36"/>
    </w:p>
    <w:p w14:paraId="32D06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针对非标定制LED箱体、定制灯具、定制互动传感器：</w:t>
      </w:r>
    </w:p>
    <w:p w14:paraId="7BE8683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进场前完成样机测试验证；锁定结构图纸、固件版本、BOM物料清单。</w:t>
      </w:r>
    </w:p>
    <w:p w14:paraId="6B0EDE0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明确后期备件复刻周期；项目完成后留存样机或完整BOM档案，防止厂商产品停产，后期无法维修替换。</w:t>
      </w:r>
    </w:p>
    <w:p w14:paraId="79852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【项目高频风险总清单（投标/方案阶段识别）】</w:t>
      </w:r>
    </w:p>
    <w:p w14:paraId="0D165F86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土建风险：吊架承重不足、机房空调散热不够、供电容量不足；</w:t>
      </w:r>
    </w:p>
    <w:p w14:paraId="2E70F3F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兼容性风险：国产平台外设驱动缺失；非标第三方没有公开协议；</w:t>
      </w:r>
    </w:p>
    <w:p w14:paraId="2161B59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创意落地风险：效果图亮度虚高、无检修口、交互逻辑只有模糊文字；</w:t>
      </w:r>
    </w:p>
    <w:p w14:paraId="1989D5C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施工分包风险：预埋管线弯曲半径不合格、等电位接地不达标；</w:t>
      </w:r>
    </w:p>
    <w:p w14:paraId="75FC0DA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固件风险：设备固件BUG、随意升级固件不做回归测试；</w:t>
      </w:r>
    </w:p>
    <w:p w14:paraId="0E8AAAF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运维风险：后期备件停产EOL、订阅制软件授权到期；</w:t>
      </w:r>
    </w:p>
    <w:p w14:paraId="38E1934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安全风险：锂电池堆积、密闭箱体散热缺失、兆欧表带板卡测试。</w:t>
      </w:r>
    </w:p>
    <w:p w14:paraId="2498E1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540535">
      <w:pPr>
        <w:spacing w:before="380" w:after="140" w:line="288" w:lineRule="auto"/>
        <w:ind w:left="0"/>
        <w:jc w:val="left"/>
        <w:outlineLvl w:val="0"/>
      </w:pPr>
      <w:bookmarkStart w:id="37" w:name="heading_38"/>
      <w:r>
        <w:rPr>
          <w:rFonts w:ascii="Arial" w:hAnsi="Arial" w:eastAsia="等线" w:cs="Arial"/>
          <w:b/>
          <w:sz w:val="36"/>
        </w:rPr>
        <w:t>2‑A 创意方案转工程落地约束</w:t>
      </w:r>
      <w:bookmarkEnd w:id="37"/>
      <w:bookmarkStart w:id="134" w:name="_GoBack"/>
      <w:bookmarkEnd w:id="134"/>
    </w:p>
    <w:p w14:paraId="54878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量项目后期纠纷来源于创意效果图、叙事脚本仅做艺术表达，没有匹配工程实现边界，出现效果图效果无法达成、检修不可实施、交互逻辑无判定标准、主观验收反复变更。本章用于创意、内容、集成三方对齐。</w:t>
      </w:r>
    </w:p>
    <w:p w14:paraId="453A9835">
      <w:pPr>
        <w:spacing w:before="320" w:after="120" w:line="288" w:lineRule="auto"/>
        <w:ind w:left="0"/>
        <w:jc w:val="left"/>
        <w:outlineLvl w:val="1"/>
      </w:pPr>
      <w:bookmarkStart w:id="38" w:name="heading_39"/>
      <w:r>
        <w:rPr>
          <w:rFonts w:ascii="Arial" w:hAnsi="Arial" w:eastAsia="等线" w:cs="Arial"/>
          <w:b/>
          <w:sz w:val="32"/>
        </w:rPr>
        <w:t>2‑A.1 效果图/动画方案技术可行性评审要点</w:t>
      </w:r>
      <w:bookmarkEnd w:id="38"/>
    </w:p>
    <w:p w14:paraId="7BB64CC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效果图亮度校验：效果图渲染亮度普遍存在虚高，需要将效果图环境光、屏幕实际亮度、投影机ANSI流明做工程换算；效果图不得直接作为验收效果依据，必须同步输出《艺术效果技术确认单》。</w:t>
      </w:r>
    </w:p>
    <w:p w14:paraId="33C7DD6A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造型展项风险：异形LED曲面、弧形融合、非标准CAVE空间、不规则地幕。异形结构带来风险包含：模组定制成本增加、像素浪费、矫正网格等级提升、光损加大、散热难度上升、后期备件采购周期长。方案阶段评估成本、运维代价。</w:t>
      </w:r>
    </w:p>
    <w:p w14:paraId="62F06966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视觉遮挡校验：创意效果图经常忽略钢结构、吊架、线缆、散热口、检修门。方案图纸必须明确检修口位置，创意设计不允许完全封闭设备检修面。</w:t>
      </w:r>
    </w:p>
    <w:p w14:paraId="7A97DB6D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交互行为预期对齐：创意脚本文字描述如“游客走近自动触发”，必须量化定义：触发距离、触发角度、多人同时并发行为、误触发过滤逻辑、无游客待机休眠逻辑。禁止模糊文字作为调试依据。</w:t>
      </w:r>
    </w:p>
    <w:p w14:paraId="0540BD8D">
      <w:pPr>
        <w:spacing w:before="320" w:after="120" w:line="288" w:lineRule="auto"/>
        <w:ind w:left="0"/>
        <w:jc w:val="left"/>
        <w:outlineLvl w:val="1"/>
      </w:pPr>
      <w:bookmarkStart w:id="39" w:name="heading_40"/>
      <w:r>
        <w:rPr>
          <w:rFonts w:ascii="Arial" w:hAnsi="Arial" w:eastAsia="等线" w:cs="Arial"/>
          <w:b/>
          <w:sz w:val="32"/>
        </w:rPr>
        <w:t>2‑A.2 展项交互逻辑文档标准化要求</w:t>
      </w:r>
      <w:bookmarkEnd w:id="39"/>
    </w:p>
    <w:p w14:paraId="57313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创意输出交互脚本必须完整包含以下字段：触发条件、执行动作、执行时长、异常降级行为、超时复位策略、多人并发处理、无访客待机状态。无完整量化交互文档，不进入实施阶段。</w:t>
      </w:r>
    </w:p>
    <w:p w14:paraId="09C66CFB">
      <w:pPr>
        <w:spacing w:before="320" w:after="120" w:line="288" w:lineRule="auto"/>
        <w:ind w:left="0"/>
        <w:jc w:val="left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2‑A.3 艺术效果验收边界区分</w:t>
      </w:r>
      <w:bookmarkEnd w:id="40"/>
    </w:p>
    <w:p w14:paraId="1077041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仪器可量化硬件验收项：亮度、色准△E、联动延时、噪声、接地电阻等，执行国标与标书指标。</w:t>
      </w:r>
    </w:p>
    <w:p w14:paraId="456173F1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主观艺术观感验收项：色彩氛围、画面构图、光影氛围；必须由甲方提前确认参考样片/参考样图，签署《艺术效果确认单》。未签署确认文件，不得将主观观感作为不合格验收理由。</w:t>
      </w:r>
    </w:p>
    <w:p w14:paraId="3022241E">
      <w:pPr>
        <w:spacing w:before="320" w:after="120" w:line="288" w:lineRule="auto"/>
        <w:ind w:left="0"/>
        <w:jc w:val="left"/>
        <w:outlineLvl w:val="1"/>
      </w:pPr>
      <w:bookmarkStart w:id="41" w:name="heading_42"/>
      <w:r>
        <w:rPr>
          <w:rFonts w:ascii="Arial" w:hAnsi="Arial" w:eastAsia="等线" w:cs="Arial"/>
          <w:b/>
          <w:sz w:val="32"/>
        </w:rPr>
        <w:t>2‑A.4 展馆无障碍设计要求</w:t>
      </w:r>
      <w:bookmarkEnd w:id="41"/>
    </w:p>
    <w:p w14:paraId="3E78872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音频系统：重点展项预留助听环路配置；设置音量上限约束，防止局部声压过高伤害听力。</w:t>
      </w:r>
    </w:p>
    <w:p w14:paraId="3D6E811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互动展项：触控操作高度、感应触发高度，兼容轮椅使用者操作姿态。</w:t>
      </w:r>
    </w:p>
    <w:p w14:paraId="3AFF53F2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灯光展项：严格规避12.5Hz以下高频频闪，防范光敏癫痫诱发风险。</w:t>
      </w:r>
    </w:p>
    <w:p w14:paraId="04FF0364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视频字幕：重点展项视频必须内嵌无障碍字幕，约束字体大小、画面对比度。</w:t>
      </w:r>
    </w:p>
    <w:p w14:paraId="4AF6FC9E">
      <w:pPr>
        <w:spacing w:before="320" w:after="120" w:line="288" w:lineRule="auto"/>
        <w:ind w:left="0"/>
        <w:jc w:val="left"/>
        <w:outlineLvl w:val="1"/>
      </w:pPr>
      <w:bookmarkStart w:id="42" w:name="heading_43"/>
      <w:r>
        <w:rPr>
          <w:rFonts w:ascii="Arial" w:hAnsi="Arial" w:eastAsia="等线" w:cs="Arial"/>
          <w:b/>
          <w:sz w:val="32"/>
        </w:rPr>
        <w:t>2‑A.5 绿色节能与展项待机策略</w:t>
      </w:r>
      <w:bookmarkEnd w:id="42"/>
    </w:p>
    <w:p w14:paraId="0949F1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馆区分开馆时段、闭馆时段。闭馆非业务状态执行策略：大屏降亮度/休眠、灯光进入待机模式、互动外设休眠；合理区分设备休眠与完全断电。不允许设备7×24小时满负荷满亮度长期运行，延长硬件寿命，降低能耗。</w:t>
      </w:r>
    </w:p>
    <w:p w14:paraId="3CC50BB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EA2CCF">
      <w:pPr>
        <w:spacing w:before="380" w:after="140" w:line="288" w:lineRule="auto"/>
        <w:ind w:left="0"/>
        <w:jc w:val="left"/>
        <w:outlineLvl w:val="0"/>
      </w:pPr>
      <w:bookmarkStart w:id="43" w:name="heading_44"/>
      <w:r>
        <w:rPr>
          <w:rFonts w:ascii="Arial" w:hAnsi="Arial" w:eastAsia="等线" w:cs="Arial"/>
          <w:b/>
          <w:sz w:val="36"/>
        </w:rPr>
        <w:t>3. 线缆与接插件工程施工工艺</w:t>
      </w:r>
      <w:bookmarkEnd w:id="43"/>
    </w:p>
    <w:p w14:paraId="51A54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⚠️重要安全警示：500V兆欧表做柜体绝缘测试</w:t>
      </w:r>
      <w:r>
        <w:rPr>
          <w:rFonts w:ascii="Arial" w:hAnsi="Arial" w:eastAsia="等线" w:cs="Arial"/>
          <w:b/>
          <w:i/>
          <w:color w:val="646A73"/>
          <w:sz w:val="22"/>
        </w:rPr>
        <w:t>必须拆除发送卡、接收卡、交换机、工控机等全部板卡芯片</w:t>
      </w:r>
      <w:r>
        <w:rPr>
          <w:rFonts w:ascii="Arial" w:hAnsi="Arial" w:eastAsia="等线" w:cs="Arial"/>
          <w:i/>
          <w:color w:val="646A73"/>
          <w:sz w:val="22"/>
        </w:rPr>
        <w:t>，严禁带电/带板摇表；兆欧表仅测柜体对地绝缘，禁止对信号端口施加高压。</w:t>
      </w:r>
    </w:p>
    <w:p w14:paraId="247F9EAE">
      <w:pPr>
        <w:spacing w:before="320" w:after="120" w:line="288" w:lineRule="auto"/>
        <w:ind w:left="0"/>
        <w:jc w:val="left"/>
        <w:outlineLvl w:val="1"/>
      </w:pPr>
      <w:bookmarkStart w:id="44" w:name="heading_45"/>
      <w:r>
        <w:rPr>
          <w:rFonts w:ascii="Arial" w:hAnsi="Arial" w:eastAsia="等线" w:cs="Arial"/>
          <w:b/>
          <w:sz w:val="32"/>
        </w:rPr>
        <w:t>3.1 线缆选型区分测试线与工程永久布线</w:t>
      </w:r>
      <w:bookmarkEnd w:id="44"/>
    </w:p>
    <w:p w14:paraId="2CD7279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HDMI：桌面短线可用普通线；预埋工程选用工程级线缆；尽量减少转接头，每一级转接带来信号余量衰减。</w:t>
      </w:r>
    </w:p>
    <w:p w14:paraId="60F4B97B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网线：禁止铜包铝；六类带十字骨架；室外线缆PE抗紫外线护套，埋地选用铠装。</w:t>
      </w:r>
    </w:p>
    <w:p w14:paraId="7DFF24F3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DMX：禁止普通网线替代DMX专用120Ω特性阻抗屏蔽双绞线，长距离会出现偶发随机闪灯，难以复现排查。</w:t>
      </w:r>
    </w:p>
    <w:p w14:paraId="4BECD1D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模拟音频：平衡双绞屏蔽线；非平衡信号线传输距离≤5m。</w:t>
      </w:r>
    </w:p>
    <w:p w14:paraId="368E5DF9">
      <w:pPr>
        <w:spacing w:before="320" w:after="120" w:line="288" w:lineRule="auto"/>
        <w:ind w:left="0"/>
        <w:jc w:val="left"/>
        <w:outlineLvl w:val="1"/>
      </w:pPr>
      <w:bookmarkStart w:id="45" w:name="heading_46"/>
      <w:r>
        <w:rPr>
          <w:rFonts w:ascii="Arial" w:hAnsi="Arial" w:eastAsia="等线" w:cs="Arial"/>
          <w:b/>
          <w:sz w:val="32"/>
        </w:rPr>
        <w:t>3.2 接插件工艺规范</w:t>
      </w:r>
      <w:bookmarkEnd w:id="45"/>
    </w:p>
    <w:p w14:paraId="72B58994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RS485多股导线必须压冷压端子，禁止散丝直接接入端子，防止短路虚接；</w:t>
      </w:r>
    </w:p>
    <w:p w14:paraId="1EE0830F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水晶头不能仅看通断灯，必须测试串扰、回波损耗；</w:t>
      </w:r>
    </w:p>
    <w:p w14:paraId="0EDEFFAF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振动剧场环境接插件增加锁扣，线缆预留应力松弛，严禁硬拉拽。</w:t>
      </w:r>
    </w:p>
    <w:p w14:paraId="18885572">
      <w:pPr>
        <w:spacing w:before="320" w:after="120" w:line="288" w:lineRule="auto"/>
        <w:ind w:left="0"/>
        <w:jc w:val="left"/>
        <w:outlineLvl w:val="1"/>
      </w:pPr>
      <w:bookmarkStart w:id="46" w:name="heading_47"/>
      <w:r>
        <w:rPr>
          <w:rFonts w:ascii="Arial" w:hAnsi="Arial" w:eastAsia="等线" w:cs="Arial"/>
          <w:b/>
          <w:sz w:val="32"/>
        </w:rPr>
        <w:t>3.3 接地抗干扰补充禁忌 &amp; EMC电磁兼容敷设要求</w:t>
      </w:r>
      <w:bookmarkEnd w:id="46"/>
    </w:p>
    <w:p w14:paraId="1B9F0F42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DMX/485总线同样禁止多点接地，会引入工频干扰；</w:t>
      </w:r>
    </w:p>
    <w:p w14:paraId="21CB26CA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信号屏蔽层禁止接装饰浮动金属构件，仅接入保护地PE排；</w:t>
      </w:r>
    </w:p>
    <w:p w14:paraId="32D9517C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浮地隔离电源设备，外壳感应电单独接保护地，不可短接信号屏蔽层。</w:t>
      </w:r>
    </w:p>
    <w:p w14:paraId="78F8A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EMC电磁兼容敷设要求</w:t>
      </w:r>
    </w:p>
    <w:p w14:paraId="4684187D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变频器、动力调光线缆属于强干扰源，信号线缆避免与动力电缆长距离平行敷设；机柜内部强电、弱电分区走线，禁止同束捆绑。</w:t>
      </w:r>
    </w:p>
    <w:p w14:paraId="0AED93E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屏蔽层接地区分场景：</w:t>
      </w:r>
    </w:p>
    <w:p w14:paraId="532D91D3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模拟音频线缆：机房端单端接地，设备端屏蔽层悬空；</w:t>
      </w:r>
    </w:p>
    <w:p w14:paraId="1F0B8D44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DMX512 / RS485总线：屏蔽层仅控制端接地，末端设备屏蔽层悬空，禁止两端同时接地；</w:t>
      </w:r>
    </w:p>
    <w:p w14:paraId="07D4260A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屏蔽网线：机柜侧接地，远端设备屏蔽不要重复接地。</w:t>
      </w:r>
    </w:p>
    <w:p w14:paraId="6F04A964">
      <w:pPr>
        <w:spacing w:before="320" w:after="120" w:line="288" w:lineRule="auto"/>
        <w:ind w:left="0"/>
        <w:jc w:val="left"/>
        <w:outlineLvl w:val="1"/>
      </w:pPr>
      <w:bookmarkStart w:id="47" w:name="heading_48"/>
      <w:r>
        <w:rPr>
          <w:rFonts w:ascii="Arial" w:hAnsi="Arial" w:eastAsia="等线" w:cs="Arial"/>
          <w:b/>
          <w:sz w:val="32"/>
        </w:rPr>
        <w:t>3.4 线缆标识规范</w:t>
      </w:r>
      <w:bookmarkEnd w:id="47"/>
    </w:p>
    <w:p w14:paraId="152AD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线缆两端标签：源设备‑目标设备、线缆类型、唯一编号；机柜标签与竣工图纸点位一一对应，保障后期运维。可增加二维码标签，链接设备台账、拓扑图纸、历史故障记录。</w:t>
      </w:r>
    </w:p>
    <w:p w14:paraId="41E58C85">
      <w:pPr>
        <w:spacing w:before="320" w:after="120" w:line="288" w:lineRule="auto"/>
        <w:ind w:left="0"/>
        <w:jc w:val="left"/>
        <w:outlineLvl w:val="1"/>
      </w:pPr>
      <w:bookmarkStart w:id="48" w:name="heading_49"/>
      <w:r>
        <w:rPr>
          <w:rFonts w:ascii="Arial" w:hAnsi="Arial" w:eastAsia="等线" w:cs="Arial"/>
          <w:b/>
          <w:sz w:val="32"/>
        </w:rPr>
        <w:t>3.5 线缆最小弯曲半径强制要求</w:t>
      </w:r>
      <w:bookmarkEnd w:id="48"/>
    </w:p>
    <w:p w14:paraId="3CF038AF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HDMI2.0/2.1工程线缆最小弯曲半径≥线缆直径8倍；</w:t>
      </w:r>
    </w:p>
    <w:p w14:paraId="0364219E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光纤最小弯曲半径≥30mm；</w:t>
      </w:r>
    </w:p>
    <w:p w14:paraId="14EAE89F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HDBaseT线缆严禁硬折；装修封管前，完成通断、带宽全项测试，封管之后线缆故障无法更换。</w:t>
      </w:r>
    </w:p>
    <w:p w14:paraId="6D591FC5">
      <w:pPr>
        <w:spacing w:before="320" w:after="120" w:line="288" w:lineRule="auto"/>
        <w:ind w:left="0"/>
        <w:jc w:val="left"/>
        <w:outlineLvl w:val="1"/>
      </w:pPr>
      <w:bookmarkStart w:id="49" w:name="heading_50"/>
      <w:r>
        <w:rPr>
          <w:rFonts w:ascii="Arial" w:hAnsi="Arial" w:eastAsia="等线" w:cs="Arial"/>
          <w:b/>
          <w:sz w:val="32"/>
        </w:rPr>
        <w:t>3.6 光纤与SFP光模块施工工艺</w:t>
      </w:r>
      <w:bookmarkEnd w:id="49"/>
    </w:p>
    <w:p w14:paraId="345FFEC1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光模块必须成对匹配（多模/单模一一对应）；</w:t>
      </w:r>
    </w:p>
    <w:p w14:paraId="5BCC0F5A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施工完成后必须做光功率测试，记录光衰数值，归档进调试文档；</w:t>
      </w:r>
    </w:p>
    <w:p w14:paraId="5607185C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光纤端面做好防尘保护；机柜盘纤不可过小弯折；</w:t>
      </w:r>
    </w:p>
    <w:p w14:paraId="73FF7A9C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关注SFP光模块工作温度阈值，高温机柜增加散热；禁止光功率过高，光功率超标会直接烧毁光模块芯片。</w:t>
      </w:r>
    </w:p>
    <w:p w14:paraId="1A5F800B">
      <w:pPr>
        <w:spacing w:before="320" w:after="120" w:line="288" w:lineRule="auto"/>
        <w:ind w:left="0"/>
        <w:jc w:val="left"/>
        <w:outlineLvl w:val="1"/>
      </w:pPr>
      <w:bookmarkStart w:id="50" w:name="heading_51"/>
      <w:r>
        <w:rPr>
          <w:rFonts w:ascii="Arial" w:hAnsi="Arial" w:eastAsia="等线" w:cs="Arial"/>
          <w:b/>
          <w:sz w:val="32"/>
        </w:rPr>
        <w:t>3.7 振动剧场线缆选型</w:t>
      </w:r>
      <w:bookmarkEnd w:id="50"/>
    </w:p>
    <w:p w14:paraId="7B260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动感剧场、振动展项场景，运动部位线缆选用耐反复弯折抗疲劳线缆，普通线缆长期往复运动极易断线虚接。</w:t>
      </w:r>
    </w:p>
    <w:p w14:paraId="039A9E34">
      <w:pPr>
        <w:spacing w:before="320" w:after="120" w:line="288" w:lineRule="auto"/>
        <w:ind w:left="0"/>
        <w:jc w:val="left"/>
        <w:outlineLvl w:val="1"/>
      </w:pPr>
      <w:bookmarkStart w:id="51" w:name="heading_52"/>
      <w:r>
        <w:rPr>
          <w:rFonts w:ascii="Arial" w:hAnsi="Arial" w:eastAsia="等线" w:cs="Arial"/>
          <w:b/>
          <w:sz w:val="32"/>
        </w:rPr>
        <w:t>3.8 线缆进场检验与仓储保护</w:t>
      </w:r>
      <w:bookmarkEnd w:id="51"/>
    </w:p>
    <w:p w14:paraId="31D25C9B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线缆进场核对型号规格，抽样做性能测试；六类网线抽样做信道测试；屏蔽线缆检查屏蔽层完整性。铜包铝线缆直接拒收。</w:t>
      </w:r>
    </w:p>
    <w:p w14:paraId="752E1B28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线缆仓储避免露天堆放，禁止重压、泡水；已开卷线缆端头做防水密封。</w:t>
      </w:r>
    </w:p>
    <w:p w14:paraId="2C4F782F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装修封管、封吊顶之前，必须完成全链路测试报验，输出《预埋线缆测试记录》，签字确认后方可封管；封管后线缆故障由装修/分包承担。</w:t>
      </w:r>
    </w:p>
    <w:p w14:paraId="193CB3C5">
      <w:pPr>
        <w:spacing w:before="320" w:after="120" w:line="288" w:lineRule="auto"/>
        <w:ind w:left="0"/>
        <w:jc w:val="left"/>
        <w:outlineLvl w:val="1"/>
      </w:pPr>
      <w:bookmarkStart w:id="52" w:name="heading_53"/>
      <w:r>
        <w:rPr>
          <w:rFonts w:ascii="Arial" w:hAnsi="Arial" w:eastAsia="等线" w:cs="Arial"/>
          <w:b/>
          <w:sz w:val="32"/>
        </w:rPr>
        <w:t>3.9 展馆特殊环境线缆选型补充</w:t>
      </w:r>
      <w:bookmarkEnd w:id="52"/>
    </w:p>
    <w:p w14:paraId="7C31A90A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地下潮湿展馆：线缆选用防腐蚀外护套，接头禁止直接裸露在积水区域；</w:t>
      </w:r>
    </w:p>
    <w:p w14:paraId="486BB470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互动地幕地面线缆：选用耐碾压耐磨工业线缆，地面走线禁止普通软线直接裸露地面；</w:t>
      </w:r>
    </w:p>
    <w:p w14:paraId="0BF8DFE8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临展、可移动展项：全部使用耐弯折拖拽线缆，预留足够线缆行程余量。</w:t>
      </w:r>
    </w:p>
    <w:p w14:paraId="60EB8B78">
      <w:pPr>
        <w:spacing w:before="300" w:after="120" w:line="288" w:lineRule="auto"/>
        <w:ind w:left="0"/>
        <w:jc w:val="left"/>
        <w:outlineLvl w:val="2"/>
      </w:pPr>
      <w:bookmarkStart w:id="53" w:name="heading_54"/>
      <w:r>
        <w:rPr>
          <w:rFonts w:ascii="Arial" w:hAnsi="Arial" w:eastAsia="等线" w:cs="Arial"/>
          <w:b/>
          <w:sz w:val="30"/>
        </w:rPr>
        <w:t>3.10 临展可移动系统线缆工艺</w:t>
      </w:r>
      <w:bookmarkEnd w:id="53"/>
    </w:p>
    <w:p w14:paraId="52804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航空箱内部走线采用抗疲劳拖拽线缆，优先使用重载快速锁扣连接器；严格区分临时展会线缆和永久工程布线，禁止临时线缆直接用于永久展馆项目。</w:t>
      </w:r>
    </w:p>
    <w:p w14:paraId="3B228E9A">
      <w:pPr>
        <w:spacing w:before="320" w:after="120" w:line="288" w:lineRule="auto"/>
        <w:ind w:left="0"/>
        <w:jc w:val="left"/>
        <w:outlineLvl w:val="1"/>
      </w:pPr>
      <w:bookmarkStart w:id="54" w:name="heading_55"/>
      <w:r>
        <w:rPr>
          <w:rFonts w:ascii="Arial" w:hAnsi="Arial" w:eastAsia="等线" w:cs="Arial"/>
          <w:b/>
          <w:sz w:val="32"/>
        </w:rPr>
        <w:t>3.11 HSE现场安全总规则</w:t>
      </w:r>
      <w:bookmarkEnd w:id="54"/>
    </w:p>
    <w:p w14:paraId="126C5EEF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上电前确认漏电保护器正常；变频开关电源机柜选用B型漏保，避免A型漏保频繁误跳闸；机柜外壳对地电压≤5V，感应电必须做等电位；</w:t>
      </w:r>
    </w:p>
    <w:p w14:paraId="6AB72AFE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带电禁止插拔RS485、DMX、音频信号线，热插拔烧毁芯片；</w:t>
      </w:r>
    </w:p>
    <w:p w14:paraId="50C3F306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环境温度：设备工作环境0‑35℃；机柜内部≤45℃；低于0℃严禁上电；</w:t>
      </w:r>
    </w:p>
    <w:p w14:paraId="18250612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湿度＞85%RH禁止上电；凝露环境至少除湿4小时再上电；</w:t>
      </w:r>
    </w:p>
    <w:p w14:paraId="39B8F733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登高作业安全：脚手架、梯子作业，下方设置警戒隔离区；高空作业禁止带电插拔板卡模块。</w:t>
      </w:r>
    </w:p>
    <w:p w14:paraId="133ED490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机柜防倾倒：落地机柜必须做地面固定；机柜单侧集中堆放设备，防止重心偏移发生倾倒。</w:t>
      </w:r>
    </w:p>
    <w:p w14:paraId="03EDB4F8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激光光源防护：激光投影机、舞台激光灯调试，严禁人眼直视光源，现场张贴激光危险警示标识。</w:t>
      </w:r>
    </w:p>
    <w:p w14:paraId="47BD1848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有限空间作业（吊顶内、密闭设备箱体）：通风、气体检测，严格执行双人作业制度；</w:t>
      </w:r>
    </w:p>
    <w:p w14:paraId="1B9864F7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动火作业必须办理现场动火票，落实防火措施；</w:t>
      </w:r>
    </w:p>
    <w:p w14:paraId="1E3E6920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化学品管理：酒精、清洗剂远离高温、带电设备；</w:t>
      </w:r>
    </w:p>
    <w:p w14:paraId="70F3AAA1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作业人员劳保要求：登高作业佩戴防护用具，现场穿戴劳保鞋，涉及高压操作佩戴绝缘手套。</w:t>
      </w:r>
    </w:p>
    <w:p w14:paraId="204C7A05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临展临时用电安全：临展现场保障三相用电平衡；临时线缆做防护处理；分级配置漏电保护器；禁止私接多级排插串接供电。</w:t>
      </w:r>
    </w:p>
    <w:p w14:paraId="6F0A42A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F4BC86">
      <w:pPr>
        <w:spacing w:before="380" w:after="140" w:line="288" w:lineRule="auto"/>
        <w:ind w:left="0"/>
        <w:jc w:val="left"/>
        <w:outlineLvl w:val="0"/>
      </w:pPr>
      <w:bookmarkStart w:id="55" w:name="heading_56"/>
      <w:r>
        <w:rPr>
          <w:rFonts w:ascii="Arial" w:hAnsi="Arial" w:eastAsia="等线" w:cs="Arial"/>
          <w:b/>
          <w:sz w:val="36"/>
        </w:rPr>
        <w:t>4. 硬件系统模块调试｜底层参数+实操步骤+故障根治+国标阈值</w:t>
      </w:r>
      <w:bookmarkEnd w:id="55"/>
    </w:p>
    <w:p w14:paraId="09A26193">
      <w:pPr>
        <w:spacing w:before="320" w:after="120" w:line="288" w:lineRule="auto"/>
        <w:ind w:left="0"/>
        <w:jc w:val="left"/>
        <w:outlineLvl w:val="1"/>
      </w:pPr>
      <w:bookmarkStart w:id="56" w:name="heading_57"/>
      <w:r>
        <w:rPr>
          <w:rFonts w:ascii="Arial" w:hAnsi="Arial" w:eastAsia="等线" w:cs="Arial"/>
          <w:b/>
          <w:sz w:val="32"/>
        </w:rPr>
        <w:t>4.1 LED显示屏｜原厂底层参数+实操调试+校准+故障根治</w:t>
      </w:r>
      <w:bookmarkEnd w:id="56"/>
    </w:p>
    <w:p w14:paraId="4F99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实操工具：500V兆欧表、高精度万用表、扭力螺丝刀、水平尺、导通测试仪、校色仪</w:t>
      </w:r>
    </w:p>
    <w:p w14:paraId="1F7BFB8F">
      <w:pPr>
        <w:spacing w:before="300" w:after="120" w:line="288" w:lineRule="auto"/>
        <w:ind w:left="0"/>
        <w:jc w:val="left"/>
        <w:outlineLvl w:val="2"/>
      </w:pPr>
      <w:bookmarkStart w:id="57" w:name="heading_58"/>
      <w:r>
        <w:rPr>
          <w:rFonts w:ascii="Arial" w:hAnsi="Arial" w:eastAsia="等线" w:cs="Arial"/>
          <w:b/>
          <w:sz w:val="30"/>
        </w:rPr>
        <w:t>上电前电气精密检测</w:t>
      </w:r>
      <w:bookmarkEnd w:id="57"/>
    </w:p>
    <w:p w14:paraId="1DE91574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模组检查：扭力螺丝刀统一0.3N·m紧固模组螺丝；磁吸模组间隙≤0.05mm；灯珠无虚焊、PCB无发黑；清理灯面灰尘胶渍。</w:t>
      </w:r>
    </w:p>
    <w:p w14:paraId="54777F9B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电源检测：空载输出5.00V‑5.15V；满负荷点亮30min复测压降≤0.2V，瞬时最低电压≥4.85V。</w:t>
      </w:r>
    </w:p>
    <w:p w14:paraId="13D37AC6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排线网线：HUB75黑线对齐GND脚；排线导通电阻≤0.5Ω；网线T568B压制，串扰≤20dB，回波损耗≥10dB。</w:t>
      </w:r>
    </w:p>
    <w:p w14:paraId="2BB1DD40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绝缘接地：柜体接地电阻≤1Ω；悬浮金属件全部接地。</w:t>
      </w:r>
    </w:p>
    <w:p w14:paraId="2CD0DDEE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环境：温度＜0℃先预热至5℃以上上电；湿度＞85%RH先除湿，防止凝露短路。</w:t>
      </w:r>
    </w:p>
    <w:p w14:paraId="2C9EA37E">
      <w:pPr>
        <w:spacing w:before="300" w:after="120" w:line="288" w:lineRule="auto"/>
        <w:ind w:left="0"/>
        <w:jc w:val="left"/>
        <w:outlineLvl w:val="2"/>
      </w:pPr>
      <w:bookmarkStart w:id="58" w:name="heading_59"/>
      <w:r>
        <w:rPr>
          <w:rFonts w:ascii="Arial" w:hAnsi="Arial" w:eastAsia="等线" w:cs="Arial"/>
          <w:b/>
          <w:sz w:val="30"/>
        </w:rPr>
        <w:t>软件固化硬核参数</w:t>
      </w:r>
      <w:bookmarkEnd w:id="5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C1B8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C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屏体类型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A4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亮度设置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B6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93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色彩关键配置</w:t>
            </w:r>
          </w:p>
        </w:tc>
      </w:tr>
      <w:tr w14:paraId="3B5AA5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75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室内P1.2/P1.5/P1.8常规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B0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850cd/㎡容差±3%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50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BE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Gamma2.2，D65 6500K</w:t>
            </w:r>
          </w:p>
        </w:tc>
      </w:tr>
      <w:tr w14:paraId="71CF42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04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逆光靠窗展厅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9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1400cd/㎡关闭自动亮度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3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D9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亮度均匀容差≤2%</w:t>
            </w:r>
          </w:p>
        </w:tc>
      </w:tr>
      <w:tr w14:paraId="677E7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3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影视直播级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A3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1200cd/㎡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23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3840Hz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8D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频闪深度≤1.2%，△E≤0.5</w:t>
            </w:r>
          </w:p>
        </w:tc>
      </w:tr>
      <w:tr w14:paraId="0A9674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FC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COB微间距P0.9/P1.2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FF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700cd/㎡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C3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开启低亮高灰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FA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保障10‑500cd/㎡无灰阶断层</w:t>
            </w:r>
          </w:p>
        </w:tc>
      </w:tr>
      <w:tr w14:paraId="15BC6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1C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户外常规屏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5A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5500cd/㎡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24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C0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白天高亮夜间定时降亮</w:t>
            </w:r>
          </w:p>
        </w:tc>
      </w:tr>
    </w:tbl>
    <w:p w14:paraId="315E1449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Gamma：展厅2.20±0.02；暗场沉浸式2.4；高亮大屏2.0；</w:t>
      </w:r>
    </w:p>
    <w:p w14:paraId="0967F19A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色温：标准D65‑6500K(±200K)；文物展厅4500K；沉浸式2700‑9300K；</w:t>
      </w:r>
    </w:p>
    <w:p w14:paraId="01922412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灰度：高端项目开启16bit，常规14bit；</w:t>
      </w:r>
    </w:p>
    <w:p w14:paraId="37709AA1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色准：常规△E≤1.5；高端△E≤0.8；影视级△E≤0.5。</w:t>
      </w:r>
    </w:p>
    <w:p w14:paraId="697C596F">
      <w:pPr>
        <w:spacing w:before="300" w:after="120" w:line="288" w:lineRule="auto"/>
        <w:ind w:left="0"/>
        <w:jc w:val="left"/>
        <w:outlineLvl w:val="2"/>
      </w:pPr>
      <w:bookmarkStart w:id="59" w:name="heading_60"/>
      <w:r>
        <w:rPr>
          <w:rFonts w:ascii="Arial" w:hAnsi="Arial" w:eastAsia="等线" w:cs="Arial"/>
          <w:b/>
          <w:sz w:val="30"/>
        </w:rPr>
        <w:t>板卡带载极限（严禁超配）</w:t>
      </w:r>
      <w:bookmarkEnd w:id="59"/>
    </w:p>
    <w:p w14:paraId="62A6DF51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普通画质模式：最大256万像素，行频≤65kHz</w:t>
      </w:r>
    </w:p>
    <w:p w14:paraId="00EE8EA9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高刷3840Hz模式：上限192万像素</w:t>
      </w:r>
    </w:p>
    <w:p w14:paraId="15340B0A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低亮高灰模式：上限160万像素</w:t>
      </w:r>
    </w:p>
    <w:p w14:paraId="23282F5E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网口：千兆130万像素；万兆800万像素；带载冗余≥20%</w:t>
      </w:r>
    </w:p>
    <w:p w14:paraId="31D56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拓扑实操步骤</w:t>
      </w:r>
    </w:p>
    <w:p w14:paraId="457A2B8B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上电预热60s等待固件自检；读取硬件信息、驱动IC、扫描次数。</w:t>
      </w:r>
    </w:p>
    <w:p w14:paraId="5B2888F2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使用原厂拓扑，禁止混用通用拓扑。</w:t>
      </w:r>
    </w:p>
    <w:p w14:paraId="7AB121D0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导入拓扑，映射端口，锁定扫描频率下发接收卡。</w:t>
      </w:r>
    </w:p>
    <w:p w14:paraId="25E68A6E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加载16/256级灰度图，确认无断层闪屏。</w:t>
      </w:r>
    </w:p>
    <w:p w14:paraId="6B90F18C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U盘备份全部板卡参数存档。</w:t>
      </w:r>
    </w:p>
    <w:p w14:paraId="2DC60071">
      <w:pPr>
        <w:spacing w:before="300" w:after="120" w:line="288" w:lineRule="auto"/>
        <w:ind w:left="0"/>
        <w:jc w:val="left"/>
        <w:outlineLvl w:val="2"/>
      </w:pPr>
      <w:bookmarkStart w:id="60" w:name="heading_61"/>
      <w:r>
        <w:rPr>
          <w:rFonts w:ascii="Arial" w:hAnsi="Arial" w:eastAsia="等线" w:cs="Arial"/>
          <w:b/>
          <w:sz w:val="30"/>
        </w:rPr>
        <w:t>逐点校色工业流程（对标GB/T23954‑2021）</w:t>
      </w:r>
      <w:bookmarkEnd w:id="60"/>
    </w:p>
    <w:p w14:paraId="47D4BA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前置条件：环境恒温25℃±2℃，屏体预热300s消除温漂；校色仪精度≤0.01cd/㎡。</w:t>
      </w:r>
    </w:p>
    <w:p w14:paraId="6D2EF3DF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黑场采集暗色差底噪；</w:t>
      </w:r>
    </w:p>
    <w:p w14:paraId="7BECA6B0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20%/50%/80%三阶亮度采集全域数据；</w:t>
      </w:r>
    </w:p>
    <w:p w14:paraId="73EEB9F3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RGB三通道独立校准，单通道误差≤0.5%；</w:t>
      </w:r>
    </w:p>
    <w:p w14:paraId="677FDA54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Cx/Cy色度坐标全局偏差≤±0.0015；</w:t>
      </w:r>
    </w:p>
    <w:p w14:paraId="58EE4162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校正数据固化到接收卡Flash；</w:t>
      </w:r>
    </w:p>
    <w:p w14:paraId="5218E26D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72h老化复测，色差漂移≤0.3△E合格。</w:t>
      </w:r>
    </w:p>
    <w:p w14:paraId="60CC2D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国标验收阈值：亮度均匀性≥97%；单点偏差≤3%；拼接平整度≤0.1mm；缝隙≤0.05mm；满负荷温升≤35K；表面温度≤60℃。</w:t>
      </w:r>
    </w:p>
    <w:p w14:paraId="196D25F4">
      <w:pPr>
        <w:spacing w:before="300" w:after="120" w:line="288" w:lineRule="auto"/>
        <w:ind w:left="0"/>
        <w:jc w:val="left"/>
        <w:outlineLvl w:val="2"/>
      </w:pPr>
      <w:bookmarkStart w:id="61" w:name="heading_62"/>
      <w:r>
        <w:rPr>
          <w:rFonts w:ascii="Arial" w:hAnsi="Arial" w:eastAsia="等线" w:cs="Arial"/>
          <w:b/>
          <w:sz w:val="30"/>
        </w:rPr>
        <w:t>LED高频故障根治</w:t>
      </w:r>
      <w:bookmarkEnd w:id="61"/>
    </w:p>
    <w:p w14:paraId="4B3C5806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低亮灰度断层：开启16bit；锁定3840Hz；关闭自动节能；固化Gamma2.2；加载低亮高灰校准文件重启。</w:t>
      </w:r>
    </w:p>
    <w:p w14:paraId="489F0930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全屏细微横纹干扰：接地电阻≤1Ω；音频/485线缆和电源线物理分隔≥30cm；更换屏蔽网线；关闭板卡变频调压。</w:t>
      </w:r>
    </w:p>
    <w:p w14:paraId="231F2C60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模组批次色差：禁止单模组调参；恢复出厂，全域重新逐点校色固化。</w:t>
      </w:r>
    </w:p>
    <w:p w14:paraId="7734D518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温漂色差：开启板卡温度采样，5℃梯度色彩增益补偿，运行30min复测。</w:t>
      </w:r>
    </w:p>
    <w:p w14:paraId="4313D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COB微间距屏特有注意事项</w:t>
      </w:r>
    </w:p>
    <w:p w14:paraId="3C93D305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胶体不可硬物磕碰，磕碰损伤不可逆；禁止硬物直接接触灯面；</w:t>
      </w:r>
    </w:p>
    <w:p w14:paraId="66015F15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高湿环境重点防范凝露水汽侵入；</w:t>
      </w:r>
    </w:p>
    <w:p w14:paraId="409FA3AC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长期高温运行会出现胶体发黄老化，运维巡检增加目视检查胶体状态。</w:t>
      </w:r>
    </w:p>
    <w:p w14:paraId="12663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异形曲面LED专项调试补充</w:t>
      </w:r>
    </w:p>
    <w:p w14:paraId="3C6B3B8C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曲面模组严格管控曲率公差；弧形屏会产生可视角度衰减，不同观看位置出现亮度色差，校色需要兼顾正面、侧面主要观看点位。</w:t>
      </w:r>
    </w:p>
    <w:p w14:paraId="04D4D546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异形屏不可直接套用标准矩形拓扑，像素带载需要重新核算，禁止直接复用矩形屏带载参数。</w:t>
      </w:r>
    </w:p>
    <w:p w14:paraId="6AC20A71">
      <w:pPr>
        <w:spacing w:before="320" w:after="120" w:line="288" w:lineRule="auto"/>
        <w:ind w:left="0"/>
        <w:jc w:val="left"/>
        <w:outlineLvl w:val="1"/>
      </w:pPr>
      <w:bookmarkStart w:id="62" w:name="heading_63"/>
      <w:r>
        <w:rPr>
          <w:rFonts w:ascii="Arial" w:hAnsi="Arial" w:eastAsia="等线" w:cs="Arial"/>
          <w:b/>
          <w:sz w:val="32"/>
        </w:rPr>
        <w:t>4.2 投影融合｜光学参数+像素级校准</w:t>
      </w:r>
      <w:bookmarkEnd w:id="62"/>
    </w:p>
    <w:p w14:paraId="7EA52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工具：亮度检测仪、色差仪、帧同步测试仪、像素测试图</w:t>
      </w:r>
    </w:p>
    <w:p w14:paraId="3279BDA1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投影机基础参数：ANSI实测亮度与标称偏差≤5%；黑场亮度≤0.3ANSI流明，原生对比度≥3000:1；Rec.709覆盖率≥96%、10bit色深；镜头位移后画质衰减≤5%；激光光源20000h亮度衰减≤30%。</w:t>
      </w:r>
    </w:p>
    <w:p w14:paraId="254A2FD1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融合带：平面8‑12%；曲面12‑18%；穹顶异形≤20%，严禁＞25%；矫正网格：平面32×32，曲面64×64，穹顶128×128。</w:t>
      </w:r>
    </w:p>
    <w:p w14:paraId="24174171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帧同步：硬件帧同步器，演艺级帧差≤0.2ms，普通项目≤0.5ms。</w:t>
      </w:r>
    </w:p>
    <w:p w14:paraId="646BF9F0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多机色彩统一：△E≤1.0，亮度偏差≤2%，Gamma偏差≤0.05；线性羽化平滑度≥99%。</w:t>
      </w:r>
    </w:p>
    <w:p w14:paraId="5D49E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实操流程：统一单台时序输出→硬件全局锁相时钟→网格形变矫正→亚像素重叠带对位→三阶亮度增益统一→RGB/Gamma校准→播放高速视频验证无撕裂拖影，固化参数。</w:t>
      </w:r>
    </w:p>
    <w:p w14:paraId="05D9A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补充幕布校验：融合效果不达标，需要优先核查幕布增益、半增益角度；幕布光学指标缺陷，无法依靠投影机与融合软件调试弥补，方案阶段确认幕布选型参数。</w:t>
      </w:r>
    </w:p>
    <w:p w14:paraId="2023129C">
      <w:pPr>
        <w:spacing w:before="320" w:after="120" w:line="288" w:lineRule="auto"/>
        <w:ind w:left="0"/>
        <w:jc w:val="left"/>
        <w:outlineLvl w:val="1"/>
      </w:pPr>
      <w:bookmarkStart w:id="63" w:name="heading_64"/>
      <w:r>
        <w:rPr>
          <w:rFonts w:ascii="Arial" w:hAnsi="Arial" w:eastAsia="等线" w:cs="Arial"/>
          <w:b/>
          <w:sz w:val="32"/>
        </w:rPr>
        <w:t>4.3 音视频信号｜EDID固化+传输链路调试</w:t>
      </w:r>
      <w:bookmarkEnd w:id="63"/>
    </w:p>
    <w:p w14:paraId="53D83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工具：EDID读写器、码率分析仪、网络测线仪</w:t>
      </w:r>
    </w:p>
    <w:p w14:paraId="5E92F950">
      <w:pPr>
        <w:spacing w:before="300" w:after="120" w:line="288" w:lineRule="auto"/>
        <w:ind w:left="0"/>
        <w:jc w:val="left"/>
        <w:outlineLvl w:val="2"/>
      </w:pPr>
      <w:bookmarkStart w:id="64" w:name="heading_65"/>
      <w:r>
        <w:rPr>
          <w:rFonts w:ascii="Arial" w:hAnsi="Arial" w:eastAsia="等线" w:cs="Arial"/>
          <w:b/>
          <w:sz w:val="30"/>
        </w:rPr>
        <w:t>EDID固化（解决黑屏花屏分辨率跳转）</w:t>
      </w:r>
      <w:bookmarkEnd w:id="64"/>
    </w:p>
    <w:p w14:paraId="270A1858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1080P：1920×1080@60Hz 8bit RGB，像素时钟148.5MHz；</w:t>
      </w:r>
    </w:p>
    <w:p w14:paraId="00C4C212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4K‑60：3840×2160@60Hz 4:4:4 10bit，像素时钟594MHz，HDCP2.2开启。</w:t>
      </w:r>
    </w:p>
    <w:p w14:paraId="49ED9A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实操：读取原生EDID，删除非标时序；写入寄存器锁定；断电重启+热插拔10次验证稳定性。</w:t>
      </w:r>
    </w:p>
    <w:p w14:paraId="6259DE34">
      <w:pPr>
        <w:spacing w:before="300" w:after="120" w:line="288" w:lineRule="auto"/>
        <w:ind w:left="0"/>
        <w:jc w:val="left"/>
        <w:outlineLvl w:val="2"/>
      </w:pPr>
      <w:bookmarkStart w:id="65" w:name="heading_66"/>
      <w:r>
        <w:rPr>
          <w:rFonts w:ascii="Arial" w:hAnsi="Arial" w:eastAsia="等线" w:cs="Arial"/>
          <w:b/>
          <w:sz w:val="30"/>
        </w:rPr>
        <w:t>链路传输阈值</w:t>
      </w:r>
      <w:bookmarkEnd w:id="6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2CF5D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0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链路类型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10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传输距离上限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5F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关键指标</w:t>
            </w:r>
          </w:p>
        </w:tc>
      </w:tr>
      <w:tr w14:paraId="369C01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E4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超五类网线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AA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1080P60 ≤30m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49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差分阻抗100Ω±10Ω</w:t>
            </w:r>
          </w:p>
        </w:tc>
      </w:tr>
      <w:tr w14:paraId="75A227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DA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六类网线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89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4K60‑4:4:4 ≤100m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5D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串扰衰减≤32dB</w:t>
            </w:r>
          </w:p>
        </w:tc>
      </w:tr>
      <w:tr w14:paraId="686C92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7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HDBaseT2.0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4C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4K60无压缩100m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1A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延迟≤1ms带宽18Gbps</w:t>
            </w:r>
          </w:p>
        </w:tc>
      </w:tr>
      <w:tr w14:paraId="46C2E1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D6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分布式H.265编码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4C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网络传输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8A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1080P码率6Mbps；4K25Mbps CBR；总延迟≤20ms</w:t>
            </w:r>
          </w:p>
        </w:tc>
      </w:tr>
      <w:tr w14:paraId="35320B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AA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万兆多模OM3光纤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3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33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光衰≤‑12dB~‑1dB</w:t>
            </w:r>
          </w:p>
        </w:tc>
      </w:tr>
      <w:tr w14:paraId="19C46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60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万兆单模OS2光纤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5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10km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61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光衰≤‑18dB~‑3dB</w:t>
            </w:r>
          </w:p>
        </w:tc>
      </w:tr>
    </w:tbl>
    <w:p w14:paraId="1948DB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测试：4K视频持续播放30min，无丢帧撕裂为合格；光纤链路必须留存光功率测试记录。</w:t>
      </w:r>
    </w:p>
    <w:p w14:paraId="604B7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调试安全提示：大功率功放、LED开关电源断电后内部电容存储残余电压；断电后等待5‑10分钟，待电容充分放电，再拆机插拔板卡、接线，防止触电。</w:t>
      </w:r>
    </w:p>
    <w:p w14:paraId="70C133B8">
      <w:pPr>
        <w:spacing w:before="320" w:after="120" w:line="288" w:lineRule="auto"/>
        <w:ind w:left="0"/>
        <w:jc w:val="left"/>
        <w:outlineLvl w:val="1"/>
      </w:pPr>
      <w:bookmarkStart w:id="66" w:name="heading_67"/>
      <w:r>
        <w:rPr>
          <w:rFonts w:ascii="Arial" w:hAnsi="Arial" w:eastAsia="等线" w:cs="Arial"/>
          <w:b/>
          <w:sz w:val="32"/>
        </w:rPr>
        <w:t>4.4 音频DSP｜声学参数+相位校准（GB50371‑2016）</w:t>
      </w:r>
      <w:bookmarkEnd w:id="66"/>
    </w:p>
    <w:p w14:paraId="2215D7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工具：声级计、粉红噪声发生器、相位仪</w:t>
      </w:r>
    </w:p>
    <w:p w14:paraId="5A8615AA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采样规格：48kHz/24bit，量化噪声≤‑110dBFS；</w:t>
      </w:r>
    </w:p>
    <w:p w14:paraId="10856AD4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频响：语言扩声125Hz‑8kHz ±3dB；演艺全频60‑16kHz ±3dB；</w:t>
      </w:r>
    </w:p>
    <w:p w14:paraId="7B24FC86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失真：额定功率THD≤0.8%；1/3功率THD≤0.3%；</w:t>
      </w:r>
    </w:p>
    <w:p w14:paraId="41915803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声学指标：STI语言清晰度≥0.62；本底噪声≤35dB(A)；工作声压85‑90dB(A)。</w:t>
      </w:r>
    </w:p>
    <w:p w14:paraId="66767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DSP软件固定配置：</w:t>
      </w:r>
    </w:p>
    <w:p w14:paraId="556792C5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滤波：80Hz二阶巴特沃斯高通、16kHz二阶低通‑12dB/OCT；</w:t>
      </w:r>
    </w:p>
    <w:p w14:paraId="73820134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延时：0.1ms步进校准，全场声时差≤10ms，音视频唇同步≤40ms；</w:t>
      </w:r>
    </w:p>
    <w:p w14:paraId="3497DD07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压限：阈值‑6dB，比率4:1，启动2ms，释放100ms；</w:t>
      </w:r>
    </w:p>
    <w:p w14:paraId="112DFBA5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AEC回声消除，NR降噪深度15dB；音箱相位偏差≤5°。</w:t>
      </w:r>
    </w:p>
    <w:p w14:paraId="389678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补充啸叫抑制调试：开启啸叫抑制功能，区分声学反馈啸叫与地环路电路噪声；啸叫抑制不可过度开启，避免损伤音质。</w:t>
      </w:r>
    </w:p>
    <w:p w14:paraId="6BA13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调试步骤：功放空载，输入粉红噪声；单路音量平衡；相位校验；声场延时校准；EQ找平+压限保护，固化参数。</w:t>
      </w:r>
    </w:p>
    <w:p w14:paraId="604BF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地环路电流噪声根治</w:t>
      </w:r>
    </w:p>
    <w:p w14:paraId="79D276D9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音频屏蔽线仅机房端接地，设备端屏蔽层悬空；</w:t>
      </w:r>
    </w:p>
    <w:p w14:paraId="2D590D1F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强弱电管线间距≥30cm，禁止平行捆绑；</w:t>
      </w:r>
    </w:p>
    <w:p w14:paraId="078C2F5F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必要加装600Ω音频隔离器；</w:t>
      </w:r>
    </w:p>
    <w:p w14:paraId="05BA70A9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接地电阻≤1Ω；静音通道本底噪声≤‑85dBFS。</w:t>
      </w:r>
    </w:p>
    <w:p w14:paraId="2C459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功放保护机制说明：功放保护包含过流保护、过热保护、直流偏移保护、输出短路保护。现场触发功放保护，禁止反复上电重启；优先排查音箱接线短路、多只音箱并联后总阻抗过低。</w:t>
      </w:r>
    </w:p>
    <w:p w14:paraId="37373382">
      <w:pPr>
        <w:spacing w:before="320" w:after="120" w:line="288" w:lineRule="auto"/>
        <w:ind w:left="0"/>
        <w:jc w:val="left"/>
        <w:outlineLvl w:val="1"/>
      </w:pPr>
      <w:bookmarkStart w:id="67" w:name="heading_68"/>
      <w:r>
        <w:rPr>
          <w:rFonts w:ascii="Arial" w:hAnsi="Arial" w:eastAsia="等线" w:cs="Arial"/>
          <w:b/>
          <w:sz w:val="32"/>
        </w:rPr>
        <w:t>4.5 灯光DMX512‑A / ArtNet / sACN（GB/T36440‑2018）</w:t>
      </w:r>
      <w:bookmarkEnd w:id="67"/>
    </w:p>
    <w:p w14:paraId="6DE85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工具：DMX信号测试仪、120Ω精密终端电阻</w:t>
      </w:r>
    </w:p>
    <w:p w14:paraId="3958A3CA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DMX总线参数：速率250kbps；帧周期44μs；单总线最多32台设备，末端必须接120Ω终端电阻；传输距离≤1200m，线缆压降≤0.5V。</w:t>
      </w:r>
    </w:p>
    <w:p w14:paraId="3A5BFEB0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通道定义：RGB(CH1R‑CH2G‑CH3B)；RGBW增加CH4冷白；RGBAW支持色温2700‑6500K。</w:t>
      </w:r>
    </w:p>
    <w:p w14:paraId="272A77D4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ArtNet/sACN组网实操：</w:t>
      </w:r>
    </w:p>
    <w:p w14:paraId="759D5BE0">
      <w:pPr>
        <w:numPr>
          <w:ilvl w:val="0"/>
          <w:numId w:val="1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灯光独立VLAN30，与视频中控物理隔离；</w:t>
      </w:r>
    </w:p>
    <w:p w14:paraId="273302E6">
      <w:pPr>
        <w:numPr>
          <w:ilvl w:val="0"/>
          <w:numId w:val="1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ArtNet3，单子网4个DMX宇宙；sACN优先级100；</w:t>
      </w:r>
    </w:p>
    <w:p w14:paraId="661D6981">
      <w:pPr>
        <w:numPr>
          <w:ilvl w:val="0"/>
          <w:numId w:val="1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PTP时钟同步，音光画联动延迟≤10ms；测试无丢包乱闪。</w:t>
      </w:r>
    </w:p>
    <w:p w14:paraId="34180E89">
      <w:pPr>
        <w:spacing w:before="320" w:after="120" w:line="288" w:lineRule="auto"/>
        <w:ind w:left="0"/>
        <w:jc w:val="left"/>
        <w:outlineLvl w:val="1"/>
      </w:pPr>
      <w:bookmarkStart w:id="68" w:name="heading_69"/>
      <w:r>
        <w:rPr>
          <w:rFonts w:ascii="Arial" w:hAnsi="Arial" w:eastAsia="等线" w:cs="Arial"/>
          <w:b/>
          <w:sz w:val="32"/>
        </w:rPr>
        <w:t>4.6 中控系统｜串口/TCP、时序逻辑</w:t>
      </w:r>
      <w:bookmarkEnd w:id="68"/>
    </w:p>
    <w:p w14:paraId="2339E28A">
      <w:pPr>
        <w:spacing w:before="300" w:after="120" w:line="288" w:lineRule="auto"/>
        <w:ind w:left="0"/>
        <w:jc w:val="left"/>
        <w:outlineLvl w:val="2"/>
      </w:pPr>
      <w:bookmarkStart w:id="69" w:name="heading_70"/>
      <w:r>
        <w:rPr>
          <w:rFonts w:ascii="Arial" w:hAnsi="Arial" w:eastAsia="等线" w:cs="Arial"/>
          <w:b/>
          <w:sz w:val="30"/>
        </w:rPr>
        <w:t>RS232/RS485串口</w:t>
      </w:r>
      <w:bookmarkEnd w:id="69"/>
    </w:p>
    <w:p w14:paraId="2760DB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默认：9600bps‑8N1；RS232距离≤15m；RS485总线≤1200m最多32节点；Modbus从站1‑247不重复，轮询周期≥100ms。</w:t>
      </w:r>
    </w:p>
    <w:p w14:paraId="7B274C7C">
      <w:pPr>
        <w:spacing w:before="300" w:after="120" w:line="288" w:lineRule="auto"/>
        <w:ind w:left="0"/>
        <w:jc w:val="left"/>
        <w:outlineLvl w:val="2"/>
      </w:pPr>
      <w:bookmarkStart w:id="70" w:name="heading_71"/>
      <w:r>
        <w:rPr>
          <w:rFonts w:ascii="Arial" w:hAnsi="Arial" w:eastAsia="等线" w:cs="Arial"/>
          <w:b/>
          <w:sz w:val="30"/>
        </w:rPr>
        <w:t>TCP网络参数</w:t>
      </w:r>
      <w:bookmarkEnd w:id="70"/>
    </w:p>
    <w:p w14:paraId="02D4C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心跳3s周期；500ms无应答判定离线；3次重发间隔100ms；断线2s自动重连。</w:t>
      </w:r>
    </w:p>
    <w:p w14:paraId="1668B42C">
      <w:pPr>
        <w:spacing w:before="300" w:after="120" w:line="288" w:lineRule="auto"/>
        <w:ind w:left="0"/>
        <w:jc w:val="left"/>
        <w:outlineLvl w:val="2"/>
      </w:pPr>
      <w:bookmarkStart w:id="71" w:name="heading_72"/>
      <w:r>
        <w:rPr>
          <w:rFonts w:ascii="Arial" w:hAnsi="Arial" w:eastAsia="等线" w:cs="Arial"/>
          <w:b/>
          <w:sz w:val="30"/>
        </w:rPr>
        <w:t>上电/下电时序（抑制浪涌冲击）</w:t>
      </w:r>
      <w:bookmarkEnd w:id="71"/>
    </w:p>
    <w:p w14:paraId="51CB3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开机：中控上电→2s→时序电源全开→2500ms→大屏启动→2500ms视频设备→2500ms音频灯光。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关机：关闭互动灯光→延时3500ms音频断电→3500ms关闭视频大屏→切断总电源。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时序电源单路负载≤10A，总负载不超过额定80%；禁止多个大功率设备集中同一回路。</w:t>
      </w:r>
    </w:p>
    <w:p w14:paraId="28A5903E">
      <w:pPr>
        <w:spacing w:before="320" w:after="120" w:line="288" w:lineRule="auto"/>
        <w:ind w:left="0"/>
        <w:jc w:val="left"/>
        <w:outlineLvl w:val="1"/>
      </w:pPr>
      <w:bookmarkStart w:id="72" w:name="heading_73"/>
      <w:r>
        <w:rPr>
          <w:rFonts w:ascii="Arial" w:hAnsi="Arial" w:eastAsia="等线" w:cs="Arial"/>
          <w:b/>
          <w:sz w:val="32"/>
        </w:rPr>
        <w:t>4.7 网络交换机配置｜三网VLAN隔离</w:t>
      </w:r>
      <w:bookmarkEnd w:id="7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7FDCB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18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E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2F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5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关键配置</w:t>
            </w:r>
          </w:p>
        </w:tc>
      </w:tr>
      <w:tr w14:paraId="21E99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59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8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192.168.10.0/24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4D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FC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关闭组播，带宽限制100Mbps</w:t>
            </w:r>
          </w:p>
        </w:tc>
      </w:tr>
      <w:tr w14:paraId="53C0FD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6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69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192.168.20.0/24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C8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流媒体大屏解码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9A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IGMP‑Snooping v3，TTL=2</w:t>
            </w:r>
          </w:p>
        </w:tc>
      </w:tr>
      <w:tr w14:paraId="7A1D09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8F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VLAN30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A2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192.168.30.0/24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3E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灯光网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12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巨型帧9216Byte，抑制广播风暴</w:t>
            </w:r>
          </w:p>
        </w:tc>
      </w:tr>
    </w:tbl>
    <w:p w14:paraId="7BA7B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交换机必配项：</w:t>
      </w:r>
    </w:p>
    <w:p w14:paraId="7F6CEF32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IGMP查询周期60s，最大响应10s，老化130s；指定唯一IGMP查询器，防止多查询器组播乱跳；</w:t>
      </w:r>
    </w:p>
    <w:p w14:paraId="5D785033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广播风暴抑制：广播100pps，组播500pps；</w:t>
      </w:r>
    </w:p>
    <w:p w14:paraId="0BC164EC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端口带宽预留30%；</w:t>
      </w:r>
    </w:p>
    <w:p w14:paraId="48359233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PoE区分af/at模式，过流保护35W；</w:t>
      </w:r>
    </w:p>
    <w:p w14:paraId="2EF7151F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关闭闲置端口；</w:t>
      </w:r>
      <w:r>
        <w:rPr>
          <w:rFonts w:ascii="Arial" w:hAnsi="Arial" w:eastAsia="等线" w:cs="Arial"/>
          <w:b/>
          <w:sz w:val="22"/>
        </w:rPr>
        <w:t>关闭EEE绿色节能（解决随机闪断隐性故障）</w:t>
      </w:r>
      <w:r>
        <w:rPr>
          <w:rFonts w:ascii="Arial" w:hAnsi="Arial" w:eastAsia="等线" w:cs="Arial"/>
          <w:sz w:val="22"/>
        </w:rPr>
        <w:t>。</w:t>
      </w:r>
    </w:p>
    <w:p w14:paraId="3EA64D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网络安全补充：内网与外网物理隔离；远程运维使用堡垒机，禁止端口映射；修改全部设备默认账号密码，关闭Telnet，优先SSH。</w:t>
      </w:r>
    </w:p>
    <w:p w14:paraId="33A3F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远程运维安全强制约束：</w:t>
      </w:r>
    </w:p>
    <w:p w14:paraId="72B6A948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禁止公网直接端口映射内网设备；运维仅使用堡垒机；</w:t>
      </w:r>
    </w:p>
    <w:p w14:paraId="6E399EF4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所有远程会话日志完整留存；</w:t>
      </w:r>
    </w:p>
    <w:p w14:paraId="28DFA5BC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远程操作前必须获得甲方书面或者口头授权；</w:t>
      </w:r>
    </w:p>
    <w:p w14:paraId="0F34934E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远程通道使用完毕立刻断开，不长期开放。</w:t>
      </w:r>
    </w:p>
    <w:p w14:paraId="3BDF2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时钟同步：普通联动内网NTP；演艺微秒级联动使用IEEE1588‑PTP；NTP服务器故障设备维持本地时间继续业务，不可直接停机。</w:t>
      </w:r>
    </w:p>
    <w:p w14:paraId="3AF9F7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补充无线Wi‑Fi/蓝牙互动设备调试：展馆2.4G频段干扰源多，互动传感器优先选用5G频段；做好信道规划，规避展厅内部无线AP带来的信号干扰。</w:t>
      </w:r>
    </w:p>
    <w:p w14:paraId="0F1265D0">
      <w:pPr>
        <w:spacing w:before="320" w:after="120" w:line="288" w:lineRule="auto"/>
        <w:ind w:left="0"/>
        <w:jc w:val="left"/>
        <w:outlineLvl w:val="1"/>
      </w:pPr>
      <w:bookmarkStart w:id="73" w:name="heading_74"/>
      <w:r>
        <w:rPr>
          <w:rFonts w:ascii="Arial" w:hAnsi="Arial" w:eastAsia="等线" w:cs="Arial"/>
          <w:b/>
          <w:sz w:val="32"/>
        </w:rPr>
        <w:t>4.8 弱电接地防雷 GB50169</w:t>
      </w:r>
      <w:bookmarkEnd w:id="73"/>
    </w:p>
    <w:p w14:paraId="5589E056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强弱电管线平行敷设≥300mm；交叉必须90°垂直，间距≥50mm；机柜线缆余量机柜端1.0m±0.2m，设备端0.4m±0.1m。</w:t>
      </w:r>
    </w:p>
    <w:p w14:paraId="2E3FC301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接地电阻阈值：机房等电位≤1.0Ω；展厅弱电间≤4.0Ω；建筑防雷≤10Ω。</w:t>
      </w:r>
    </w:p>
    <w:p w14:paraId="42808AB7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SPD防雷：一级25kA；二级10kA；响应时间≤25ns。</w:t>
      </w:r>
    </w:p>
    <w:p w14:paraId="7601BA87">
      <w:pPr>
        <w:spacing w:before="320" w:after="120" w:line="288" w:lineRule="auto"/>
        <w:ind w:left="0"/>
        <w:jc w:val="left"/>
        <w:outlineLvl w:val="1"/>
      </w:pPr>
      <w:bookmarkStart w:id="74" w:name="heading_75"/>
      <w:r>
        <w:rPr>
          <w:rFonts w:ascii="Arial" w:hAnsi="Arial" w:eastAsia="等线" w:cs="Arial"/>
          <w:b/>
          <w:sz w:val="32"/>
        </w:rPr>
        <w:t>4.9 互动外设调试</w:t>
      </w:r>
      <w:bookmarkEnd w:id="74"/>
    </w:p>
    <w:p w14:paraId="7F1C3A1C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红外触控</w:t>
      </w:r>
      <w:r>
        <w:rPr>
          <w:rFonts w:ascii="Arial" w:hAnsi="Arial" w:eastAsia="等线" w:cs="Arial"/>
          <w:sz w:val="22"/>
        </w:rPr>
        <w:t>：清洁灯条；四点校准；响应延迟≤20ms，精度±2mm；关闭多余系统手势防抖；月漂移≤1像素。⚠️USB3.0线缆会造成强干扰，信号线远离USB3.0线缆，USB增加磁环。</w:t>
      </w:r>
    </w:p>
    <w:p w14:paraId="3267B99B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微波雷达感应</w:t>
      </w:r>
      <w:r>
        <w:rPr>
          <w:rFonts w:ascii="Arial" w:hAnsi="Arial" w:eastAsia="等线" w:cs="Arial"/>
          <w:sz w:val="22"/>
        </w:rPr>
        <w:t>：探测距离3‑5m；移动触发阈值0.3m/s；保持延时30s；开启低频滤波抑制光影风吹误触发。</w:t>
      </w:r>
    </w:p>
    <w:p w14:paraId="62A8E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补充：多人并发场景必须定义最大并发数，超限后的降级策略，不能无限接收触发事件造成中控卡死。</w:t>
      </w:r>
    </w:p>
    <w:p w14:paraId="18884662">
      <w:pPr>
        <w:spacing w:before="320" w:after="120" w:line="288" w:lineRule="auto"/>
        <w:ind w:left="0"/>
        <w:jc w:val="left"/>
        <w:outlineLvl w:val="1"/>
      </w:pPr>
      <w:bookmarkStart w:id="75" w:name="heading_76"/>
      <w:r>
        <w:rPr>
          <w:rFonts w:ascii="Arial" w:hAnsi="Arial" w:eastAsia="等线" w:cs="Arial"/>
          <w:b/>
          <w:sz w:val="32"/>
        </w:rPr>
        <w:t>4.10 工控播放终端 Windows / 银河麒麟</w:t>
      </w:r>
      <w:bookmarkEnd w:id="75"/>
    </w:p>
    <w:p w14:paraId="467001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参考GB/T34942‑2017</w:t>
      </w:r>
    </w:p>
    <w:p w14:paraId="51219730">
      <w:pPr>
        <w:spacing w:before="300" w:after="120" w:line="288" w:lineRule="auto"/>
        <w:ind w:left="0"/>
        <w:jc w:val="left"/>
        <w:outlineLvl w:val="2"/>
      </w:pPr>
      <w:bookmarkStart w:id="76" w:name="heading_77"/>
      <w:r>
        <w:rPr>
          <w:rFonts w:ascii="Arial" w:hAnsi="Arial" w:eastAsia="等线" w:cs="Arial"/>
          <w:b/>
          <w:sz w:val="30"/>
        </w:rPr>
        <w:t>Windows工控机7×24h固化</w:t>
      </w:r>
      <w:bookmarkEnd w:id="76"/>
    </w:p>
    <w:p w14:paraId="5C22C264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电源：高性能；休眠、睡眠、硬盘休眠、显示器关闭全部关闭；PCI‑E关闭链路节能；</w:t>
      </w:r>
    </w:p>
    <w:p w14:paraId="2A109E8F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组策略禁用Windows更新，禁止自动重启；</w:t>
      </w:r>
    </w:p>
    <w:p w14:paraId="52317935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播放软件开机延迟自启30s，等待网卡驱动加载；</w:t>
      </w:r>
    </w:p>
    <w:p w14:paraId="77FD8C82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裁剪无用服务，可现场条件下关闭Defender实时扫描；</w:t>
      </w:r>
    </w:p>
    <w:p w14:paraId="0145253E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网卡关闭EEE节能，静态IP禁止DHCP；</w:t>
      </w:r>
    </w:p>
    <w:p w14:paraId="653D6132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素材存放SSD；页面文件固定8G‑16G；</w:t>
      </w:r>
    </w:p>
    <w:p w14:paraId="60B6D3B6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显卡最高性能优先，关闭垂直同步，关闭GPU硬件加速计划；多屏使用扩展模式。</w:t>
      </w:r>
    </w:p>
    <w:p w14:paraId="38F55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补充：关键业务播放终端建议配置RAID1磁盘阵列，防止单块SSD损坏造成素材丢失。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硬件工况阈值：CPU长期≤80%；内存≤85%；SSD≤70℃；整机温升≤30K。CPU持续＞90%、内存＞92%属于异常，极易卡顿丢帧。</w:t>
      </w:r>
    </w:p>
    <w:p w14:paraId="7EC65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SSD寿命管理：7×24h不间断播放项目，不建议消费级TLC SSD高频写入；系统日志尽可能输出至内存盘，降低SSD磨损；运维巡检需要读取SSD寿命百分比；巡检增加SSD坏块检查；选型关注工业SSD TBW总写入量指标。</w:t>
      </w:r>
    </w:p>
    <w:p w14:paraId="6BB81D21">
      <w:pPr>
        <w:spacing w:before="300" w:after="120" w:line="288" w:lineRule="auto"/>
        <w:ind w:left="0"/>
        <w:jc w:val="left"/>
        <w:outlineLvl w:val="2"/>
      </w:pPr>
      <w:bookmarkStart w:id="77" w:name="heading_78"/>
      <w:r>
        <w:rPr>
          <w:rFonts w:ascii="Arial" w:hAnsi="Arial" w:eastAsia="等线" w:cs="Arial"/>
          <w:b/>
          <w:sz w:val="30"/>
        </w:rPr>
        <w:t>银河麒麟（ARM/X86）</w:t>
      </w:r>
      <w:bookmarkEnd w:id="77"/>
    </w:p>
    <w:p w14:paraId="1861DC7B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关闭锁屏休眠；播放程序sudo免密；</w:t>
      </w:r>
    </w:p>
    <w:p w14:paraId="370F2318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systemd服务，设置After=network‑online.target；</w:t>
      </w:r>
    </w:p>
    <w:p w14:paraId="1640B8DF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调大网络缓冲区；关闭USB自动挂起；禁止系统自动更新；</w:t>
      </w:r>
    </w:p>
    <w:p w14:paraId="4A9BAD63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外设使用厂家国产驱动，不使用开源通用驱动。</w:t>
      </w:r>
    </w:p>
    <w:p w14:paraId="71787A67">
      <w:pPr>
        <w:spacing w:before="300" w:after="120" w:line="288" w:lineRule="auto"/>
        <w:ind w:left="0"/>
        <w:jc w:val="left"/>
        <w:outlineLvl w:val="2"/>
      </w:pPr>
      <w:bookmarkStart w:id="78" w:name="heading_79"/>
      <w:r>
        <w:rPr>
          <w:rFonts w:ascii="Arial" w:hAnsi="Arial" w:eastAsia="等线" w:cs="Arial"/>
          <w:b/>
          <w:sz w:val="30"/>
        </w:rPr>
        <w:t>终端常见故障</w:t>
      </w:r>
      <w:bookmarkEnd w:id="78"/>
    </w:p>
    <w:p w14:paraId="7BB3B582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开机偶发闪退：查看事件日志；程序延迟自启；关闭系统节能；</w:t>
      </w:r>
    </w:p>
    <w:p w14:paraId="3D64E56C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系统时间飘移：部署本地NTP服务器，所有设备指向本地NTP，同步误差≤500ms，禁止外网NTP；</w:t>
      </w:r>
    </w:p>
    <w:p w14:paraId="3A08272D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SSD素材损坏：双盘备份；MD5校验；禁止直接断电。</w:t>
      </w:r>
    </w:p>
    <w:p w14:paraId="797F7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选型冗余：4K多通道CPU性能预留40%，内存≥16G推荐32G，独立显卡显存≥8G；Unity/UE互动显存冗余≥50%。</w:t>
      </w:r>
    </w:p>
    <w:p w14:paraId="537130EA">
      <w:pPr>
        <w:spacing w:before="320" w:after="120" w:line="288" w:lineRule="auto"/>
        <w:ind w:left="0"/>
        <w:jc w:val="left"/>
        <w:outlineLvl w:val="1"/>
      </w:pPr>
      <w:bookmarkStart w:id="79" w:name="heading_80"/>
      <w:r>
        <w:rPr>
          <w:rFonts w:ascii="Arial" w:hAnsi="Arial" w:eastAsia="等线" w:cs="Arial"/>
          <w:b/>
          <w:sz w:val="32"/>
        </w:rPr>
        <w:t>4.11 Unity/UE内容硬件联调</w:t>
      </w:r>
      <w:bookmarkEnd w:id="79"/>
    </w:p>
    <w:p w14:paraId="42F039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多媒体工程师不做开发，负责硬件‑内容对接，区分故障归属。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⚠️禁止在生产工控机直接打开Unity/UE源码工程调试，所有修改必须办公室打包发布程序，现场只部署发布包。</w:t>
      </w:r>
    </w:p>
    <w:p w14:paraId="3DD58E68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渲染输出：帧率锁定60FPS，开启垂直同步；帧时间波动≤16.7ms；色彩空间展厅Rec.709，沉浸式DCI‑P3；多通道输出完整大分辨率，裁剪交给硬件发送卡/融合器，减少GPU开销。</w:t>
      </w:r>
    </w:p>
    <w:p w14:paraId="26D9D38A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通信接口：</w:t>
      </w:r>
    </w:p>
    <w:p w14:paraId="7E73514E">
      <w:pPr>
        <w:numPr>
          <w:ilvl w:val="0"/>
          <w:numId w:val="2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TCP‑Socket心跳3s；断线重连2s；指令超时500ms；轮询间隔≥100ms，禁止小于50ms造成网络风暴；</w:t>
      </w:r>
    </w:p>
    <w:p w14:paraId="71997A43">
      <w:pPr>
        <w:numPr>
          <w:ilvl w:val="0"/>
          <w:numId w:val="2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串口读写锁，防止多线程乱码；</w:t>
      </w:r>
    </w:p>
    <w:p w14:paraId="1EDE999B">
      <w:pPr>
        <w:numPr>
          <w:ilvl w:val="0"/>
          <w:numId w:val="2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OSC单包载荷≤1024Byte，抖动≤2ms。</w:t>
      </w:r>
    </w:p>
    <w:p w14:paraId="7214E60B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联动容差：内容内部音画唇同步≤20ms；内容输出到灯光总延迟≤10ms；输出到DSP音频≤40ms。</w:t>
      </w:r>
    </w:p>
    <w:p w14:paraId="689AD7B9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故障区分：</w:t>
      </w:r>
    </w:p>
    <w:p w14:paraId="08C2F13F">
      <w:pPr>
        <w:numPr>
          <w:ilvl w:val="0"/>
          <w:numId w:val="2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GPU持续＞95% → 内容资源压力过大；</w:t>
      </w:r>
    </w:p>
    <w:p w14:paraId="3BBCA4A2">
      <w:pPr>
        <w:numPr>
          <w:ilvl w:val="0"/>
          <w:numId w:val="2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GPU负载正常，网络抖动大 → 网络交换机；</w:t>
      </w:r>
    </w:p>
    <w:p w14:paraId="06FDD65B">
      <w:pPr>
        <w:numPr>
          <w:ilvl w:val="0"/>
          <w:numId w:val="2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传感器上报慢 → 传感器硬件/线路干扰；</w:t>
      </w:r>
    </w:p>
    <w:p w14:paraId="31D6A9DE">
      <w:pPr>
        <w:numPr>
          <w:ilvl w:val="0"/>
          <w:numId w:val="2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抓原始报文：没发出=内容问题；发出收不到=线路网络；收到设备不执行=设备协议寄存器。</w:t>
      </w:r>
    </w:p>
    <w:p w14:paraId="1C6FC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补充内容工程管控规范：</w:t>
      </w:r>
    </w:p>
    <w:p w14:paraId="29998DDF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交互内容交付只允许交付打包发布程序；严禁在现场工控机直接打开UE/Unity源码工程做现场修改调试。所有工程修改必须在办公室测试环境完成打包再上线。</w:t>
      </w:r>
    </w:p>
    <w:p w14:paraId="2468DFE5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拷机测试必须完整跑通全部交互业务逻辑，不可仅循环播放视频素材；重点监控贴图超限、粒子特效过载、程序内存泄漏。</w:t>
      </w:r>
    </w:p>
    <w:p w14:paraId="496F4FE7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CAVE、地幕多通道输出项目，重点校验视口偏移、像素对齐；像素偏移属于高频隐性故障。</w:t>
      </w:r>
    </w:p>
    <w:p w14:paraId="7B10F1CC">
      <w:pPr>
        <w:spacing w:before="320" w:after="120" w:line="288" w:lineRule="auto"/>
        <w:ind w:left="0"/>
        <w:jc w:val="left"/>
        <w:outlineLvl w:val="1"/>
      </w:pPr>
      <w:bookmarkStart w:id="80" w:name="heading_81"/>
      <w:r>
        <w:rPr>
          <w:rFonts w:ascii="Arial" w:hAnsi="Arial" w:eastAsia="等线" w:cs="Arial"/>
          <w:b/>
          <w:sz w:val="32"/>
        </w:rPr>
        <w:t>4.12 UPS不间断电源调试要点</w:t>
      </w:r>
      <w:bookmarkEnd w:id="80"/>
    </w:p>
    <w:p w14:paraId="76C92006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展馆关键系统配置在线式UPS；严禁使用后备式UPS承载展馆核心业务；UPS负载率维持40‑60%，严禁满载运行；</w:t>
      </w:r>
    </w:p>
    <w:p w14:paraId="426A91EA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记录实际后备续航时间；</w:t>
      </w:r>
    </w:p>
    <w:p w14:paraId="6D633131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UPS告警干接点接入中控系统，可上报市电中断、电池低压告警；</w:t>
      </w:r>
    </w:p>
    <w:p w14:paraId="49CCA422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市电丢失时，系统执行有序关机逻辑，避免SSD异常断电损坏；</w:t>
      </w:r>
    </w:p>
    <w:p w14:paraId="3E3F5F6E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巡检周期内需检查电池健康状态。</w:t>
      </w:r>
    </w:p>
    <w:p w14:paraId="04A4FFE0">
      <w:pPr>
        <w:spacing w:before="320" w:after="120" w:line="288" w:lineRule="auto"/>
        <w:ind w:left="0"/>
        <w:jc w:val="left"/>
        <w:outlineLvl w:val="1"/>
      </w:pPr>
      <w:bookmarkStart w:id="81" w:name="heading_82"/>
      <w:r>
        <w:rPr>
          <w:rFonts w:ascii="Arial" w:hAnsi="Arial" w:eastAsia="等线" w:cs="Arial"/>
          <w:b/>
          <w:sz w:val="32"/>
        </w:rPr>
        <w:t>4.13 HDR显示硬件调试</w:t>
      </w:r>
      <w:bookmarkEnd w:id="81"/>
    </w:p>
    <w:p w14:paraId="12C78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文旅沉浸式项目HDR‑10调试：</w:t>
      </w:r>
    </w:p>
    <w:p w14:paraId="375F71C4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硬件开启HDR模式，使用PQ转换曲线；</w:t>
      </w:r>
    </w:p>
    <w:p w14:paraId="5D1B95CB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屏体峰值亮度必须与素材元数据MaxCLL、MaxFALL匹配；</w:t>
      </w:r>
    </w:p>
    <w:p w14:paraId="30B62EAE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禁止直接SDR素材强制输出HDR模式，会造成画面过曝，需要内容方完成色彩空间转换。</w:t>
      </w:r>
    </w:p>
    <w:p w14:paraId="3C4A9736">
      <w:pPr>
        <w:spacing w:before="320" w:after="120" w:line="288" w:lineRule="auto"/>
        <w:ind w:left="0"/>
        <w:jc w:val="left"/>
        <w:outlineLvl w:val="1"/>
      </w:pPr>
      <w:bookmarkStart w:id="82" w:name="heading_83"/>
      <w:r>
        <w:rPr>
          <w:rFonts w:ascii="Arial" w:hAnsi="Arial" w:eastAsia="等线" w:cs="Arial"/>
          <w:b/>
          <w:sz w:val="32"/>
        </w:rPr>
        <w:t>4.14 分布式音视频系统调试要点</w:t>
      </w:r>
      <w:bookmarkEnd w:id="82"/>
    </w:p>
    <w:p w14:paraId="4957C4BE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编码采用CBR恒定码率，预留带宽余量；</w:t>
      </w:r>
    </w:p>
    <w:p w14:paraId="1F0F6466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重点关注编解码器时钟漂移；长期运行会逐步出现音画不同步；</w:t>
      </w:r>
    </w:p>
    <w:p w14:paraId="6B99875A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组播VLAN规划，开启IGMP‑Snooping；</w:t>
      </w:r>
    </w:p>
    <w:p w14:paraId="774395A1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异常降级策略：网络丢包场景允许画面轻微卡顿，音频优先保障，不可直接整机卡死。</w:t>
      </w:r>
    </w:p>
    <w:p w14:paraId="2E025E5B">
      <w:pPr>
        <w:spacing w:before="320" w:after="120" w:line="288" w:lineRule="auto"/>
        <w:ind w:left="0"/>
        <w:jc w:val="left"/>
        <w:outlineLvl w:val="1"/>
      </w:pPr>
      <w:bookmarkStart w:id="83" w:name="heading_84"/>
      <w:r>
        <w:rPr>
          <w:rFonts w:ascii="Arial" w:hAnsi="Arial" w:eastAsia="等线" w:cs="Arial"/>
          <w:b/>
          <w:sz w:val="32"/>
        </w:rPr>
        <w:t>4.15 特殊沉浸式展项调试要点</w:t>
      </w:r>
      <w:bookmarkEnd w:id="83"/>
    </w:p>
    <w:p w14:paraId="0EBCDA40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CAVE空间（多面墙+地面）</w:t>
      </w:r>
    </w:p>
    <w:p w14:paraId="690426BD">
      <w:pPr>
        <w:numPr>
          <w:ilvl w:val="0"/>
          <w:numId w:val="2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地面投影机重点处理镜面反射，地面亮度不宜过高，避免眩光；</w:t>
      </w:r>
    </w:p>
    <w:p w14:paraId="776C2C73">
      <w:pPr>
        <w:numPr>
          <w:ilvl w:val="0"/>
          <w:numId w:val="2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多面墙色彩统一，地面与墙面Gamma做差异化适配；</w:t>
      </w:r>
    </w:p>
    <w:p w14:paraId="44AAE287">
      <w:pPr>
        <w:numPr>
          <w:ilvl w:val="0"/>
          <w:numId w:val="2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地面做好散热，密闭地面箱体必须强制通风，禁止密闭闷罐；</w:t>
      </w:r>
    </w:p>
    <w:p w14:paraId="3F954F82">
      <w:pPr>
        <w:numPr>
          <w:ilvl w:val="0"/>
          <w:numId w:val="2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帧同步必须覆盖全部墙面+地面，避免视角切换画面撕裂。</w:t>
      </w:r>
    </w:p>
    <w:p w14:paraId="67AA4DB4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地面互动地幕</w:t>
      </w:r>
    </w:p>
    <w:p w14:paraId="4CA3085F">
      <w:pPr>
        <w:numPr>
          <w:ilvl w:val="0"/>
          <w:numId w:val="2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红外/雷达互动传感器需要规避地面反光、人员影子误触发；</w:t>
      </w:r>
    </w:p>
    <w:p w14:paraId="03CD47BB">
      <w:pPr>
        <w:numPr>
          <w:ilvl w:val="0"/>
          <w:numId w:val="2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投影机镜头注意防尘防踩踏；设备箱体做好防水防潮；</w:t>
      </w:r>
    </w:p>
    <w:p w14:paraId="4DA0FD12">
      <w:pPr>
        <w:numPr>
          <w:ilvl w:val="0"/>
          <w:numId w:val="2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地幕亮度兼顾白天环境光，同时不能造成观众眩光。</w:t>
      </w:r>
    </w:p>
    <w:p w14:paraId="763A5B85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球幕/穹顶投影</w:t>
      </w:r>
    </w:p>
    <w:p w14:paraId="0F0F8207">
      <w:pPr>
        <w:numPr>
          <w:ilvl w:val="0"/>
          <w:numId w:val="2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球幕融合矫正网格不低于128×128；校准需要考虑曲面亮度衰减；</w:t>
      </w:r>
    </w:p>
    <w:p w14:paraId="00BC9B39">
      <w:pPr>
        <w:numPr>
          <w:ilvl w:val="0"/>
          <w:numId w:val="2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投影机安装角度大，注意镜头色散；</w:t>
      </w:r>
    </w:p>
    <w:p w14:paraId="23198798">
      <w:pPr>
        <w:numPr>
          <w:ilvl w:val="0"/>
          <w:numId w:val="2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音响点位结合球幕曲面做声场校准，避免局部回声。</w:t>
      </w:r>
    </w:p>
    <w:p w14:paraId="33D936EF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透明屏、冰屏、格栅屏</w:t>
      </w:r>
    </w:p>
    <w:p w14:paraId="0B6840E0">
      <w:pPr>
        <w:numPr>
          <w:ilvl w:val="0"/>
          <w:numId w:val="2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亮度调试兼顾环境背光；注意通透模式下黑色底色漏光问题；</w:t>
      </w:r>
    </w:p>
    <w:p w14:paraId="0284C34A">
      <w:pPr>
        <w:numPr>
          <w:ilvl w:val="0"/>
          <w:numId w:val="2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模组散热差，高温环境降额使用；</w:t>
      </w:r>
    </w:p>
    <w:p w14:paraId="3DCDA2BF">
      <w:pPr>
        <w:numPr>
          <w:ilvl w:val="0"/>
          <w:numId w:val="2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注意钢结构框架接地，防止静电干扰模组。</w:t>
      </w:r>
    </w:p>
    <w:p w14:paraId="15CE4CA6">
      <w:pPr>
        <w:numPr>
          <w:ilvl w:val="0"/>
          <w:numId w:val="2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幻影成像/半透膜展项</w:t>
      </w:r>
    </w:p>
    <w:p w14:paraId="0AED9C55">
      <w:pPr>
        <w:numPr>
          <w:ilvl w:val="0"/>
          <w:numId w:val="2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环境杂光是最大故障源，必须控制环境杂散光；</w:t>
      </w:r>
    </w:p>
    <w:p w14:paraId="36D981A8">
      <w:pPr>
        <w:numPr>
          <w:ilvl w:val="0"/>
          <w:numId w:val="2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投影机投射角度严格按照图纸，避免重影；</w:t>
      </w:r>
    </w:p>
    <w:p w14:paraId="4CE2B375">
      <w:pPr>
        <w:numPr>
          <w:ilvl w:val="0"/>
          <w:numId w:val="2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半透膜定期清洁维护纳入巡检清单。</w:t>
      </w:r>
    </w:p>
    <w:p w14:paraId="60620C75">
      <w:pPr>
        <w:spacing w:before="320" w:after="120" w:line="288" w:lineRule="auto"/>
        <w:ind w:left="0"/>
        <w:jc w:val="left"/>
        <w:outlineLvl w:val="1"/>
      </w:pPr>
      <w:bookmarkStart w:id="84" w:name="heading_85"/>
      <w:r>
        <w:rPr>
          <w:rFonts w:ascii="Arial" w:hAnsi="Arial" w:eastAsia="等线" w:cs="Arial"/>
          <w:b/>
          <w:sz w:val="32"/>
        </w:rPr>
        <w:t>4.16 激光显示专项安全</w:t>
      </w:r>
      <w:bookmarkEnd w:id="84"/>
    </w:p>
    <w:p w14:paraId="64B21FBA">
      <w:pPr>
        <w:numPr>
          <w:ilvl w:val="0"/>
          <w:numId w:val="2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激光投影机、舞台激光，严格按照GB 7247激光产品安全标准；</w:t>
      </w:r>
    </w:p>
    <w:p w14:paraId="00605856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调试阶段禁止拆除安全联锁；剧场演出激光节目必须做节目审核，防止光束扫向观众区；</w:t>
      </w:r>
    </w:p>
    <w:p w14:paraId="7FB13054">
      <w:pPr>
        <w:numPr>
          <w:ilvl w:val="0"/>
          <w:numId w:val="2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现场张贴分级激光警示标识，对运维人员做激光安全交底。</w:t>
      </w:r>
    </w:p>
    <w:p w14:paraId="3EE513E5">
      <w:pPr>
        <w:spacing w:before="320" w:after="120" w:line="288" w:lineRule="auto"/>
        <w:ind w:left="0"/>
        <w:jc w:val="left"/>
        <w:outlineLvl w:val="1"/>
      </w:pPr>
      <w:bookmarkStart w:id="85" w:name="heading_86"/>
      <w:r>
        <w:rPr>
          <w:rFonts w:ascii="Arial" w:hAnsi="Arial" w:eastAsia="等线" w:cs="Arial"/>
          <w:b/>
          <w:sz w:val="32"/>
        </w:rPr>
        <w:t>4.17 临展/巡展专项调试要点</w:t>
      </w:r>
      <w:bookmarkEnd w:id="85"/>
    </w:p>
    <w:p w14:paraId="487D6A1B">
      <w:pPr>
        <w:numPr>
          <w:ilvl w:val="0"/>
          <w:numId w:val="2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每一次巡展搭建完成，执行精简版SAT测试，不直接依靠上一站记录直接开机运行。</w:t>
      </w:r>
    </w:p>
    <w:p w14:paraId="22D45CD8">
      <w:pPr>
        <w:numPr>
          <w:ilvl w:val="0"/>
          <w:numId w:val="2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运输振动风险检查：全部接插件重新紧固，板卡、接线端子复查，避免运输振动造成虚接。</w:t>
      </w:r>
    </w:p>
    <w:p w14:paraId="6E2DCD22">
      <w:pPr>
        <w:numPr>
          <w:ilvl w:val="0"/>
          <w:numId w:val="2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针对临时供电做电压波动测试。</w:t>
      </w:r>
    </w:p>
    <w:p w14:paraId="5EC4E355">
      <w:pPr>
        <w:numPr>
          <w:ilvl w:val="0"/>
          <w:numId w:val="2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配置一键参数恢复脚本，可快速复原上一站点完整系统配置。</w:t>
      </w:r>
    </w:p>
    <w:p w14:paraId="166F92B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B9E4D1">
      <w:pPr>
        <w:spacing w:before="380" w:after="140" w:line="288" w:lineRule="auto"/>
        <w:ind w:left="0"/>
        <w:jc w:val="left"/>
        <w:outlineLvl w:val="0"/>
      </w:pPr>
      <w:bookmarkStart w:id="86" w:name="heading_87"/>
      <w:r>
        <w:rPr>
          <w:rFonts w:ascii="Arial" w:hAnsi="Arial" w:eastAsia="等线" w:cs="Arial"/>
          <w:b/>
          <w:sz w:val="36"/>
        </w:rPr>
        <w:t>5. 素材编码影视级压制规范</w:t>
      </w:r>
      <w:bookmarkEnd w:id="86"/>
    </w:p>
    <w:p w14:paraId="79925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工具：PR、AE、MediaInfo核验</w:t>
      </w:r>
    </w:p>
    <w:p w14:paraId="356316E4">
      <w:pPr>
        <w:numPr>
          <w:ilvl w:val="0"/>
          <w:numId w:val="2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编码：主力H.265 Main10；老旧设备兼容H.264 High；</w:t>
      </w:r>
    </w:p>
    <w:p w14:paraId="4CF7644F">
      <w:pPr>
        <w:numPr>
          <w:ilvl w:val="0"/>
          <w:numId w:val="2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封装MP4；帧率恒定；</w:t>
      </w:r>
    </w:p>
    <w:p w14:paraId="6F54C7B1">
      <w:pPr>
        <w:numPr>
          <w:ilvl w:val="0"/>
          <w:numId w:val="2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色彩：常规Rec.709 8bit‑4:2:0；沉浸式DCI‑P3 10bit‑4:4:4；</w:t>
      </w:r>
    </w:p>
    <w:p w14:paraId="537EEA62">
      <w:pPr>
        <w:numPr>
          <w:ilvl w:val="0"/>
          <w:numId w:val="2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码率CBR恒定：1080P=10Mbps；4K=30Mbps，波动≤5%；</w:t>
      </w:r>
    </w:p>
    <w:p w14:paraId="3CA31740">
      <w:pPr>
        <w:numPr>
          <w:ilvl w:val="0"/>
          <w:numId w:val="2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音频AAC‑48kHz‑320kbps立体声；</w:t>
      </w:r>
    </w:p>
    <w:p w14:paraId="3F16EAC2">
      <w:pPr>
        <w:numPr>
          <w:ilvl w:val="0"/>
          <w:numId w:val="2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上线前完整播放30min，确认无卡顿、音画偏移。</w:t>
      </w:r>
    </w:p>
    <w:p w14:paraId="669C4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补充：</w:t>
      </w:r>
    </w:p>
    <w:p w14:paraId="3057B45B">
      <w:pPr>
        <w:numPr>
          <w:ilvl w:val="0"/>
          <w:numId w:val="2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HDR‑10编码规范</w:t>
      </w:r>
      <w:r>
        <w:rPr>
          <w:rFonts w:ascii="Arial" w:hAnsi="Arial" w:eastAsia="等线" w:cs="Arial"/>
          <w:sz w:val="22"/>
        </w:rPr>
        <w:t>：编码H.265 Main10，PQ曲线；元数据MaxCLL、MaxFALL需要匹配显示设备峰值亮度。SDR、HDR素材不可混用输出。</w:t>
      </w:r>
    </w:p>
    <w:p w14:paraId="2A7BA5FE">
      <w:pPr>
        <w:numPr>
          <w:ilvl w:val="0"/>
          <w:numId w:val="2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容器格式约束</w:t>
      </w:r>
      <w:r>
        <w:rPr>
          <w:rFonts w:ascii="Arial" w:hAnsi="Arial" w:eastAsia="等线" w:cs="Arial"/>
          <w:sz w:val="22"/>
        </w:rPr>
        <w:t>：7×24小时循环播放工控项目，优先MP4封装；尽量避免MKV，部分播放器长期运行MKV会发生内存泄漏。</w:t>
      </w:r>
    </w:p>
    <w:p w14:paraId="15C6C38B">
      <w:pPr>
        <w:numPr>
          <w:ilvl w:val="0"/>
          <w:numId w:val="2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GOP设置</w:t>
      </w:r>
      <w:r>
        <w:rPr>
          <w:rFonts w:ascii="Arial" w:hAnsi="Arial" w:eastAsia="等线" w:cs="Arial"/>
          <w:sz w:val="22"/>
        </w:rPr>
        <w:t>：展馆循环播放素材建议GOP等于帧率，减少seek跳转卡顿。</w:t>
      </w:r>
    </w:p>
    <w:p w14:paraId="2DF218D6">
      <w:pPr>
        <w:numPr>
          <w:ilvl w:val="0"/>
          <w:numId w:val="2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素材上线管控</w:t>
      </w:r>
      <w:r>
        <w:rPr>
          <w:rFonts w:ascii="Arial" w:hAnsi="Arial" w:eastAsia="等线" w:cs="Arial"/>
          <w:sz w:val="22"/>
        </w:rPr>
        <w:t>：素材更新上线前做MD5校验比对，避免拷贝损坏的视频文件投入使用；重要素材双盘备份。</w:t>
      </w:r>
    </w:p>
    <w:p w14:paraId="709C2064">
      <w:pPr>
        <w:numPr>
          <w:ilvl w:val="0"/>
          <w:numId w:val="2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内容交付要求</w:t>
      </w:r>
      <w:r>
        <w:rPr>
          <w:rFonts w:ascii="Arial" w:hAnsi="Arial" w:eastAsia="等线" w:cs="Arial"/>
          <w:sz w:val="22"/>
        </w:rPr>
        <w:t>：内容团队交付素材，附带MediaInfo输出报告作为交付附件。</w:t>
      </w:r>
    </w:p>
    <w:p w14:paraId="034D2788">
      <w:pPr>
        <w:numPr>
          <w:ilvl w:val="0"/>
          <w:numId w:val="2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内容版本管控</w:t>
      </w:r>
      <w:r>
        <w:rPr>
          <w:rFonts w:ascii="Arial" w:hAnsi="Arial" w:eastAsia="等线" w:cs="Arial"/>
          <w:sz w:val="22"/>
        </w:rPr>
        <w:t>：素材统一使用V1.0/V1.1版本编号，禁止命名“最终版、最终最终版”；素材更新必须写入版本台账。</w:t>
      </w:r>
    </w:p>
    <w:p w14:paraId="11C80979">
      <w:pPr>
        <w:numPr>
          <w:ilvl w:val="0"/>
          <w:numId w:val="2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临展短循环素材</w:t>
      </w:r>
      <w:r>
        <w:rPr>
          <w:rFonts w:ascii="Arial" w:hAnsi="Arial" w:eastAsia="等线" w:cs="Arial"/>
          <w:sz w:val="22"/>
        </w:rPr>
        <w:t>：优化GOP参数，避免循环跳转画面闪烁。</w:t>
      </w:r>
    </w:p>
    <w:p w14:paraId="1617A15F">
      <w:pPr>
        <w:numPr>
          <w:ilvl w:val="0"/>
          <w:numId w:val="2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交付同时必须交付硬件验收测试样片集合</w:t>
      </w:r>
      <w:r>
        <w:rPr>
          <w:rFonts w:ascii="Arial" w:hAnsi="Arial" w:eastAsia="等线" w:cs="Arial"/>
          <w:sz w:val="22"/>
        </w:rPr>
        <w:t>：全白场、全黑场、灰度阶、色彩测试图。</w:t>
      </w:r>
    </w:p>
    <w:p w14:paraId="23C836B1">
      <w:pPr>
        <w:numPr>
          <w:ilvl w:val="0"/>
          <w:numId w:val="2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必须使用实际业务素材做进场全量测试</w:t>
      </w:r>
      <w:r>
        <w:rPr>
          <w:rFonts w:ascii="Arial" w:hAnsi="Arial" w:eastAsia="等线" w:cs="Arial"/>
          <w:sz w:val="22"/>
        </w:rPr>
        <w:t>，不能仅依靠标准测试片完成验收，避免测试片正常，业务素材出现卡顿异常。</w:t>
      </w:r>
    </w:p>
    <w:p w14:paraId="4733C35D">
      <w:pPr>
        <w:spacing w:before="300" w:after="120" w:line="288" w:lineRule="auto"/>
        <w:ind w:left="0"/>
        <w:jc w:val="left"/>
        <w:outlineLvl w:val="2"/>
      </w:pPr>
      <w:bookmarkStart w:id="87" w:name="heading_88"/>
      <w:r>
        <w:rPr>
          <w:rFonts w:ascii="Arial" w:hAnsi="Arial" w:eastAsia="等线" w:cs="Arial"/>
          <w:b/>
          <w:sz w:val="30"/>
        </w:rPr>
        <w:t>5.10 临展&amp;互动循环素材专项约束</w:t>
      </w:r>
      <w:bookmarkEnd w:id="87"/>
    </w:p>
    <w:p w14:paraId="1F90F0A2">
      <w:pPr>
        <w:numPr>
          <w:ilvl w:val="0"/>
          <w:numId w:val="2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互动跳转素材优化I帧设置，降低跳转瞬间卡顿风险。</w:t>
      </w:r>
    </w:p>
    <w:p w14:paraId="301C9A0D">
      <w:pPr>
        <w:numPr>
          <w:ilvl w:val="0"/>
          <w:numId w:val="2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同一展项可准备白天、夜间两套亮度版本素材，适配不同环境光。</w:t>
      </w:r>
    </w:p>
    <w:p w14:paraId="36A2F0AA">
      <w:pPr>
        <w:numPr>
          <w:ilvl w:val="0"/>
          <w:numId w:val="2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区分硬编码内嵌字幕与软字幕，落实展馆无障碍字幕规范。</w:t>
      </w:r>
    </w:p>
    <w:p w14:paraId="6C05DF1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B61216">
      <w:pPr>
        <w:spacing w:before="380" w:after="140" w:line="288" w:lineRule="auto"/>
        <w:ind w:left="0"/>
        <w:jc w:val="left"/>
        <w:outlineLvl w:val="0"/>
      </w:pPr>
      <w:bookmarkStart w:id="88" w:name="heading_89"/>
      <w:r>
        <w:rPr>
          <w:rFonts w:ascii="Arial" w:hAnsi="Arial" w:eastAsia="等线" w:cs="Arial"/>
          <w:b/>
          <w:sz w:val="36"/>
        </w:rPr>
        <w:t>6. 中控脚本、互锁逻辑、非标协议对接</w:t>
      </w:r>
      <w:bookmarkEnd w:id="88"/>
    </w:p>
    <w:p w14:paraId="2D5823AC">
      <w:pPr>
        <w:numPr>
          <w:ilvl w:val="0"/>
          <w:numId w:val="2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脚本约束：指令下发后等待应答再下发下一条；串口设备指令间隔≥100ms，TCP≥50ms；增加互锁逻辑；超时重试最多3次，失败跳出流程，禁止无限循环。</w:t>
      </w:r>
    </w:p>
    <w:p w14:paraId="733F7E84">
      <w:pPr>
        <w:numPr>
          <w:ilvl w:val="0"/>
          <w:numId w:val="2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非标设备对接流程：拿到完整协议文档（寄存器、字节序、CRC校验、超时）；调试助手手动收发报文调试，硬件通后再写脚本；备份固件版本、寄存器映射。</w:t>
      </w:r>
    </w:p>
    <w:p w14:paraId="0D6F47F0">
      <w:pPr>
        <w:numPr>
          <w:ilvl w:val="0"/>
          <w:numId w:val="2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日志要求：日志保存≥90天；每条日志包含时间戳、指令、应答码、状态、是否超时，用于故障回溯。</w:t>
      </w:r>
    </w:p>
    <w:p w14:paraId="2A244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补充：</w:t>
      </w:r>
    </w:p>
    <w:p w14:paraId="2CBF80E8">
      <w:pPr>
        <w:numPr>
          <w:ilvl w:val="0"/>
          <w:numId w:val="2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脚本内存泄漏防范</w:t>
      </w:r>
      <w:r>
        <w:rPr>
          <w:rFonts w:ascii="Arial" w:hAnsi="Arial" w:eastAsia="等线" w:cs="Arial"/>
          <w:sz w:val="22"/>
        </w:rPr>
        <w:t>：长期循环运行的场景脚本，监控中控主机内存占用；若固件/脚本存在内存泄漏，配置软件看门狗实现业务无感定时进程重启。</w:t>
      </w:r>
    </w:p>
    <w:p w14:paraId="20B2C340">
      <w:pPr>
        <w:numPr>
          <w:ilvl w:val="0"/>
          <w:numId w:val="2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日志轮转策略</w:t>
      </w:r>
      <w:r>
        <w:rPr>
          <w:rFonts w:ascii="Arial" w:hAnsi="Arial" w:eastAsia="等线" w:cs="Arial"/>
          <w:sz w:val="22"/>
        </w:rPr>
        <w:t>：日志文件自动轮转，防止日志持续写满磁盘；日志保存≥90天，到期自动归档；日志时间戳必须携带毫秒。</w:t>
      </w:r>
    </w:p>
    <w:p w14:paraId="03C304CD">
      <w:pPr>
        <w:numPr>
          <w:ilvl w:val="0"/>
          <w:numId w:val="2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非标协议风险红线</w:t>
      </w:r>
      <w:r>
        <w:rPr>
          <w:rFonts w:ascii="Arial" w:hAnsi="Arial" w:eastAsia="等线" w:cs="Arial"/>
          <w:sz w:val="22"/>
        </w:rPr>
        <w:t>：原则上拒绝进场之后才提供协议文档。甲方强制现场开发非标协议，需要签署《技术风险确认单》明确责任边界，同步确认额外工时、成本、工期变更。</w:t>
      </w:r>
    </w:p>
    <w:p w14:paraId="62CBD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脚本版本管理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所有中控脚本做版本归档，现场修改脚本必须记录版本变更、修改人、修改时间；禁止直接在生产环境修改脚本不留备份；脚本上线前优先在测试环境完成验证。</w:t>
      </w:r>
    </w:p>
    <w:p w14:paraId="1A9F5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补充脚本基线与回滚预案：建立脚本版本基线；重大脚本变更完成回归测试；项目现场保留上一版可用基线脚本，故障发生可一键回滚，不依赖现场修改修复。</w:t>
      </w:r>
    </w:p>
    <w:p w14:paraId="1C853B2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D71411">
      <w:pPr>
        <w:spacing w:before="380" w:after="140" w:line="288" w:lineRule="auto"/>
        <w:ind w:left="0"/>
        <w:jc w:val="left"/>
        <w:outlineLvl w:val="0"/>
      </w:pPr>
      <w:bookmarkStart w:id="89" w:name="heading_90"/>
      <w:r>
        <w:rPr>
          <w:rFonts w:ascii="Arial" w:hAnsi="Arial" w:eastAsia="等线" w:cs="Arial"/>
          <w:b/>
          <w:sz w:val="36"/>
        </w:rPr>
        <w:t>7. 系统可靠性、断电自愈、告警体系</w:t>
      </w:r>
      <w:bookmarkEnd w:id="89"/>
    </w:p>
    <w:p w14:paraId="5CB72739">
      <w:pPr>
        <w:spacing w:before="320" w:after="120" w:line="288" w:lineRule="auto"/>
        <w:ind w:left="0"/>
        <w:jc w:val="left"/>
        <w:outlineLvl w:val="1"/>
      </w:pPr>
      <w:bookmarkStart w:id="90" w:name="heading_91"/>
      <w:r>
        <w:rPr>
          <w:rFonts w:ascii="Arial" w:hAnsi="Arial" w:eastAsia="等线" w:cs="Arial"/>
          <w:b/>
          <w:sz w:val="32"/>
        </w:rPr>
        <w:t>7.1 断电上电自恢复业务要求</w:t>
      </w:r>
      <w:bookmarkEnd w:id="90"/>
    </w:p>
    <w:p w14:paraId="3FDDC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展馆存在跳闸断电，上电后系统自动回到可用状态：</w:t>
      </w:r>
    </w:p>
    <w:p w14:paraId="407947D9">
      <w:pPr>
        <w:numPr>
          <w:ilvl w:val="0"/>
          <w:numId w:val="2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工控上电自动启动播放程序、自动加载项目，无需人工点击；</w:t>
      </w:r>
    </w:p>
    <w:p w14:paraId="2D8C409E">
      <w:pPr>
        <w:numPr>
          <w:ilvl w:val="0"/>
          <w:numId w:val="2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中控主机上电恢复全部业务逻辑；</w:t>
      </w:r>
    </w:p>
    <w:p w14:paraId="2312071A">
      <w:pPr>
        <w:numPr>
          <w:ilvl w:val="0"/>
          <w:numId w:val="2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LED、融合器参数固化硬件Flash，断电参数不丢失；禁止重启后需要人工下发参数。</w:t>
      </w:r>
    </w:p>
    <w:p w14:paraId="6582BF91">
      <w:pPr>
        <w:spacing w:before="320" w:after="120" w:line="288" w:lineRule="auto"/>
        <w:ind w:left="0"/>
        <w:jc w:val="left"/>
        <w:outlineLvl w:val="1"/>
      </w:pPr>
      <w:bookmarkStart w:id="91" w:name="heading_92"/>
      <w:r>
        <w:rPr>
          <w:rFonts w:ascii="Arial" w:hAnsi="Arial" w:eastAsia="等线" w:cs="Arial"/>
          <w:b/>
          <w:sz w:val="32"/>
        </w:rPr>
        <w:t>7.2 看门狗机制</w:t>
      </w:r>
      <w:bookmarkEnd w:id="91"/>
    </w:p>
    <w:p w14:paraId="7B7F3EE7">
      <w:pPr>
        <w:numPr>
          <w:ilvl w:val="0"/>
          <w:numId w:val="2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软件看门狗：检测播放软件无画面输出，自动重启播放进程；</w:t>
      </w:r>
    </w:p>
    <w:p w14:paraId="61B5BCA1">
      <w:pPr>
        <w:numPr>
          <w:ilvl w:val="0"/>
          <w:numId w:val="2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硬件看门狗：工控硬件看门狗，整机卡死自动重启；</w:t>
      </w:r>
    </w:p>
    <w:p w14:paraId="554DADE2">
      <w:pPr>
        <w:numPr>
          <w:ilvl w:val="0"/>
          <w:numId w:val="3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网络看门狗：中控持续巡检关键设备在线状态，离线触发保护逻辑。</w:t>
      </w:r>
    </w:p>
    <w:p w14:paraId="1989D028">
      <w:pPr>
        <w:spacing w:before="320" w:after="120" w:line="288" w:lineRule="auto"/>
        <w:ind w:left="0"/>
        <w:jc w:val="left"/>
        <w:outlineLvl w:val="1"/>
      </w:pPr>
      <w:bookmarkStart w:id="92" w:name="heading_93"/>
      <w:r>
        <w:rPr>
          <w:rFonts w:ascii="Arial" w:hAnsi="Arial" w:eastAsia="等线" w:cs="Arial"/>
          <w:b/>
          <w:sz w:val="32"/>
        </w:rPr>
        <w:t>7.3 故障互锁保护逻辑</w:t>
      </w:r>
      <w:bookmarkEnd w:id="92"/>
    </w:p>
    <w:p w14:paraId="70EF084C">
      <w:pPr>
        <w:numPr>
          <w:ilvl w:val="0"/>
          <w:numId w:val="3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功放过热告警，中控自动静音/降音量；</w:t>
      </w:r>
    </w:p>
    <w:p w14:paraId="2253F678">
      <w:pPr>
        <w:numPr>
          <w:ilvl w:val="0"/>
          <w:numId w:val="3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LED屏温度过高，自动降低屏幕亮度；</w:t>
      </w:r>
    </w:p>
    <w:p w14:paraId="3101C297">
      <w:pPr>
        <w:numPr>
          <w:ilvl w:val="0"/>
          <w:numId w:val="3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传感器离线，互动系统进入安全模式，避免误触发。</w:t>
      </w:r>
    </w:p>
    <w:p w14:paraId="24AD359A">
      <w:pPr>
        <w:spacing w:before="320" w:after="120" w:line="288" w:lineRule="auto"/>
        <w:ind w:left="0"/>
        <w:jc w:val="left"/>
        <w:outlineLvl w:val="1"/>
      </w:pPr>
      <w:bookmarkStart w:id="93" w:name="heading_94"/>
      <w:r>
        <w:rPr>
          <w:rFonts w:ascii="Arial" w:hAnsi="Arial" w:eastAsia="等线" w:cs="Arial"/>
          <w:b/>
          <w:sz w:val="32"/>
        </w:rPr>
        <w:t>7.4 告警分级体系</w:t>
      </w:r>
      <w:bookmarkEnd w:id="93"/>
    </w:p>
    <w:p w14:paraId="5F6710FB">
      <w:pPr>
        <w:numPr>
          <w:ilvl w:val="0"/>
          <w:numId w:val="3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警告</w:t>
      </w:r>
      <w:r>
        <w:rPr>
          <w:rFonts w:ascii="Arial" w:hAnsi="Arial" w:eastAsia="等线" w:cs="Arial"/>
          <w:sz w:val="22"/>
        </w:rPr>
        <w:t>：非阻断业务（温度轻微偏高）</w:t>
      </w:r>
    </w:p>
    <w:p w14:paraId="628CAA2B">
      <w:pPr>
        <w:numPr>
          <w:ilvl w:val="0"/>
          <w:numId w:val="3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次要故障</w:t>
      </w:r>
      <w:r>
        <w:rPr>
          <w:rFonts w:ascii="Arial" w:hAnsi="Arial" w:eastAsia="等线" w:cs="Arial"/>
          <w:sz w:val="22"/>
        </w:rPr>
        <w:t>：部分子系统失效，主业务可用</w:t>
      </w:r>
    </w:p>
    <w:p w14:paraId="2A3DDF76">
      <w:pPr>
        <w:numPr>
          <w:ilvl w:val="0"/>
          <w:numId w:val="3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严重故障</w:t>
      </w:r>
      <w:r>
        <w:rPr>
          <w:rFonts w:ascii="Arial" w:hAnsi="Arial" w:eastAsia="等线" w:cs="Arial"/>
          <w:sz w:val="22"/>
        </w:rPr>
        <w:t>：开馆业务中断</w:t>
      </w:r>
    </w:p>
    <w:p w14:paraId="1F8C5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输出方式：本地日志弹窗、SNMP、干接点对接BA楼宇系统。</w:t>
      </w:r>
    </w:p>
    <w:p w14:paraId="73F33E93">
      <w:pPr>
        <w:spacing w:before="320" w:after="120" w:line="288" w:lineRule="auto"/>
        <w:ind w:left="0"/>
        <w:jc w:val="left"/>
        <w:outlineLvl w:val="1"/>
      </w:pPr>
      <w:bookmarkStart w:id="94" w:name="heading_95"/>
      <w:r>
        <w:rPr>
          <w:rFonts w:ascii="Arial" w:hAnsi="Arial" w:eastAsia="等线" w:cs="Arial"/>
          <w:b/>
          <w:sz w:val="32"/>
        </w:rPr>
        <w:t>7.5 告警防抖与风暴抑制</w:t>
      </w:r>
      <w:bookmarkEnd w:id="94"/>
    </w:p>
    <w:p w14:paraId="56F85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网络瞬时抖动、瞬时断连会触发批量告警风暴；所有告警配置防抖延时，过滤瞬时状态跳变；仅持续异常才输出告警。UPS市电中断、电池低压告警接入告警体系。市电掉电后系统执行有序关机，禁止直接硬断电。</w:t>
      </w:r>
    </w:p>
    <w:p w14:paraId="753E185B">
      <w:pPr>
        <w:spacing w:before="320" w:after="120" w:line="288" w:lineRule="auto"/>
        <w:ind w:left="0"/>
        <w:jc w:val="left"/>
        <w:outlineLvl w:val="1"/>
      </w:pPr>
      <w:bookmarkStart w:id="95" w:name="heading_96"/>
      <w:r>
        <w:rPr>
          <w:rFonts w:ascii="Arial" w:hAnsi="Arial" w:eastAsia="等线" w:cs="Arial"/>
          <w:b/>
          <w:sz w:val="32"/>
        </w:rPr>
        <w:t>7.6 告警对接甲方平台约束</w:t>
      </w:r>
      <w:bookmarkEnd w:id="95"/>
    </w:p>
    <w:p w14:paraId="1C873EDD">
      <w:pPr>
        <w:numPr>
          <w:ilvl w:val="0"/>
          <w:numId w:val="3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多媒体输出告警必须区分告警等级，禁止大量无效抖动告警上送给甲方IBMS运维平台；</w:t>
      </w:r>
    </w:p>
    <w:p w14:paraId="13CB3BD2">
      <w:pPr>
        <w:numPr>
          <w:ilvl w:val="0"/>
          <w:numId w:val="3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输出标准化告警点表文档，明确每一条告警点描述、告警等级、故障恢复条件；</w:t>
      </w:r>
    </w:p>
    <w:p w14:paraId="40499C46">
      <w:pPr>
        <w:numPr>
          <w:ilvl w:val="0"/>
          <w:numId w:val="3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项目交付阶段完成告警全量模拟测试，验证对接有效性。</w:t>
      </w:r>
    </w:p>
    <w:p w14:paraId="70F7367E">
      <w:pPr>
        <w:spacing w:before="300" w:after="120" w:line="288" w:lineRule="auto"/>
        <w:ind w:left="0"/>
        <w:jc w:val="left"/>
        <w:outlineLvl w:val="2"/>
      </w:pPr>
      <w:bookmarkStart w:id="96" w:name="heading_97"/>
      <w:r>
        <w:rPr>
          <w:rFonts w:ascii="Arial" w:hAnsi="Arial" w:eastAsia="等线" w:cs="Arial"/>
          <w:b/>
          <w:sz w:val="30"/>
        </w:rPr>
        <w:t>7.7 双版本告警输出</w:t>
      </w:r>
      <w:bookmarkEnd w:id="96"/>
    </w:p>
    <w:p w14:paraId="42331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维护两套告警输出：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①面向工程师完整技术告警，包含寄存器、报文、底层芯片状态；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②面向甲方运维简化业务告警，屏蔽底层技术细节，仅输出业务影响与建议处置方式。</w:t>
      </w:r>
    </w:p>
    <w:p w14:paraId="2439D12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4D67C2">
      <w:pPr>
        <w:spacing w:before="380" w:after="140" w:line="288" w:lineRule="auto"/>
        <w:ind w:left="0"/>
        <w:jc w:val="left"/>
        <w:outlineLvl w:val="0"/>
      </w:pPr>
      <w:bookmarkStart w:id="97" w:name="heading_98"/>
      <w:r>
        <w:rPr>
          <w:rFonts w:ascii="Arial" w:hAnsi="Arial" w:eastAsia="等线" w:cs="Arial"/>
          <w:b/>
          <w:sz w:val="36"/>
        </w:rPr>
        <w:t>8. 第三方系统对接规范</w:t>
      </w:r>
      <w:bookmarkEnd w:id="97"/>
    </w:p>
    <w:p w14:paraId="74E45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核心原则：第三方接口不稳定时，多媒体系统不可崩溃，具备降级运行。</w:t>
      </w:r>
    </w:p>
    <w:p w14:paraId="3F4DB84F">
      <w:pPr>
        <w:numPr>
          <w:ilvl w:val="0"/>
          <w:numId w:val="3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消防系统对接</w:t>
      </w:r>
      <w:r>
        <w:rPr>
          <w:rFonts w:ascii="Arial" w:hAnsi="Arial" w:eastAsia="等线" w:cs="Arial"/>
          <w:sz w:val="22"/>
        </w:rPr>
        <w:t>：无源干接点隔离接入；消防报警触发：音频静音、切换预设安全画面；严禁直接接入220V强电。</w:t>
      </w:r>
    </w:p>
    <w:p w14:paraId="0B354CC3">
      <w:pPr>
        <w:numPr>
          <w:ilvl w:val="0"/>
          <w:numId w:val="3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BA楼宇自控</w:t>
      </w:r>
      <w:r>
        <w:rPr>
          <w:rFonts w:ascii="Arial" w:hAnsi="Arial" w:eastAsia="等线" w:cs="Arial"/>
          <w:sz w:val="22"/>
        </w:rPr>
        <w:t>：Modbus‑TCP / BACnet；多媒体侧以只读采集状态为主，禁止随意写控制点。</w:t>
      </w:r>
    </w:p>
    <w:p w14:paraId="35945DB2">
      <w:pPr>
        <w:numPr>
          <w:ilvl w:val="0"/>
          <w:numId w:val="3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票务闸机系统</w:t>
      </w:r>
      <w:r>
        <w:rPr>
          <w:rFonts w:ascii="Arial" w:hAnsi="Arial" w:eastAsia="等线" w:cs="Arial"/>
          <w:sz w:val="22"/>
        </w:rPr>
        <w:t>：TCP/HTTP接口；增加超时缓存；闸机网络中断，展项可降级运行，不可整体卡死。</w:t>
      </w:r>
    </w:p>
    <w:p w14:paraId="066EC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补充：</w:t>
      </w:r>
    </w:p>
    <w:p w14:paraId="641FC746">
      <w:pPr>
        <w:numPr>
          <w:ilvl w:val="0"/>
          <w:numId w:val="3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网络隔离</w:t>
      </w:r>
      <w:r>
        <w:rPr>
          <w:rFonts w:ascii="Arial" w:hAnsi="Arial" w:eastAsia="等线" w:cs="Arial"/>
          <w:sz w:val="22"/>
        </w:rPr>
        <w:t>：消防、BA、票务闸机第三方网络，禁止直接接入多媒体业务VLAN；优先干接点隔离；确需网络对接，配置防火墙访问控制，禁止双向全端口互通。</w:t>
      </w:r>
    </w:p>
    <w:p w14:paraId="71E1861B">
      <w:pPr>
        <w:numPr>
          <w:ilvl w:val="0"/>
          <w:numId w:val="3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NTP时间源隔离</w:t>
      </w:r>
      <w:r>
        <w:rPr>
          <w:rFonts w:ascii="Arial" w:hAnsi="Arial" w:eastAsia="等线" w:cs="Arial"/>
          <w:sz w:val="22"/>
        </w:rPr>
        <w:t>：禁止直接跟随第三方BA系统NTP时间；第三方时间源发生跳变，会造成整套多媒体联动时序错乱；多媒体系统优先使用本地独立NTP/PTP服务器。</w:t>
      </w:r>
    </w:p>
    <w:p w14:paraId="4EA8BCC6">
      <w:pPr>
        <w:spacing w:before="320" w:after="120" w:line="288" w:lineRule="auto"/>
        <w:ind w:left="0"/>
        <w:jc w:val="left"/>
        <w:outlineLvl w:val="1"/>
      </w:pPr>
      <w:bookmarkStart w:id="98" w:name="heading_99"/>
      <w:r>
        <w:rPr>
          <w:rFonts w:ascii="Arial" w:hAnsi="Arial" w:eastAsia="等线" w:cs="Arial"/>
          <w:b/>
          <w:sz w:val="32"/>
        </w:rPr>
        <w:t>8.4 接口版本管控</w:t>
      </w:r>
      <w:bookmarkEnd w:id="98"/>
    </w:p>
    <w:p w14:paraId="57142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第三方HTTP/TCP接口必须确认接口版本号；禁止对接无版本管理的第三方接口；第三方接口升级变更必须提供书面通知、回滚方案，避免接口变更直接造成多媒体整套系统瘫痪。</w:t>
      </w:r>
    </w:p>
    <w:p w14:paraId="6B82E4DD">
      <w:pPr>
        <w:spacing w:before="300" w:after="120" w:line="288" w:lineRule="auto"/>
        <w:ind w:left="0"/>
        <w:jc w:val="left"/>
        <w:outlineLvl w:val="2"/>
      </w:pPr>
      <w:bookmarkStart w:id="99" w:name="heading_100"/>
      <w:r>
        <w:rPr>
          <w:rFonts w:ascii="Arial" w:hAnsi="Arial" w:eastAsia="等线" w:cs="Arial"/>
          <w:b/>
          <w:sz w:val="30"/>
        </w:rPr>
        <w:t>8.5 接口压力与并发测试</w:t>
      </w:r>
      <w:bookmarkEnd w:id="99"/>
    </w:p>
    <w:p w14:paraId="73DB1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票务闸机、访客第三方接口，SAT测试阶段模拟高访客并发场景，验证高并发下接口超时、消息丢失、队列阻塞问题；第三方接口并发异常时多媒体系统必须具备降级运行，不可整机卡死。</w:t>
      </w:r>
    </w:p>
    <w:p w14:paraId="47C84D5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04541B">
      <w:pPr>
        <w:spacing w:before="380" w:after="140" w:line="288" w:lineRule="auto"/>
        <w:ind w:left="0"/>
        <w:jc w:val="left"/>
        <w:outlineLvl w:val="0"/>
      </w:pPr>
      <w:bookmarkStart w:id="100" w:name="heading_101"/>
      <w:r>
        <w:rPr>
          <w:rFonts w:ascii="Arial" w:hAnsi="Arial" w:eastAsia="等线" w:cs="Arial"/>
          <w:b/>
          <w:sz w:val="36"/>
        </w:rPr>
        <w:t>9. 八级分层标准化故障排查 + 高频隐性故障清单</w:t>
      </w:r>
      <w:bookmarkEnd w:id="100"/>
    </w:p>
    <w:p w14:paraId="399F4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通用排查顺序，零遗漏，区分故障层级</w:t>
      </w:r>
    </w:p>
    <w:p w14:paraId="447F177F">
      <w:pPr>
        <w:numPr>
          <w:ilvl w:val="0"/>
          <w:numId w:val="3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精密供电检测：电压、压降、纹波、浪涌，排查电源故障</w:t>
      </w:r>
    </w:p>
    <w:p w14:paraId="15EC301E">
      <w:pPr>
        <w:numPr>
          <w:ilvl w:val="0"/>
          <w:numId w:val="3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物理链路检测：通断、阻抗、串扰、接线工艺</w:t>
      </w:r>
    </w:p>
    <w:p w14:paraId="7D308D16">
      <w:pPr>
        <w:numPr>
          <w:ilvl w:val="0"/>
          <w:numId w:val="3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网络链路检测：丢包、抖动、延迟、组播状态</w:t>
      </w:r>
    </w:p>
    <w:p w14:paraId="40364C13">
      <w:pPr>
        <w:numPr>
          <w:ilvl w:val="0"/>
          <w:numId w:val="3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硬件芯片核验：温度、固件版本、故障码</w:t>
      </w:r>
    </w:p>
    <w:p w14:paraId="44068820">
      <w:pPr>
        <w:numPr>
          <w:ilvl w:val="0"/>
          <w:numId w:val="3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协议通信排查：帧格式、校验位、时序握手</w:t>
      </w:r>
    </w:p>
    <w:p w14:paraId="544B050E">
      <w:pPr>
        <w:numPr>
          <w:ilvl w:val="0"/>
          <w:numId w:val="3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系统进程监测：CPU、内存、进程卡死</w:t>
      </w:r>
    </w:p>
    <w:p w14:paraId="7B95CD9A">
      <w:pPr>
        <w:numPr>
          <w:ilvl w:val="0"/>
          <w:numId w:val="3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素材参数核验：分辨率、码率、GOP、编码格式</w:t>
      </w:r>
    </w:p>
    <w:p w14:paraId="6E940E71">
      <w:pPr>
        <w:numPr>
          <w:ilvl w:val="0"/>
          <w:numId w:val="3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联动逻辑排查：时序、互锁、触发阈值、脚本逻辑</w:t>
      </w:r>
    </w:p>
    <w:p w14:paraId="6EA40CC9">
      <w:pPr>
        <w:spacing w:before="320" w:after="120" w:line="288" w:lineRule="auto"/>
        <w:ind w:left="0"/>
        <w:jc w:val="left"/>
        <w:outlineLvl w:val="1"/>
      </w:pPr>
      <w:bookmarkStart w:id="101" w:name="heading_102"/>
      <w:r>
        <w:rPr>
          <w:rFonts w:ascii="Arial" w:hAnsi="Arial" w:eastAsia="等线" w:cs="Arial"/>
          <w:b/>
          <w:sz w:val="32"/>
        </w:rPr>
        <w:t>高频隐性故障清单</w:t>
      </w:r>
      <w:bookmarkEnd w:id="101"/>
    </w:p>
    <w:p w14:paraId="00BB67BF">
      <w:pPr>
        <w:numPr>
          <w:ilvl w:val="0"/>
          <w:numId w:val="3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交换机EEE节能开启，端口随机闪断；</w:t>
      </w:r>
    </w:p>
    <w:p w14:paraId="50F2BA9F">
      <w:pPr>
        <w:numPr>
          <w:ilvl w:val="0"/>
          <w:numId w:val="3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DMX总线缺少120Ω终端电阻，轻载无故障，重载随机乱闪灯；</w:t>
      </w:r>
    </w:p>
    <w:p w14:paraId="2F1FDCC2">
      <w:pPr>
        <w:numPr>
          <w:ilvl w:val="0"/>
          <w:numId w:val="3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RS485 A/B接反，不是完全不通，高负载随机乱码；</w:t>
      </w:r>
    </w:p>
    <w:p w14:paraId="364C4A38">
      <w:pPr>
        <w:numPr>
          <w:ilvl w:val="0"/>
          <w:numId w:val="3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EDID热插拔漂移，矩阵切换改写EDID，用EDID模拟器固化；</w:t>
      </w:r>
    </w:p>
    <w:p w14:paraId="465EFC21">
      <w:pPr>
        <w:numPr>
          <w:ilvl w:val="0"/>
          <w:numId w:val="3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现场无本地NTP，各设备时间飘移，联动时序错乱；</w:t>
      </w:r>
    </w:p>
    <w:p w14:paraId="5ACC66B6">
      <w:pPr>
        <w:numPr>
          <w:ilvl w:val="0"/>
          <w:numId w:val="3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USB3.0线缆干扰485、2.4G传感器；</w:t>
      </w:r>
    </w:p>
    <w:p w14:paraId="0668E437">
      <w:pPr>
        <w:numPr>
          <w:ilvl w:val="0"/>
          <w:numId w:val="3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USB转485长期运行掉线，关键联动改用PCI‑E串口卡；</w:t>
      </w:r>
    </w:p>
    <w:p w14:paraId="0511146C">
      <w:pPr>
        <w:numPr>
          <w:ilvl w:val="0"/>
          <w:numId w:val="3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部分融合器DSP固件内存泄漏，多日连续运行卡死；</w:t>
      </w:r>
    </w:p>
    <w:p w14:paraId="3CAAD431">
      <w:pPr>
        <w:numPr>
          <w:ilvl w:val="0"/>
          <w:numId w:val="3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第三方平台自动升级接口，导致多媒体对接失效。</w:t>
      </w:r>
    </w:p>
    <w:p w14:paraId="10BC32D8">
      <w:pPr>
        <w:spacing w:before="320" w:after="120" w:line="288" w:lineRule="auto"/>
        <w:ind w:left="0"/>
        <w:jc w:val="left"/>
        <w:outlineLvl w:val="1"/>
      </w:pPr>
      <w:bookmarkStart w:id="102" w:name="heading_103"/>
      <w:r>
        <w:rPr>
          <w:rFonts w:ascii="Arial" w:hAnsi="Arial" w:eastAsia="等线" w:cs="Arial"/>
          <w:b/>
          <w:sz w:val="32"/>
        </w:rPr>
        <w:t>9.3 间歇性偶发故障排查专项思路</w:t>
      </w:r>
      <w:bookmarkEnd w:id="102"/>
    </w:p>
    <w:p w14:paraId="20A08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文旅项目大量故障属于偶发、难以复现故障，排查优先采集：完整运行日志、环境温度曲线、电网电压波动记录。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优先怀疑方向：接地干扰、EMC干扰、固件内存泄漏、器件温度漂移。</w:t>
      </w:r>
    </w:p>
    <w:p w14:paraId="529F4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不优先盲目更换硬件，需要抓取复现条件，定位根因。</w:t>
      </w:r>
    </w:p>
    <w:p w14:paraId="42F133BD">
      <w:pPr>
        <w:spacing w:before="320" w:after="120" w:line="288" w:lineRule="auto"/>
        <w:ind w:left="0"/>
        <w:jc w:val="left"/>
        <w:outlineLvl w:val="1"/>
      </w:pPr>
      <w:bookmarkStart w:id="103" w:name="heading_104"/>
      <w:r>
        <w:rPr>
          <w:rFonts w:ascii="Arial" w:hAnsi="Arial" w:eastAsia="等线" w:cs="Arial"/>
          <w:b/>
          <w:sz w:val="32"/>
        </w:rPr>
        <w:t>9.4 主观效果类故障排查思路</w:t>
      </w:r>
      <w:bookmarkEnd w:id="103"/>
    </w:p>
    <w:p w14:paraId="6B03F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现象描述如“画面观感不好、颜色怪异”，排查顺序：</w:t>
      </w:r>
    </w:p>
    <w:p w14:paraId="168950DB">
      <w:pPr>
        <w:numPr>
          <w:ilvl w:val="0"/>
          <w:numId w:val="3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核对硬件参数设置；2. 校验素材编码、色彩空间；3. 检查幕布、反光、环境光等物理光学条件；4. 确认是否为创意/内容主观效果。</w:t>
      </w:r>
    </w:p>
    <w:p w14:paraId="13BE8A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主观艺术观感，以提前签署的《艺术效果确认单》作为判定依据。</w:t>
      </w:r>
    </w:p>
    <w:p w14:paraId="31DAD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故障分级上报机制</w:t>
      </w:r>
    </w:p>
    <w:p w14:paraId="210E0989">
      <w:pPr>
        <w:numPr>
          <w:ilvl w:val="0"/>
          <w:numId w:val="3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1级故障（开馆业务中断严重故障）：故障发生立刻上报项目负责人；</w:t>
      </w:r>
    </w:p>
    <w:p w14:paraId="799E4CF7">
      <w:pPr>
        <w:numPr>
          <w:ilvl w:val="0"/>
          <w:numId w:val="3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2级故障（部分子系统失效）：及时记录，安排窗口期处置；</w:t>
      </w:r>
    </w:p>
    <w:p w14:paraId="27A46A0F">
      <w:pPr>
        <w:numPr>
          <w:ilvl w:val="0"/>
          <w:numId w:val="3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3级故障（轻微告警，不影响业务）：巡检周期内处理。</w:t>
      </w:r>
    </w:p>
    <w:p w14:paraId="2521E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故障处置完成后，必须填写故障案例库，禁止故障处理完毕无记录归档。</w:t>
      </w:r>
    </w:p>
    <w:p w14:paraId="62AB30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开馆故障标准流程：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1）优先业务降级保障观众体验；2）记录故障现象时间；3）启用备用方案；4）业务窗口期再深度定位根因；5）处置完成录入故障案例库。</w:t>
      </w:r>
    </w:p>
    <w:p w14:paraId="02DD923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E6E918">
      <w:pPr>
        <w:spacing w:before="380" w:after="140" w:line="288" w:lineRule="auto"/>
        <w:ind w:left="0"/>
        <w:jc w:val="left"/>
        <w:outlineLvl w:val="0"/>
      </w:pPr>
      <w:bookmarkStart w:id="104" w:name="heading_105"/>
      <w:r>
        <w:rPr>
          <w:rFonts w:ascii="Arial" w:hAnsi="Arial" w:eastAsia="等线" w:cs="Arial"/>
          <w:b/>
          <w:sz w:val="36"/>
        </w:rPr>
        <w:t>10. 测试体系：FAT工厂验收、SAT现场分阶段测试、拷机&amp;压力测试</w:t>
      </w:r>
      <w:bookmarkEnd w:id="104"/>
    </w:p>
    <w:p w14:paraId="5D3B4B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禁止全部设备接在一起直接联调，故障耦合无法定位，问题前置。</w:t>
      </w:r>
    </w:p>
    <w:p w14:paraId="0654731A">
      <w:pPr>
        <w:numPr>
          <w:ilvl w:val="0"/>
          <w:numId w:val="3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FAT工厂预测试（重大项目必做）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在工厂搭建最小等效系统，单机‑子系统‑简易全联动；固化固件版本、全部参数；把硬件缺陷、协议兼容性问题在工厂解决。</w:t>
      </w:r>
    </w:p>
    <w:p w14:paraId="6F5FC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FAT补充：关键非标项目条件允许留存一套最小样机，用于后期固件升级回归测试。</w:t>
      </w:r>
    </w:p>
    <w:p w14:paraId="55D945A3">
      <w:pPr>
        <w:numPr>
          <w:ilvl w:val="0"/>
          <w:numId w:val="3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SAT现场分系统测试流程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①单机独立硬件测试；②子系统闭环测试（显示子系统、音频子系统、灯光子系统）；③全系统中控联动、互动内容协同测试。</w:t>
      </w:r>
    </w:p>
    <w:p w14:paraId="1A655B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SAT补充：增加真实用户场景模拟测试，不能仅工程师测试；模拟真实观众使用行为，包含大量人员触发互动、白天强光环境、夜间暗光环境。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SAT测试增加艺术效果专项测试项：在不同自然光、室内灯光环境下完成效果验证；模拟实际观众观看视角留存测试照片，作为验收参考材料。</w:t>
      </w:r>
    </w:p>
    <w:p w14:paraId="4CDA7738">
      <w:pPr>
        <w:numPr>
          <w:ilvl w:val="0"/>
          <w:numId w:val="3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边界压力测试</w:t>
      </w:r>
    </w:p>
    <w:p w14:paraId="25CEF04A">
      <w:pPr>
        <w:numPr>
          <w:ilvl w:val="0"/>
          <w:numId w:val="3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中控压力：循环执行上百次全部场景，检查是否卡死丢指令；</w:t>
      </w:r>
    </w:p>
    <w:p w14:paraId="797CB562">
      <w:pPr>
        <w:numPr>
          <w:ilvl w:val="0"/>
          <w:numId w:val="3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网络压力：模拟组播大流量，验证灯光大屏稳定性；</w:t>
      </w:r>
    </w:p>
    <w:p w14:paraId="58A9D6AF">
      <w:pPr>
        <w:numPr>
          <w:ilvl w:val="0"/>
          <w:numId w:val="3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电源波动：模拟电网电压波动；</w:t>
      </w:r>
    </w:p>
    <w:p w14:paraId="1E3980EE">
      <w:pPr>
        <w:numPr>
          <w:ilvl w:val="0"/>
          <w:numId w:val="3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异常注入：人为断网、断串口，恢复后验证系统自恢复；</w:t>
      </w:r>
    </w:p>
    <w:p w14:paraId="2EFB57E6">
      <w:pPr>
        <w:numPr>
          <w:ilvl w:val="0"/>
          <w:numId w:val="3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断电‑上电完整业务恢复测试。</w:t>
      </w:r>
    </w:p>
    <w:p w14:paraId="03103A67">
      <w:pPr>
        <w:numPr>
          <w:ilvl w:val="0"/>
          <w:numId w:val="3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72小时拷机强化要求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禁止仅播放静态图片；循环播放动态视频、循环全部中控场景、循环触发全部互动点位、跑灯光节目；全程记录系统日志。</w:t>
      </w:r>
    </w:p>
    <w:p w14:paraId="4F3B19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拷机补充：优先模拟项目实际开馆时间表自动启停系统，不强制无条件24h不间断运行，模拟真实现场开关机时序。</w:t>
      </w:r>
    </w:p>
    <w:p w14:paraId="3DF69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补充：</w:t>
      </w:r>
    </w:p>
    <w:p w14:paraId="353B1DA2">
      <w:pPr>
        <w:numPr>
          <w:ilvl w:val="0"/>
          <w:numId w:val="3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FAT工厂测试必须包含固件回归测试：任何固件升级，完整跑一遍最小系统全部功能，不能仅验证新增功能，防止旧功能被破坏。</w:t>
      </w:r>
    </w:p>
    <w:p w14:paraId="1EB9B6DC">
      <w:pPr>
        <w:numPr>
          <w:ilvl w:val="0"/>
          <w:numId w:val="3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SAT异常注入测试增加电网扰动模拟：条件允许使用电压扰动模拟器；无条件则执行多次瞬时断电、反复整机启停模拟展馆现场跳闸。</w:t>
      </w:r>
    </w:p>
    <w:p w14:paraId="3A83EED6">
      <w:pPr>
        <w:numPr>
          <w:ilvl w:val="0"/>
          <w:numId w:val="3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72h拷机硬性约束</w:t>
      </w:r>
      <w:r>
        <w:rPr>
          <w:rFonts w:ascii="Arial" w:hAnsi="Arial" w:eastAsia="等线" w:cs="Arial"/>
          <w:sz w:val="22"/>
        </w:rPr>
        <w:t>：拷机期间禁止屏蔽告警、禁止关闭报错输出；拷机结束完整导出全部系统日志留存，不能只肉眼观察画面正常。</w:t>
      </w:r>
    </w:p>
    <w:p w14:paraId="15A510C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A14BF7">
      <w:pPr>
        <w:spacing w:before="380" w:after="140" w:line="288" w:lineRule="auto"/>
        <w:ind w:left="0"/>
        <w:jc w:val="left"/>
        <w:outlineLvl w:val="0"/>
      </w:pPr>
      <w:bookmarkStart w:id="105" w:name="heading_106"/>
      <w:r>
        <w:rPr>
          <w:rFonts w:ascii="Arial" w:hAnsi="Arial" w:eastAsia="等线" w:cs="Arial"/>
          <w:b/>
          <w:sz w:val="36"/>
        </w:rPr>
        <w:t>11. 项目交付｜备品备件分层策略｜文档归档｜培训</w:t>
      </w:r>
      <w:bookmarkEnd w:id="105"/>
    </w:p>
    <w:p w14:paraId="7B18953D">
      <w:pPr>
        <w:spacing w:before="320" w:after="120" w:line="288" w:lineRule="auto"/>
        <w:ind w:left="0"/>
        <w:jc w:val="left"/>
        <w:outlineLvl w:val="1"/>
      </w:pPr>
      <w:bookmarkStart w:id="106" w:name="heading_107"/>
      <w:r>
        <w:rPr>
          <w:rFonts w:ascii="Arial" w:hAnsi="Arial" w:eastAsia="等线" w:cs="Arial"/>
          <w:b/>
          <w:sz w:val="32"/>
        </w:rPr>
        <w:t>11.1 备件分层策略</w:t>
      </w:r>
      <w:bookmarkEnd w:id="106"/>
    </w:p>
    <w:p w14:paraId="7669AAFA">
      <w:pPr>
        <w:numPr>
          <w:ilvl w:val="0"/>
          <w:numId w:val="3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现场热备件</w:t>
      </w:r>
      <w:r>
        <w:rPr>
          <w:rFonts w:ascii="Arial" w:hAnsi="Arial" w:eastAsia="等线" w:cs="Arial"/>
          <w:sz w:val="22"/>
        </w:rPr>
        <w:t>（库房存放，故障立刻更换保障开馆）：接收卡、485转换器、音频隔离器、DMX终端电阻、EDID模拟器；</w:t>
      </w:r>
    </w:p>
    <w:p w14:paraId="109C7928">
      <w:pPr>
        <w:numPr>
          <w:ilvl w:val="0"/>
          <w:numId w:val="3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订货备件</w:t>
      </w:r>
      <w:r>
        <w:rPr>
          <w:rFonts w:ascii="Arial" w:hAnsi="Arial" w:eastAsia="等线" w:cs="Arial"/>
          <w:sz w:val="22"/>
        </w:rPr>
        <w:t>：大屏电源、HUB板、模组，确认供货周期；</w:t>
      </w:r>
    </w:p>
    <w:p w14:paraId="19FA5F0B">
      <w:pPr>
        <w:numPr>
          <w:ilvl w:val="0"/>
          <w:numId w:val="3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整机备件</w:t>
      </w:r>
      <w:r>
        <w:rPr>
          <w:rFonts w:ascii="Arial" w:hAnsi="Arial" w:eastAsia="等线" w:cs="Arial"/>
          <w:sz w:val="22"/>
        </w:rPr>
        <w:t>：备用交换机、SFP模块按需配置；</w:t>
      </w:r>
    </w:p>
    <w:p w14:paraId="6636D4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台账记录器件供货周期，停产器件提前预警。</w:t>
      </w:r>
    </w:p>
    <w:p w14:paraId="346217A3">
      <w:pPr>
        <w:spacing w:before="320" w:after="120" w:line="288" w:lineRule="auto"/>
        <w:ind w:left="0"/>
        <w:jc w:val="left"/>
        <w:outlineLvl w:val="1"/>
      </w:pPr>
      <w:bookmarkStart w:id="107" w:name="heading_108"/>
      <w:r>
        <w:rPr>
          <w:rFonts w:ascii="Arial" w:hAnsi="Arial" w:eastAsia="等线" w:cs="Arial"/>
          <w:b/>
          <w:sz w:val="32"/>
        </w:rPr>
        <w:t>11.2 归档文档清单</w:t>
      </w:r>
      <w:bookmarkEnd w:id="107"/>
    </w:p>
    <w:p w14:paraId="4EF468F6">
      <w:pPr>
        <w:numPr>
          <w:ilvl w:val="0"/>
          <w:numId w:val="3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系统拓扑图、接线图、点位表、VLAN划分表；</w:t>
      </w:r>
    </w:p>
    <w:p w14:paraId="6CBD669C">
      <w:pPr>
        <w:numPr>
          <w:ilvl w:val="0"/>
          <w:numId w:val="3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设备参数备份：LED接收卡参数、融合工程文件、DSP预设、DMX地址表；</w:t>
      </w:r>
    </w:p>
    <w:p w14:paraId="46A92261">
      <w:pPr>
        <w:numPr>
          <w:ilvl w:val="0"/>
          <w:numId w:val="3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中控脚本及注释文档；</w:t>
      </w:r>
    </w:p>
    <w:p w14:paraId="4E354693">
      <w:pPr>
        <w:numPr>
          <w:ilvl w:val="0"/>
          <w:numId w:val="3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设备固件版本台账；</w:t>
      </w:r>
    </w:p>
    <w:p w14:paraId="206301FF">
      <w:pPr>
        <w:numPr>
          <w:ilvl w:val="0"/>
          <w:numId w:val="3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素材MD5校验表；</w:t>
      </w:r>
    </w:p>
    <w:p w14:paraId="58175F0C">
      <w:pPr>
        <w:numPr>
          <w:ilvl w:val="0"/>
          <w:numId w:val="3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FAT/SAT测试报告、调试记录、验收测试报告。</w:t>
      </w:r>
    </w:p>
    <w:p w14:paraId="53D3D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文档区分两套：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①交付甲方正式竣工文档；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②公司内部工程档案（包含完整抓包、调试日志、故障记录，不对外交付）。</w:t>
      </w:r>
    </w:p>
    <w:p w14:paraId="6878E0E0">
      <w:pPr>
        <w:spacing w:before="320" w:after="120" w:line="288" w:lineRule="auto"/>
        <w:ind w:left="0"/>
        <w:jc w:val="left"/>
        <w:outlineLvl w:val="1"/>
      </w:pPr>
      <w:bookmarkStart w:id="108" w:name="heading_109"/>
      <w:r>
        <w:rPr>
          <w:rFonts w:ascii="Arial" w:hAnsi="Arial" w:eastAsia="等线" w:cs="Arial"/>
          <w:b/>
          <w:sz w:val="32"/>
        </w:rPr>
        <w:t>11.3 分层操作培训文档</w:t>
      </w:r>
      <w:bookmarkEnd w:id="108"/>
    </w:p>
    <w:p w14:paraId="674B98FE">
      <w:pPr>
        <w:numPr>
          <w:ilvl w:val="0"/>
          <w:numId w:val="3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普通操作人员简易手册：开关机、场景切换，禁止修改参数；</w:t>
      </w:r>
    </w:p>
    <w:p w14:paraId="4EF32140">
      <w:pPr>
        <w:numPr>
          <w:ilvl w:val="0"/>
          <w:numId w:val="3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甲方技术维护手册：简单故障定位，高危操作禁令；</w:t>
      </w:r>
    </w:p>
    <w:p w14:paraId="5814190B">
      <w:pPr>
        <w:numPr>
          <w:ilvl w:val="0"/>
          <w:numId w:val="3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工程师完整调试手册（本手册）。</w:t>
      </w:r>
    </w:p>
    <w:p w14:paraId="3A94B008">
      <w:pPr>
        <w:spacing w:before="320" w:after="120" w:line="288" w:lineRule="auto"/>
        <w:ind w:left="0"/>
        <w:jc w:val="left"/>
        <w:outlineLvl w:val="1"/>
      </w:pPr>
      <w:bookmarkStart w:id="109" w:name="heading_110"/>
      <w:r>
        <w:rPr>
          <w:rFonts w:ascii="Arial" w:hAnsi="Arial" w:eastAsia="等线" w:cs="Arial"/>
          <w:b/>
          <w:sz w:val="32"/>
        </w:rPr>
        <w:t>11.4 器件寿命与EOL停产预警台账</w:t>
      </w:r>
      <w:bookmarkEnd w:id="109"/>
    </w:p>
    <w:p w14:paraId="0FF84E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竣工文档增加器件寿命台账：记录LED模组光源、投影机光源、SSD、UPS电池预估寿命；标记器件停产风险与备选替代型号；维保到期前向甲方输出器件老化风险预警。</w:t>
      </w:r>
    </w:p>
    <w:p w14:paraId="5AF8A029">
      <w:pPr>
        <w:spacing w:before="320" w:after="120" w:line="288" w:lineRule="auto"/>
        <w:ind w:left="0"/>
        <w:jc w:val="left"/>
        <w:outlineLvl w:val="1"/>
      </w:pPr>
      <w:bookmarkStart w:id="110" w:name="heading_111"/>
      <w:r>
        <w:rPr>
          <w:rFonts w:ascii="Arial" w:hAnsi="Arial" w:eastAsia="等线" w:cs="Arial"/>
          <w:b/>
          <w:sz w:val="32"/>
        </w:rPr>
        <w:t>11.5 账号密码与涉密文档管控</w:t>
      </w:r>
      <w:bookmarkEnd w:id="110"/>
    </w:p>
    <w:p w14:paraId="07346C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系统拓扑、设备账号密码台账做加密保管，不随普通竣工资料无限制分发；账号密码清单密封交付甲方。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区分消耗件（滤网、磁环、DMX终端电阻）与故障替换备件，给甲方提供消耗件采购建议清单。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全部现场变更单归入竣工归档包。</w:t>
      </w:r>
    </w:p>
    <w:p w14:paraId="13518F60">
      <w:pPr>
        <w:spacing w:before="320" w:after="120" w:line="288" w:lineRule="auto"/>
        <w:ind w:left="0"/>
        <w:jc w:val="left"/>
        <w:outlineLvl w:val="1"/>
      </w:pPr>
      <w:bookmarkStart w:id="111" w:name="heading_112"/>
      <w:r>
        <w:rPr>
          <w:rFonts w:ascii="Arial" w:hAnsi="Arial" w:eastAsia="等线" w:cs="Arial"/>
          <w:b/>
          <w:sz w:val="32"/>
        </w:rPr>
        <w:t>11.6 知识产权与交付物边界</w:t>
      </w:r>
      <w:bookmarkEnd w:id="111"/>
    </w:p>
    <w:p w14:paraId="6A5A15B2">
      <w:pPr>
        <w:numPr>
          <w:ilvl w:val="0"/>
          <w:numId w:val="3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区分交付物归属：硬件设备、工程配置文件（拓扑、DSP预设、LED参数文件）交付甲方；商业第三方软件同步交付授权证书，区分永久授权、年度订阅授权。</w:t>
      </w:r>
    </w:p>
    <w:p w14:paraId="74DCE05A">
      <w:pPr>
        <w:numPr>
          <w:ilvl w:val="0"/>
          <w:numId w:val="3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Unity/UE内容工程源文件不属于多媒体集成方默认交付范围，如需交付必须在合同中明确约定。</w:t>
      </w:r>
    </w:p>
    <w:p w14:paraId="51D254FA">
      <w:pPr>
        <w:numPr>
          <w:ilvl w:val="0"/>
          <w:numId w:val="3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全部交付文档进行版本编号，交付完成留存签收记录。</w:t>
      </w:r>
    </w:p>
    <w:p w14:paraId="50B1958F">
      <w:pPr>
        <w:spacing w:before="320" w:after="120" w:line="288" w:lineRule="auto"/>
        <w:ind w:left="0"/>
        <w:jc w:val="left"/>
        <w:outlineLvl w:val="1"/>
      </w:pPr>
      <w:bookmarkStart w:id="112" w:name="heading_113"/>
      <w:r>
        <w:rPr>
          <w:rFonts w:ascii="Arial" w:hAnsi="Arial" w:eastAsia="等线" w:cs="Arial"/>
          <w:b/>
          <w:sz w:val="32"/>
        </w:rPr>
        <w:t>11.7 培训管理补充</w:t>
      </w:r>
      <w:bookmarkEnd w:id="112"/>
    </w:p>
    <w:p w14:paraId="193E4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培训分为普通操作人员现场操作培训、甲方技术人员深度维护培训；留存培训签到表、培训考核确认记录，培训完成需要甲方签字确认。</w:t>
      </w:r>
    </w:p>
    <w:p w14:paraId="6C918A08">
      <w:pPr>
        <w:spacing w:before="300" w:after="120" w:line="288" w:lineRule="auto"/>
        <w:ind w:left="0"/>
        <w:jc w:val="left"/>
        <w:outlineLvl w:val="2"/>
      </w:pPr>
      <w:bookmarkStart w:id="113" w:name="heading_114"/>
      <w:r>
        <w:rPr>
          <w:rFonts w:ascii="Arial" w:hAnsi="Arial" w:eastAsia="等线" w:cs="Arial"/>
          <w:b/>
          <w:sz w:val="30"/>
        </w:rPr>
        <w:t>11.8 内容交付包完整归档</w:t>
      </w:r>
      <w:bookmarkEnd w:id="113"/>
    </w:p>
    <w:p w14:paraId="27D5EC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归档包含交互程序发布包、素材、MediaInfo报告、素材版本变更台账；明确UE/Unity源工程是否交付，与知识产权条款保持一致。</w:t>
      </w:r>
    </w:p>
    <w:p w14:paraId="123B0032">
      <w:pPr>
        <w:spacing w:before="300" w:after="120" w:line="288" w:lineRule="auto"/>
        <w:ind w:left="0"/>
        <w:jc w:val="left"/>
        <w:outlineLvl w:val="2"/>
      </w:pPr>
      <w:bookmarkStart w:id="114" w:name="heading_115"/>
      <w:r>
        <w:rPr>
          <w:rFonts w:ascii="Arial" w:hAnsi="Arial" w:eastAsia="等线" w:cs="Arial"/>
          <w:b/>
          <w:sz w:val="30"/>
        </w:rPr>
        <w:t>11.9 临展项目备件特殊策略</w:t>
      </w:r>
      <w:bookmarkEnd w:id="114"/>
    </w:p>
    <w:p w14:paraId="3A8A0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巡展项目易损备件随同航空箱成套配置，设置随身备件包，保障异地现场快速更换。</w:t>
      </w:r>
    </w:p>
    <w:p w14:paraId="62BB40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A43B7A">
      <w:pPr>
        <w:spacing w:before="380" w:after="140" w:line="288" w:lineRule="auto"/>
        <w:ind w:left="0"/>
        <w:jc w:val="left"/>
        <w:outlineLvl w:val="0"/>
      </w:pPr>
      <w:bookmarkStart w:id="115" w:name="heading_116"/>
      <w:r>
        <w:rPr>
          <w:rFonts w:ascii="Arial" w:hAnsi="Arial" w:eastAsia="等线" w:cs="Arial"/>
          <w:b/>
          <w:sz w:val="36"/>
        </w:rPr>
        <w:t>12. 运维巡检体系与开馆故障应急处置预案</w:t>
      </w:r>
      <w:bookmarkEnd w:id="115"/>
    </w:p>
    <w:p w14:paraId="02B35234">
      <w:pPr>
        <w:numPr>
          <w:ilvl w:val="0"/>
          <w:numId w:val="3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巡检分级：每周日常巡检；季度深度巡检；年度全面深度巡检。</w:t>
      </w:r>
    </w:p>
    <w:p w14:paraId="2424D2ED">
      <w:pPr>
        <w:numPr>
          <w:ilvl w:val="0"/>
          <w:numId w:val="3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</w:t>
      </w:r>
      <w:r>
        <w:rPr>
          <w:rFonts w:ascii="Arial" w:hAnsi="Arial" w:eastAsia="等线" w:cs="Arial"/>
          <w:b/>
          <w:sz w:val="22"/>
        </w:rPr>
        <w:t>开馆故障优先降级保障业务，再定位根因，不可优先深度排障。</w:t>
      </w:r>
    </w:p>
    <w:p w14:paraId="29495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新增：年度应急演练；重大活动专项检查</w:t>
      </w:r>
    </w:p>
    <w:p w14:paraId="5482500F">
      <w:pPr>
        <w:numPr>
          <w:ilvl w:val="0"/>
          <w:numId w:val="3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每年至少组织1次开馆故障实战应急演练，演练记录归档，不可只留存纸面文档。</w:t>
      </w:r>
    </w:p>
    <w:p w14:paraId="13F16E27">
      <w:pPr>
        <w:numPr>
          <w:ilvl w:val="0"/>
          <w:numId w:val="3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节假日、重大接待活动前开展全系统专项预检查、全流程预演。</w:t>
      </w:r>
    </w:p>
    <w:p w14:paraId="035E9C88">
      <w:pPr>
        <w:spacing w:before="300" w:after="120" w:line="288" w:lineRule="auto"/>
        <w:ind w:left="0"/>
        <w:jc w:val="left"/>
        <w:outlineLvl w:val="2"/>
      </w:pPr>
      <w:bookmarkStart w:id="116" w:name="heading_117"/>
      <w:r>
        <w:rPr>
          <w:rFonts w:ascii="Arial" w:hAnsi="Arial" w:eastAsia="等线" w:cs="Arial"/>
          <w:b/>
          <w:sz w:val="30"/>
        </w:rPr>
        <w:t>12.3 重大接待活动专项检查</w:t>
      </w:r>
      <w:bookmarkEnd w:id="116"/>
    </w:p>
    <w:p w14:paraId="6ACBD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重大接待、节假日活动前执行专项预检查：全流程完整预演；准备业务回滚预案；确认备用播放主机、备用应急素材就位。</w:t>
      </w:r>
    </w:p>
    <w:p w14:paraId="12E6C19F">
      <w:pPr>
        <w:spacing w:before="300" w:after="120" w:line="288" w:lineRule="auto"/>
        <w:ind w:left="0"/>
        <w:jc w:val="left"/>
        <w:outlineLvl w:val="2"/>
      </w:pPr>
      <w:bookmarkStart w:id="117" w:name="heading_118"/>
      <w:r>
        <w:rPr>
          <w:rFonts w:ascii="Arial" w:hAnsi="Arial" w:eastAsia="等线" w:cs="Arial"/>
          <w:b/>
          <w:sz w:val="30"/>
        </w:rPr>
        <w:t>12.4 巡展拆装后快速巡检清单</w:t>
      </w:r>
      <w:bookmarkEnd w:id="117"/>
    </w:p>
    <w:p w14:paraId="13EC73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每次巡展现场搭建完成：供电电压检查、接线端子紧固、网络链路测试、基础联动测试、关键素材MD5校验、告警功能验证。</w:t>
      </w:r>
    </w:p>
    <w:p w14:paraId="6313B4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C8BB6F">
      <w:pPr>
        <w:spacing w:before="380" w:after="140" w:line="288" w:lineRule="auto"/>
        <w:ind w:left="0"/>
        <w:jc w:val="left"/>
        <w:outlineLvl w:val="0"/>
      </w:pPr>
      <w:bookmarkStart w:id="118" w:name="heading_119"/>
      <w:r>
        <w:rPr>
          <w:rFonts w:ascii="Arial" w:hAnsi="Arial" w:eastAsia="等线" w:cs="Arial"/>
          <w:b/>
          <w:sz w:val="36"/>
        </w:rPr>
        <w:t>13. 项目复盘知识库与质量管控体系</w:t>
      </w:r>
      <w:bookmarkEnd w:id="118"/>
    </w:p>
    <w:p w14:paraId="3FDC3F44">
      <w:pPr>
        <w:spacing w:before="320" w:after="120" w:line="288" w:lineRule="auto"/>
        <w:ind w:left="0"/>
        <w:jc w:val="left"/>
        <w:outlineLvl w:val="1"/>
      </w:pPr>
      <w:bookmarkStart w:id="119" w:name="heading_120"/>
      <w:r>
        <w:rPr>
          <w:rFonts w:ascii="Arial" w:hAnsi="Arial" w:eastAsia="等线" w:cs="Arial"/>
          <w:b/>
          <w:sz w:val="32"/>
        </w:rPr>
        <w:t>13.1 项目开工前技术评审制度</w:t>
      </w:r>
      <w:bookmarkEnd w:id="119"/>
    </w:p>
    <w:p w14:paraId="18FBDE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重大、复杂沉浸式项目，实施方案必须执行公司内部技术评审；方案未评审完成，不允许进场实施。评审覆盖选型、风险点、分包界面、国产化兼容性、第三方接口风险。</w:t>
      </w:r>
    </w:p>
    <w:p w14:paraId="23C8CA5C">
      <w:pPr>
        <w:spacing w:before="320" w:after="120" w:line="288" w:lineRule="auto"/>
        <w:ind w:left="0"/>
        <w:jc w:val="left"/>
        <w:outlineLvl w:val="1"/>
      </w:pPr>
      <w:bookmarkStart w:id="120" w:name="heading_121"/>
      <w:r>
        <w:rPr>
          <w:rFonts w:ascii="Arial" w:hAnsi="Arial" w:eastAsia="等线" w:cs="Arial"/>
          <w:b/>
          <w:sz w:val="32"/>
        </w:rPr>
        <w:t>13.2 固件版本管控</w:t>
      </w:r>
      <w:bookmarkEnd w:id="120"/>
    </w:p>
    <w:p w14:paraId="026CBB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建立公司统一固件库；禁止工程师互联网随意下载固件；进场使用全部固件必须完成回归测试，完整记录固件版本台账。现场升级固件必须执行完整功能回归测试。</w:t>
      </w:r>
    </w:p>
    <w:p w14:paraId="65BC1D9C">
      <w:pPr>
        <w:spacing w:before="320" w:after="120" w:line="288" w:lineRule="auto"/>
        <w:ind w:left="0"/>
        <w:jc w:val="left"/>
        <w:outlineLvl w:val="1"/>
      </w:pPr>
      <w:bookmarkStart w:id="121" w:name="heading_122"/>
      <w:r>
        <w:rPr>
          <w:rFonts w:ascii="Arial" w:hAnsi="Arial" w:eastAsia="等线" w:cs="Arial"/>
          <w:b/>
          <w:sz w:val="32"/>
        </w:rPr>
        <w:t>13.3 项目质量放行准则</w:t>
      </w:r>
      <w:bookmarkEnd w:id="121"/>
    </w:p>
    <w:p w14:paraId="15D7B2F6">
      <w:pPr>
        <w:numPr>
          <w:ilvl w:val="0"/>
          <w:numId w:val="3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FAT工厂测试结论不通过，设备不允许发货进场；</w:t>
      </w:r>
    </w:p>
    <w:p w14:paraId="2B197238">
      <w:pPr>
        <w:numPr>
          <w:ilvl w:val="0"/>
          <w:numId w:val="3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SAT现场测试不通过，不允许项目竣工验收。</w:t>
      </w:r>
    </w:p>
    <w:p w14:paraId="6BDAAC94">
      <w:pPr>
        <w:spacing w:before="320" w:after="120" w:line="288" w:lineRule="auto"/>
        <w:ind w:left="0"/>
        <w:jc w:val="left"/>
        <w:outlineLvl w:val="1"/>
      </w:pPr>
      <w:bookmarkStart w:id="122" w:name="heading_123"/>
      <w:r>
        <w:rPr>
          <w:rFonts w:ascii="Arial" w:hAnsi="Arial" w:eastAsia="等线" w:cs="Arial"/>
          <w:b/>
          <w:sz w:val="32"/>
        </w:rPr>
        <w:t>13.4 工程师分级上岗制度</w:t>
      </w:r>
      <w:bookmarkEnd w:id="122"/>
    </w:p>
    <w:p w14:paraId="481700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区分初级工程师、中级调试工程师、高级集成工程师；按照项目复杂度匹配对应等级工程师，高风险沉浸式、国产化项目，必须配置高级集成工程师。</w:t>
      </w:r>
    </w:p>
    <w:p w14:paraId="57ED906E">
      <w:pPr>
        <w:spacing w:before="320" w:after="120" w:line="288" w:lineRule="auto"/>
        <w:ind w:left="0"/>
        <w:jc w:val="left"/>
        <w:outlineLvl w:val="1"/>
      </w:pPr>
      <w:bookmarkStart w:id="123" w:name="heading_124"/>
      <w:r>
        <w:rPr>
          <w:rFonts w:ascii="Arial" w:hAnsi="Arial" w:eastAsia="等线" w:cs="Arial"/>
          <w:b/>
          <w:sz w:val="32"/>
        </w:rPr>
        <w:t>13.5 项目复盘强制要求</w:t>
      </w:r>
      <w:bookmarkEnd w:id="123"/>
    </w:p>
    <w:p w14:paraId="6A21E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无论项目是否发生重大故障，项目完工后必须输出项目复盘记录，填写故障案例库；复盘内容包含：项目环境条件、设备选型清单、固件版本、故障现象、复现条件、根因。</w:t>
      </w:r>
    </w:p>
    <w:p w14:paraId="4151541B">
      <w:pPr>
        <w:spacing w:before="300" w:after="120" w:line="288" w:lineRule="auto"/>
        <w:ind w:left="0"/>
        <w:jc w:val="left"/>
        <w:outlineLvl w:val="2"/>
      </w:pPr>
      <w:bookmarkStart w:id="124" w:name="heading_125"/>
      <w:r>
        <w:rPr>
          <w:rFonts w:ascii="Arial" w:hAnsi="Arial" w:eastAsia="等线" w:cs="Arial"/>
          <w:b/>
          <w:sz w:val="30"/>
        </w:rPr>
        <w:t>13.6 故障闭环追责与根因复盘机制</w:t>
      </w:r>
      <w:bookmarkEnd w:id="124"/>
    </w:p>
    <w:p w14:paraId="1B844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故障处理完成写入故障案例库，同时对根因分类归档：选型失误、方案设计缺陷、施工工艺问题、固件BUG、内容缺陷、第三方接口问题、人为操作失误。定期汇总故障统计，反向更新前期项目风险评审库。</w:t>
      </w:r>
    </w:p>
    <w:p w14:paraId="3EB7FCF7">
      <w:pPr>
        <w:spacing w:before="300" w:after="120" w:line="288" w:lineRule="auto"/>
        <w:ind w:left="0"/>
        <w:jc w:val="left"/>
        <w:outlineLvl w:val="2"/>
      </w:pPr>
      <w:bookmarkStart w:id="125" w:name="heading_126"/>
      <w:r>
        <w:rPr>
          <w:rFonts w:ascii="Arial" w:hAnsi="Arial" w:eastAsia="等线" w:cs="Arial"/>
          <w:b/>
          <w:sz w:val="30"/>
        </w:rPr>
        <w:t>13.7 工程师分级考核配套</w:t>
      </w:r>
      <w:bookmarkEnd w:id="125"/>
    </w:p>
    <w:p w14:paraId="4CFCB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建立初级、中级、高级工程师考核题库，分为理论、故障案例分析、实操题目，作为上岗培训考核配套材料。</w:t>
      </w:r>
    </w:p>
    <w:p w14:paraId="0CA93E3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8C1352">
      <w:pPr>
        <w:spacing w:before="380" w:after="140" w:line="288" w:lineRule="auto"/>
        <w:ind w:left="0"/>
        <w:jc w:val="left"/>
        <w:outlineLvl w:val="0"/>
      </w:pPr>
      <w:bookmarkStart w:id="126" w:name="heading_127"/>
      <w:r>
        <w:rPr>
          <w:rFonts w:ascii="Arial" w:hAnsi="Arial" w:eastAsia="等线" w:cs="Arial"/>
          <w:b/>
          <w:sz w:val="36"/>
        </w:rPr>
        <w:t>14. 大型沉浸式专项工程补充（CAVE、球幕、异形穹顶）【高阶可选章节】</w:t>
      </w:r>
      <w:bookmarkEnd w:id="126"/>
    </w:p>
    <w:p w14:paraId="0B8CC8D4">
      <w:pPr>
        <w:spacing w:before="300" w:after="120" w:line="288" w:lineRule="auto"/>
        <w:ind w:left="0"/>
        <w:jc w:val="left"/>
        <w:outlineLvl w:val="2"/>
      </w:pPr>
      <w:bookmarkStart w:id="127" w:name="heading_128"/>
      <w:r>
        <w:rPr>
          <w:rFonts w:ascii="Arial" w:hAnsi="Arial" w:eastAsia="等线" w:cs="Arial"/>
          <w:b/>
          <w:sz w:val="30"/>
        </w:rPr>
        <w:t>14.1 球幕投影专项</w:t>
      </w:r>
      <w:bookmarkEnd w:id="127"/>
    </w:p>
    <w:p w14:paraId="1B4584ED">
      <w:pPr>
        <w:numPr>
          <w:ilvl w:val="0"/>
          <w:numId w:val="3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投影机光轴校准，控制镜头畸变、镜头色散；</w:t>
      </w:r>
    </w:p>
    <w:p w14:paraId="1FC11A6B">
      <w:pPr>
        <w:numPr>
          <w:ilvl w:val="0"/>
          <w:numId w:val="3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PTP‑1588时间同步部署，多机帧同步严格校验；</w:t>
      </w:r>
    </w:p>
    <w:p w14:paraId="2A55C144">
      <w:pPr>
        <w:numPr>
          <w:ilvl w:val="0"/>
          <w:numId w:val="3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幕布灰尘定期维护，灰尘会直接降低亮度均匀度；</w:t>
      </w:r>
    </w:p>
    <w:p w14:paraId="3582BD0D">
      <w:pPr>
        <w:spacing w:before="300" w:after="120" w:line="288" w:lineRule="auto"/>
        <w:ind w:left="0"/>
        <w:jc w:val="left"/>
        <w:outlineLvl w:val="2"/>
      </w:pPr>
      <w:bookmarkStart w:id="128" w:name="heading_129"/>
      <w:r>
        <w:rPr>
          <w:rFonts w:ascii="Arial" w:hAnsi="Arial" w:eastAsia="等线" w:cs="Arial"/>
          <w:b/>
          <w:sz w:val="30"/>
        </w:rPr>
        <w:t>14.2 CAVE多面空间工程要点</w:t>
      </w:r>
      <w:bookmarkEnd w:id="128"/>
    </w:p>
    <w:p w14:paraId="5228287D">
      <w:pPr>
        <w:numPr>
          <w:ilvl w:val="0"/>
          <w:numId w:val="3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控制投影机眩光、空间反射；地面投影重点管控热量堆积，箱体必须保证通风散热；</w:t>
      </w:r>
    </w:p>
    <w:p w14:paraId="0103642A">
      <w:pPr>
        <w:numPr>
          <w:ilvl w:val="0"/>
          <w:numId w:val="3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大空间多人同步互动，统一全部传感器世界坐标，处理多传感器信号冲突。</w:t>
      </w:r>
    </w:p>
    <w:p w14:paraId="7FD80F8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E988B5">
      <w:pPr>
        <w:spacing w:before="380" w:after="140" w:line="288" w:lineRule="auto"/>
        <w:ind w:left="0"/>
        <w:jc w:val="left"/>
        <w:outlineLvl w:val="0"/>
      </w:pPr>
      <w:bookmarkStart w:id="129" w:name="heading_130"/>
      <w:r>
        <w:rPr>
          <w:rFonts w:ascii="Arial" w:hAnsi="Arial" w:eastAsia="等线" w:cs="Arial"/>
          <w:b/>
          <w:sz w:val="36"/>
        </w:rPr>
        <w:t>15. 知识产权与软件授权深度管理【高阶可选章节】</w:t>
      </w:r>
      <w:bookmarkEnd w:id="129"/>
    </w:p>
    <w:p w14:paraId="37C66B40">
      <w:pPr>
        <w:spacing w:before="300" w:after="120" w:line="288" w:lineRule="auto"/>
        <w:ind w:left="0"/>
        <w:jc w:val="left"/>
        <w:outlineLvl w:val="2"/>
      </w:pPr>
      <w:bookmarkStart w:id="130" w:name="heading_131"/>
      <w:r>
        <w:rPr>
          <w:rFonts w:ascii="Arial" w:hAnsi="Arial" w:eastAsia="等线" w:cs="Arial"/>
          <w:b/>
          <w:sz w:val="30"/>
        </w:rPr>
        <w:t>15.1 软件授权台账管理</w:t>
      </w:r>
      <w:bookmarkEnd w:id="130"/>
    </w:p>
    <w:p w14:paraId="005062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建立完整授权台账：中控软件、融合软件、编解码库、字体版权、视频素材版权；区分永久节点授权、订阅授权、租赁授权。</w:t>
      </w:r>
    </w:p>
    <w:p w14:paraId="3889BC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重点提醒：部分商业软件授权绑定固定项目地点，巡展跨地点使用会违反授权协议。选型阶段确认授权适用范围。</w:t>
      </w:r>
    </w:p>
    <w:p w14:paraId="05625088">
      <w:pPr>
        <w:spacing w:before="300" w:after="120" w:line="288" w:lineRule="auto"/>
        <w:ind w:left="0"/>
        <w:jc w:val="left"/>
        <w:outlineLvl w:val="2"/>
      </w:pPr>
      <w:bookmarkStart w:id="131" w:name="heading_132"/>
      <w:r>
        <w:rPr>
          <w:rFonts w:ascii="Arial" w:hAnsi="Arial" w:eastAsia="等线" w:cs="Arial"/>
          <w:b/>
          <w:sz w:val="30"/>
        </w:rPr>
        <w:t>15.2 开源组件管理</w:t>
      </w:r>
      <w:bookmarkEnd w:id="131"/>
    </w:p>
    <w:p w14:paraId="07C95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中控脚本、程序如果使用开源组件，输出开源组件清单，规避法律合规风险。</w:t>
      </w:r>
    </w:p>
    <w:p w14:paraId="00D1F4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2E558F">
      <w:pPr>
        <w:spacing w:before="380" w:after="140" w:line="288" w:lineRule="auto"/>
        <w:ind w:left="0"/>
        <w:jc w:val="left"/>
        <w:outlineLvl w:val="0"/>
      </w:pPr>
      <w:bookmarkStart w:id="132" w:name="heading_133"/>
      <w:r>
        <w:rPr>
          <w:rFonts w:ascii="Arial" w:hAnsi="Arial" w:eastAsia="等线" w:cs="Arial"/>
          <w:b/>
          <w:sz w:val="36"/>
        </w:rPr>
        <w:t>附录：全套可直接打印表单</w:t>
      </w:r>
      <w:bookmarkEnd w:id="132"/>
    </w:p>
    <w:p w14:paraId="07B68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全部表单增加字段：表单版本号</w:t>
      </w:r>
    </w:p>
    <w:p w14:paraId="7BF7DFDB">
      <w:pPr>
        <w:spacing w:before="320" w:after="120" w:line="288" w:lineRule="auto"/>
        <w:ind w:left="0"/>
        <w:jc w:val="left"/>
        <w:outlineLvl w:val="1"/>
      </w:pPr>
      <w:bookmarkStart w:id="133" w:name="heading_134"/>
      <w:r>
        <w:rPr>
          <w:rFonts w:ascii="Arial" w:hAnsi="Arial" w:eastAsia="等线" w:cs="Arial"/>
          <w:b/>
          <w:sz w:val="32"/>
        </w:rPr>
        <w:t>附录A：现场调试记录模板</w:t>
      </w:r>
      <w:bookmarkEnd w:id="133"/>
    </w:p>
    <w:p w14:paraId="28381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4B4A2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调试日期：____ 环境温度：____ 湿度：____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3E66F6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51B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设备单元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74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固件版本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6F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关键参数设置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C1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3B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异常现象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91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处理手段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3D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复测结果</w:t>
            </w:r>
          </w:p>
        </w:tc>
      </w:tr>
      <w:tr w14:paraId="07DE48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BC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LED屏发送卡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28B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A3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亮度、刷新率、Gamma、拓扑文件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BA6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5F7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EF5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B369C">
            <w:pPr>
              <w:spacing w:before="120" w:after="120" w:line="288" w:lineRule="auto"/>
              <w:ind w:left="0"/>
              <w:jc w:val="left"/>
            </w:pPr>
          </w:p>
        </w:tc>
      </w:tr>
      <w:tr w14:paraId="3A8DED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02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融合器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CDC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BB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重叠带、矫正网格、帧同步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C16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966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A7F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BDB1">
            <w:pPr>
              <w:spacing w:before="120" w:after="120" w:line="288" w:lineRule="auto"/>
              <w:ind w:left="0"/>
              <w:jc w:val="left"/>
            </w:pPr>
          </w:p>
        </w:tc>
      </w:tr>
      <w:tr w14:paraId="4DA38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E2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DSP音频处理器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57A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6A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EQ、延时、压限参数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B8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F6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AD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0049">
            <w:pPr>
              <w:spacing w:before="120" w:after="120" w:line="288" w:lineRule="auto"/>
              <w:ind w:left="0"/>
              <w:jc w:val="left"/>
            </w:pPr>
          </w:p>
        </w:tc>
      </w:tr>
      <w:tr w14:paraId="281EA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40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灯光控制器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571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4E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DMX地址、Art‑Net宇宙、VLAN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62C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656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959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7FDB9">
            <w:pPr>
              <w:spacing w:before="120" w:after="120" w:line="288" w:lineRule="auto"/>
              <w:ind w:left="0"/>
              <w:jc w:val="left"/>
            </w:pPr>
          </w:p>
        </w:tc>
      </w:tr>
      <w:tr w14:paraId="43836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E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中控主机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97B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37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串口/TCP参数、时序脚本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963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08E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9A8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81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&lt;br</w:t>
            </w:r>
          </w:p>
        </w:tc>
      </w:tr>
    </w:tbl>
    <w:p w14:paraId="673AE0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 播放终端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系统配置、素材编码参数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</w:t>
      </w:r>
    </w:p>
    <w:p w14:paraId="71F7B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验收项：72h 稳定性、联动延迟、色差△E、声场 STI、接地电阻。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调试工程师签字：\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4731BEB4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B：FAT 工厂预测试检查表</w:t>
      </w:r>
    </w:p>
    <w:p w14:paraId="14A7A8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650E15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用途：设备到货后工厂最小系统预测试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项目名称：\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 测试日期：\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 测试人员：\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CF22B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CD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测试大类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CF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E7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CD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 OK/NG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2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737D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88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硬件单机通电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60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箱体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6F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模组点亮，无死灯，电源电压正常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EA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CF915">
            <w:pPr>
              <w:spacing w:before="120" w:after="120" w:line="288" w:lineRule="auto"/>
              <w:ind w:left="0"/>
              <w:jc w:val="left"/>
            </w:pPr>
          </w:p>
        </w:tc>
      </w:tr>
      <w:tr w14:paraId="3CADA6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988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62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投影机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64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输出正常，色彩亮度，光源计时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442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1930">
            <w:pPr>
              <w:spacing w:before="120" w:after="120" w:line="288" w:lineRule="auto"/>
              <w:ind w:left="0"/>
              <w:jc w:val="left"/>
            </w:pPr>
          </w:p>
        </w:tc>
      </w:tr>
      <w:tr w14:paraId="344FB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1B9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28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 DSP、功放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7E3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通道输出，无底噪噪声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A5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64F70">
            <w:pPr>
              <w:spacing w:before="120" w:after="120" w:line="288" w:lineRule="auto"/>
              <w:ind w:left="0"/>
              <w:jc w:val="left"/>
            </w:pPr>
          </w:p>
        </w:tc>
      </w:tr>
      <w:tr w14:paraId="4AD9FA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C43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3D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灯光控制器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6C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DMX/Art‑Net 信号输出正常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A8B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FF8FB">
            <w:pPr>
              <w:spacing w:before="120" w:after="120" w:line="288" w:lineRule="auto"/>
              <w:ind w:left="0"/>
              <w:jc w:val="left"/>
            </w:pPr>
          </w:p>
        </w:tc>
      </w:tr>
      <w:tr w14:paraId="2C6B54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27D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61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中控主机、播放终端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54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系统启动，无报错，自启正常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7BA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11451">
            <w:pPr>
              <w:spacing w:before="120" w:after="120" w:line="288" w:lineRule="auto"/>
              <w:ind w:left="0"/>
              <w:jc w:val="left"/>
            </w:pPr>
          </w:p>
        </w:tc>
      </w:tr>
      <w:tr w14:paraId="781327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C9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子系统功能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37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1E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拓扑加载，灰度，逐点校色参数固化备份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201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3833E">
            <w:pPr>
              <w:spacing w:before="120" w:after="120" w:line="288" w:lineRule="auto"/>
              <w:ind w:left="0"/>
              <w:jc w:val="left"/>
            </w:pPr>
          </w:p>
        </w:tc>
      </w:tr>
      <w:tr w14:paraId="48365E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174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B0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投影融合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00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网格矫正，融合带，帧同步，多机色彩统一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46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B5FD7">
            <w:pPr>
              <w:spacing w:before="120" w:after="120" w:line="288" w:lineRule="auto"/>
              <w:ind w:left="0"/>
              <w:jc w:val="left"/>
            </w:pPr>
          </w:p>
        </w:tc>
      </w:tr>
      <w:tr w14:paraId="39FD72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BDB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3F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63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EQ、延时、压限预设保存，STI 简易测试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B25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2CBAA">
            <w:pPr>
              <w:spacing w:before="120" w:after="120" w:line="288" w:lineRule="auto"/>
              <w:ind w:left="0"/>
              <w:jc w:val="left"/>
            </w:pPr>
          </w:p>
        </w:tc>
      </w:tr>
      <w:tr w14:paraId="43183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78F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51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灯光系统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BD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灯具寻址，调光渐变，无丢包闪灯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6F91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31BA9">
            <w:pPr>
              <w:spacing w:before="120" w:after="120" w:line="288" w:lineRule="auto"/>
              <w:ind w:left="0"/>
              <w:jc w:val="left"/>
            </w:pPr>
          </w:p>
        </w:tc>
      </w:tr>
      <w:tr w14:paraId="3DA07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8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基础联动测试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B7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中控指令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CD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串口 / TCP 指令收发，应答正常，无乱码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DA8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38E9">
            <w:pPr>
              <w:spacing w:before="120" w:after="120" w:line="288" w:lineRule="auto"/>
              <w:ind w:left="0"/>
              <w:jc w:val="left"/>
            </w:pPr>
          </w:p>
        </w:tc>
      </w:tr>
      <w:tr w14:paraId="78AD5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EC0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C6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简单联动时序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25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开机关机时序，互锁逻辑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D0B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DB84B">
            <w:pPr>
              <w:spacing w:before="120" w:after="120" w:line="288" w:lineRule="auto"/>
              <w:ind w:left="0"/>
              <w:jc w:val="left"/>
            </w:pPr>
          </w:p>
        </w:tc>
      </w:tr>
      <w:tr w14:paraId="1ADBE8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8A4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52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内容播放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EB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测试素材播放，音画同步，无卡顿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55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AF9E4">
            <w:pPr>
              <w:spacing w:before="120" w:after="120" w:line="288" w:lineRule="auto"/>
              <w:ind w:left="0"/>
              <w:jc w:val="left"/>
            </w:pPr>
          </w:p>
        </w:tc>
      </w:tr>
      <w:tr w14:paraId="19800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22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压力短拷机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47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 小时拷机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0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连续拷机 8h，运行动态素材、循环场景，日志无报错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0B2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9D766">
            <w:pPr>
              <w:spacing w:before="120" w:after="120" w:line="288" w:lineRule="auto"/>
              <w:ind w:left="0"/>
              <w:jc w:val="left"/>
            </w:pPr>
          </w:p>
        </w:tc>
      </w:tr>
      <w:tr w14:paraId="0DE8E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29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 &amp; 参数归档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D7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固件参数备份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D4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固件版本记录；全部参数备份导出，确认备份文件完整可用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F22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5273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9C1E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FAT 测试结论：□通过 □待整改；整改项：\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4C98DA4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C：SAT 现场分系统测试检查表</w:t>
      </w:r>
    </w:p>
    <w:p w14:paraId="0BE62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78DC7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 测试日期：\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 测试人员：\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A095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84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5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A3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9B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OK/NG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BF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F16AF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F8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 1：单机硬件测试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2B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供电系统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90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各路电源电压、压降、绝缘接地电阻复测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095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0808">
            <w:pPr>
              <w:spacing w:before="120" w:after="120" w:line="288" w:lineRule="auto"/>
              <w:ind w:left="0"/>
              <w:jc w:val="left"/>
            </w:pPr>
          </w:p>
        </w:tc>
      </w:tr>
      <w:tr w14:paraId="3D0A84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FC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C8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B8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/ 投影机单机点亮，硬件状态，温度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466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CEF0B">
            <w:pPr>
              <w:spacing w:before="120" w:after="120" w:line="288" w:lineRule="auto"/>
              <w:ind w:left="0"/>
              <w:jc w:val="left"/>
            </w:pPr>
          </w:p>
        </w:tc>
      </w:tr>
      <w:tr w14:paraId="4A727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705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C7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FA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功放 DSP 单机，通道输出，本底噪声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43B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31CF8">
            <w:pPr>
              <w:spacing w:before="120" w:after="120" w:line="288" w:lineRule="auto"/>
              <w:ind w:left="0"/>
              <w:jc w:val="left"/>
            </w:pPr>
          </w:p>
        </w:tc>
      </w:tr>
      <w:tr w14:paraId="043B33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4B6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66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灯光设备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5A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控制器灯具单机寻址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855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DC01E">
            <w:pPr>
              <w:spacing w:before="120" w:after="120" w:line="288" w:lineRule="auto"/>
              <w:ind w:left="0"/>
              <w:jc w:val="left"/>
            </w:pPr>
          </w:p>
        </w:tc>
      </w:tr>
      <w:tr w14:paraId="37717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0FF2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97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网络交换机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93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VLAN、IGMP、EEE 关闭，端口状态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03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7E752">
            <w:pPr>
              <w:spacing w:before="120" w:after="120" w:line="288" w:lineRule="auto"/>
              <w:ind w:left="0"/>
              <w:jc w:val="left"/>
            </w:pPr>
          </w:p>
        </w:tc>
      </w:tr>
      <w:tr w14:paraId="61DDB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AE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8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播放终端工控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F7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系统优化、自启、磁盘空间、温度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E9C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11ED">
            <w:pPr>
              <w:spacing w:before="120" w:after="120" w:line="288" w:lineRule="auto"/>
              <w:ind w:left="0"/>
              <w:jc w:val="left"/>
            </w:pPr>
          </w:p>
        </w:tc>
      </w:tr>
      <w:tr w14:paraId="5F224B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AF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 2：子系统闭环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01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子系统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A1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拓扑，灰度，校色，参数固化备份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BD2A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5F33C">
            <w:pPr>
              <w:spacing w:before="120" w:after="120" w:line="288" w:lineRule="auto"/>
              <w:ind w:left="0"/>
              <w:jc w:val="left"/>
            </w:pPr>
          </w:p>
        </w:tc>
      </w:tr>
      <w:tr w14:paraId="060C63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7F4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00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融合子系统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28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矫正、帧同步、多机色彩统一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C31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A6A13">
            <w:pPr>
              <w:spacing w:before="120" w:after="120" w:line="288" w:lineRule="auto"/>
              <w:ind w:left="0"/>
              <w:jc w:val="left"/>
            </w:pPr>
          </w:p>
        </w:tc>
      </w:tr>
      <w:tr w14:paraId="253944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3E9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B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音频子系统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83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声场校准、压限保护，地环路噪声排查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929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1E6F3">
            <w:pPr>
              <w:spacing w:before="120" w:after="120" w:line="288" w:lineRule="auto"/>
              <w:ind w:left="0"/>
              <w:jc w:val="left"/>
            </w:pPr>
          </w:p>
        </w:tc>
      </w:tr>
      <w:tr w14:paraId="5E91B3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01E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AA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灯光子系统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D4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DMX/Art‑Net，PTP 同步，无随机闪灯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12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CED70">
            <w:pPr>
              <w:spacing w:before="120" w:after="120" w:line="288" w:lineRule="auto"/>
              <w:ind w:left="0"/>
              <w:jc w:val="left"/>
            </w:pPr>
          </w:p>
        </w:tc>
      </w:tr>
      <w:tr w14:paraId="59B027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01F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C8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互动外设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20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触控 / 雷达传感器响应、干扰测试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ABF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1B78A">
            <w:pPr>
              <w:spacing w:before="120" w:after="120" w:line="288" w:lineRule="auto"/>
              <w:ind w:left="0"/>
              <w:jc w:val="left"/>
            </w:pPr>
          </w:p>
        </w:tc>
      </w:tr>
      <w:tr w14:paraId="5B582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6A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 3：全系统联调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F5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中控联动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CA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全部场景切换响应时间，指令成功率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A0D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6D89D">
            <w:pPr>
              <w:spacing w:before="120" w:after="120" w:line="288" w:lineRule="auto"/>
              <w:ind w:left="0"/>
              <w:jc w:val="left"/>
            </w:pPr>
          </w:p>
        </w:tc>
      </w:tr>
      <w:tr w14:paraId="48C82C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757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04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音‑光‑画联动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74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总联动延迟，唇同步指标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F68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593A3">
            <w:pPr>
              <w:spacing w:before="120" w:after="120" w:line="288" w:lineRule="auto"/>
              <w:ind w:left="0"/>
              <w:jc w:val="left"/>
            </w:pPr>
          </w:p>
        </w:tc>
      </w:tr>
      <w:tr w14:paraId="0D9617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468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F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第三方对接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9C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消防 / BA / 闸机接口，异常降级测试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E5A4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BA9DC">
            <w:pPr>
              <w:spacing w:before="120" w:after="120" w:line="288" w:lineRule="auto"/>
              <w:ind w:left="0"/>
              <w:jc w:val="left"/>
            </w:pPr>
          </w:p>
        </w:tc>
      </w:tr>
      <w:tr w14:paraId="0E30E4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E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 4：压力与异常测试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08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压力测试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FA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循环场景切换，互动循环触发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614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BA8F0">
            <w:pPr>
              <w:spacing w:before="120" w:after="120" w:line="288" w:lineRule="auto"/>
              <w:ind w:left="0"/>
              <w:jc w:val="left"/>
            </w:pPr>
          </w:p>
        </w:tc>
      </w:tr>
      <w:tr w14:paraId="6CF78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2414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E5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异常注入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54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断网、断串口，恢复后自恢复业务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F52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E3C18">
            <w:pPr>
              <w:spacing w:before="120" w:after="120" w:line="288" w:lineRule="auto"/>
              <w:ind w:left="0"/>
              <w:jc w:val="left"/>
            </w:pPr>
          </w:p>
        </w:tc>
      </w:tr>
      <w:tr w14:paraId="4B9A39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4ED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52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断电上电测试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A3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整机断电重启，业务自动恢复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11C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751AF">
            <w:pPr>
              <w:spacing w:before="120" w:after="120" w:line="288" w:lineRule="auto"/>
              <w:ind w:left="0"/>
              <w:jc w:val="left"/>
            </w:pPr>
          </w:p>
        </w:tc>
      </w:tr>
      <w:tr w14:paraId="0DC67D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E1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 5：72h 拷机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70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 小时满负荷拷机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0E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动态素材 + 循环场景，导出运行日志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1D4F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D259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8B69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SAT 测试结论：□通过 □待整改；整改项：\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529AD40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D：季度运维巡检检查表</w:t>
      </w:r>
    </w:p>
    <w:p w14:paraId="52398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3DC23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 巡检日期：\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 巡检人员：\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11E6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3D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巡检分类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0D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检查项目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41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标准阈值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1B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59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处置记录</w:t>
            </w:r>
          </w:p>
        </w:tc>
      </w:tr>
      <w:tr w14:paraId="35CA6B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F0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电气接地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4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接地电阻复测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B8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机房≤1Ω，展厅≤4Ω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8A8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5CE05">
            <w:pPr>
              <w:spacing w:before="120" w:after="120" w:line="288" w:lineRule="auto"/>
              <w:ind w:left="0"/>
              <w:jc w:val="left"/>
            </w:pPr>
          </w:p>
        </w:tc>
      </w:tr>
      <w:tr w14:paraId="381C0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82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电源系统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A3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电源输出电压、压降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90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满载压降≤0.2V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6AE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8684F">
            <w:pPr>
              <w:spacing w:before="120" w:after="120" w:line="288" w:lineRule="auto"/>
              <w:ind w:left="0"/>
              <w:jc w:val="left"/>
            </w:pPr>
          </w:p>
        </w:tc>
      </w:tr>
      <w:tr w14:paraId="28836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2D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UPS 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4D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电池状态、后备时长告警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82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无电池故障告警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7F65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74BA1">
            <w:pPr>
              <w:spacing w:before="120" w:after="120" w:line="288" w:lineRule="auto"/>
              <w:ind w:left="0"/>
              <w:jc w:val="left"/>
            </w:pPr>
          </w:p>
        </w:tc>
      </w:tr>
      <w:tr w14:paraId="2F0704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5A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光链路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76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光模块光功率读取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3F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光衰在设备允许区间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3E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2BCD">
            <w:pPr>
              <w:spacing w:before="120" w:after="120" w:line="288" w:lineRule="auto"/>
              <w:ind w:left="0"/>
              <w:jc w:val="left"/>
            </w:pPr>
          </w:p>
        </w:tc>
      </w:tr>
      <w:tr w14:paraId="6C9AE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4B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散热维护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EC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机柜滤网清洁状态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4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滤网无严重堵塞积灰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CB5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E224E">
            <w:pPr>
              <w:spacing w:before="120" w:after="120" w:line="288" w:lineRule="auto"/>
              <w:ind w:left="0"/>
              <w:jc w:val="left"/>
            </w:pPr>
          </w:p>
        </w:tc>
      </w:tr>
      <w:tr w14:paraId="0B440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B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设备工况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C5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设备温度、风扇运转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60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温升≤35K，SSD≤70℃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EA8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760DF">
            <w:pPr>
              <w:spacing w:before="120" w:after="120" w:line="288" w:lineRule="auto"/>
              <w:ind w:left="0"/>
              <w:jc w:val="left"/>
            </w:pPr>
          </w:p>
        </w:tc>
      </w:tr>
      <w:tr w14:paraId="5A4B5D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51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53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交换机端口丢包统计；IGMP 状态；无异常风暴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3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丢包，无风暴告警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E29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A7C5">
            <w:pPr>
              <w:spacing w:before="120" w:after="120" w:line="288" w:lineRule="auto"/>
              <w:ind w:left="0"/>
              <w:jc w:val="left"/>
            </w:pPr>
          </w:p>
        </w:tc>
      </w:tr>
      <w:tr w14:paraId="359F3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B6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播放终端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5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磁盘剩余空间；日志检查；CPU 内存负载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1E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磁盘剩余≥20%，无持续高负载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B54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DF4C6">
            <w:pPr>
              <w:spacing w:before="120" w:after="120" w:line="288" w:lineRule="auto"/>
              <w:ind w:left="0"/>
              <w:jc w:val="left"/>
            </w:pPr>
          </w:p>
        </w:tc>
      </w:tr>
      <w:tr w14:paraId="32ADD8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D7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B9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有无坏点、色差；融合画面有无亮带撕裂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78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无明显色差坏点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253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E1E8">
            <w:pPr>
              <w:spacing w:before="120" w:after="120" w:line="288" w:lineRule="auto"/>
              <w:ind w:left="0"/>
              <w:jc w:val="left"/>
            </w:pPr>
          </w:p>
        </w:tc>
      </w:tr>
      <w:tr w14:paraId="631C48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AB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音频灯光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FA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音频本底噪声；灯光有无偶发闪灯；DMX 终端电阻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F0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无电流噪声，无随机闪灯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E2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7C74B">
            <w:pPr>
              <w:spacing w:before="120" w:after="120" w:line="288" w:lineRule="auto"/>
              <w:ind w:left="0"/>
              <w:jc w:val="left"/>
            </w:pPr>
          </w:p>
        </w:tc>
      </w:tr>
      <w:tr w14:paraId="28FB78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0C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备份校验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ED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参数备份、素材 MD5 校验；备份文件有效性确认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D7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备份完整可恢复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174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4232B">
            <w:pPr>
              <w:spacing w:before="120" w:after="120" w:line="288" w:lineRule="auto"/>
              <w:ind w:left="0"/>
              <w:jc w:val="left"/>
            </w:pPr>
          </w:p>
        </w:tc>
      </w:tr>
      <w:tr w14:paraId="37966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05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备品台账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72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热备件库存核对，器件供货周期更新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B59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EFF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B62F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815E1D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E：开馆突发故障应急处置卡（打印贴机柜）</w:t>
      </w:r>
    </w:p>
    <w:p w14:paraId="5BED08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5B3C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D1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原则：优先保障观众业务，再深度排障</w:t>
            </w:r>
          </w:p>
        </w:tc>
      </w:tr>
    </w:tbl>
    <w:p w14:paraId="286E070B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53130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D2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33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紧急降级处置（开馆优先）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13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后续根因排查方向</w:t>
            </w:r>
          </w:p>
        </w:tc>
      </w:tr>
      <w:tr w14:paraId="4B9DB7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4C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大屏部分黑屏闪屏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A2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切换备用播放源；关闭该区域供电，保障其余区域显示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1C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供电、接收卡、排线拓扑参数</w:t>
            </w:r>
          </w:p>
        </w:tc>
      </w:tr>
      <w:tr w14:paraId="79124E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F4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全场无声音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F9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切换备用音频输出，静音保护，避免功放冲击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0B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DSP、功放、信号链路、中控指令</w:t>
            </w:r>
          </w:p>
        </w:tc>
      </w:tr>
      <w:tr w14:paraId="22BCF9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F2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全部互动失效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07F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关闭互动展项，播放备用静态视频内容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6F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传感器、串口 / 网络链路、中控脚本</w:t>
            </w:r>
          </w:p>
        </w:tc>
      </w:tr>
      <w:tr w14:paraId="793793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4B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中控无响应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23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手动使用时序电源操作开关机；使用单机播放素材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55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中控主机进程、网络、看门狗重启</w:t>
            </w:r>
          </w:p>
        </w:tc>
      </w:tr>
      <w:tr w14:paraId="1F80F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56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灯光大面积乱闪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2A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关闭灯光输出，保障音视频业务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F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DMX 终端电阻、宇宙数量、网络组播</w:t>
            </w:r>
          </w:p>
        </w:tc>
      </w:tr>
      <w:tr w14:paraId="4568BA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E4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工控机异常卡顿、程序异常退出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D7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立刻断开外网；隔离故障终端，切换备用播放主机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D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外来 U 盘病毒、远程漏洞、内存泄漏</w:t>
            </w:r>
          </w:p>
        </w:tc>
      </w:tr>
    </w:tbl>
    <w:p w14:paraId="75082C29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693E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B6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🚫运维强制禁令</w:t>
            </w:r>
          </w:p>
          <w:p w14:paraId="58E072C9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现场工控终端禁止随意插入外来 U 盘。</w:t>
            </w:r>
          </w:p>
          <w:p w14:paraId="377A2E83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禁止开馆期间直接修改底层参数、刷固件。</w:t>
            </w:r>
          </w:p>
          <w:p w14:paraId="5736FC42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故障处理全部记录写入运维日志。</w:t>
            </w:r>
          </w:p>
        </w:tc>
      </w:tr>
    </w:tbl>
    <w:p w14:paraId="07A386E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F 参考国标汇总</w:t>
      </w:r>
    </w:p>
    <w:p w14:paraId="4241A9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1BC7E4B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GB/T23954‑2021 LED 显示屏通用规范</w:t>
      </w:r>
    </w:p>
    <w:p w14:paraId="076A46B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GB50371‑2016 厅堂扩声系统设计规范</w:t>
      </w:r>
    </w:p>
    <w:p w14:paraId="229888F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GB/T36440‑2018 DMX512 灯光控制协议</w:t>
      </w:r>
    </w:p>
    <w:p w14:paraId="4F82E8E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GB50169‑2016 电气装置安装工程接地装置施工及验收规范</w:t>
      </w:r>
    </w:p>
    <w:p w14:paraId="75E7895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GB/T34942‑2017 多媒体播放终端通用规范</w:t>
      </w:r>
    </w:p>
    <w:p w14:paraId="4E902E9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17626 电磁兼容 EMC 系列标准</w:t>
      </w:r>
    </w:p>
    <w:p w14:paraId="453C5F3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39223 分布式音视频系统技术要求</w:t>
      </w:r>
    </w:p>
    <w:p w14:paraId="59E4E63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 2887‑2011 计算机场地通用规范</w:t>
      </w:r>
    </w:p>
    <w:p w14:paraId="49BD9E9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 7247 激光产品安全</w:t>
      </w:r>
    </w:p>
    <w:p w14:paraId="13E0111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G：故障案例库模板</w:t>
      </w:r>
    </w:p>
    <w:p w14:paraId="25F295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14:paraId="7C2EC3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CD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案例编号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3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8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发生环境条件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F1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固件版本清单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E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故障现象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E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复现条件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28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临时应急处置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F2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排查路径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34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根本原因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54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根治处理方案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B7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后续预防措施</w:t>
            </w:r>
          </w:p>
        </w:tc>
      </w:tr>
      <w:tr w14:paraId="41B60C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C8E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70F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89E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442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1A3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60E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45D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CB1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596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21D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50E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BE93E79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H：现场调试仪器 &amp; 工具清单</w:t>
      </w:r>
    </w:p>
    <w:p w14:paraId="6B629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6F03708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硬件仪器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F2B7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5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⚠️重要提醒：500V 兆欧表测试前，务必拆除全部板卡，禁止带板卡摇表，防止高压烧毁芯片；兆欧表仅做柜体‑大地绝缘测试，禁止对信号端口施加高压。</w:t>
            </w:r>
          </w:p>
        </w:tc>
      </w:tr>
    </w:tbl>
    <w:p w14:paraId="532B32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500V 兆欧表、高精度数字万用表、光功率计、声级计、校色仪、DMX 信号测试仪、EDID 读写器、网线测试仪、扭力螺丝刀、水平尺、相位仪。</w:t>
      </w:r>
    </w:p>
    <w:p w14:paraId="22E99C21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PC 软件工具</w:t>
      </w:r>
    </w:p>
    <w:p w14:paraId="5F0A5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Socket 调试助手、Putty、抓包工具 Wireshark、MediaInfo、原厂 LED / 融合 / DSP 调试软件、远程堡垒机 / RustDesk。</w:t>
      </w:r>
    </w:p>
    <w:p w14:paraId="4FD37DC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防护与辅材</w:t>
      </w:r>
    </w:p>
    <w:p w14:paraId="13EF38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绝缘手套、护目镜、磁环、DMX120Ω 终端电阻、冷压端子、屏蔽胶带。</w:t>
      </w:r>
    </w:p>
    <w:p w14:paraId="22F4A1B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I：设备账号 IP‑固件台账模板</w:t>
      </w:r>
    </w:p>
    <w:p w14:paraId="16CD9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197622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8F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设备位置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9F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E4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 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31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子网网关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5E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C0F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登录密码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24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固件版本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BA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81528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8DF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7FC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6D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CAE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058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919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045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4537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9702CE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J：维保技术边界说明</w:t>
      </w:r>
    </w:p>
    <w:p w14:paraId="1DDF8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25BE1D9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维保不包含范围：装修进水、人为物理损坏、甲方私自修改参数 / 刷固件、第三方系统故障、耗材自然老化损耗。</w:t>
      </w:r>
    </w:p>
    <w:p w14:paraId="5156D1C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软件订阅制授权续费不属于常规维保服务范围，需单独合同约定。</w:t>
      </w:r>
    </w:p>
    <w:p w14:paraId="40091E8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维保不包含内容素材修改、Unity/UE 交互程序业务逻辑修改。</w:t>
      </w:r>
    </w:p>
    <w:p w14:paraId="26AA8A3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K：项目前期风险评审表</w:t>
      </w:r>
    </w:p>
    <w:p w14:paraId="3C6EE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35765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FE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50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评审内容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36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风险等级高 / 中 / 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D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41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确认人签字</w:t>
            </w:r>
          </w:p>
        </w:tc>
      </w:tr>
      <w:tr w14:paraId="614CE1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8F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土建建筑条件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98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吊架承重、机房供电、空调容量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96F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99AD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DC29E">
            <w:pPr>
              <w:spacing w:before="120" w:after="120" w:line="288" w:lineRule="auto"/>
              <w:ind w:left="0"/>
              <w:jc w:val="left"/>
            </w:pPr>
          </w:p>
        </w:tc>
      </w:tr>
      <w:tr w14:paraId="2D7505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EF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设备供货可行性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35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标书指标设备是否可采购，有无实验室指标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2D4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E68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01E21">
            <w:pPr>
              <w:spacing w:before="120" w:after="120" w:line="288" w:lineRule="auto"/>
              <w:ind w:left="0"/>
              <w:jc w:val="left"/>
            </w:pPr>
          </w:p>
        </w:tc>
      </w:tr>
      <w:tr w14:paraId="06E1F6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47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4B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消防、BA、闸机协议完整性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10A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0A8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40630">
            <w:pPr>
              <w:spacing w:before="120" w:after="120" w:line="288" w:lineRule="auto"/>
              <w:ind w:left="0"/>
              <w:jc w:val="left"/>
            </w:pPr>
          </w:p>
        </w:tc>
      </w:tr>
      <w:tr w14:paraId="6FB46C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8E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国产化兼容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74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架构、外设驱动验证情况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45E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A07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18424">
            <w:pPr>
              <w:spacing w:before="120" w:after="120" w:line="288" w:lineRule="auto"/>
              <w:ind w:left="0"/>
              <w:jc w:val="left"/>
            </w:pPr>
          </w:p>
        </w:tc>
      </w:tr>
      <w:tr w14:paraId="6C7C81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EE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恶劣环境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2D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高温高湿、盐雾、防爆要求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89B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C6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9A8E">
            <w:pPr>
              <w:spacing w:before="120" w:after="120" w:line="288" w:lineRule="auto"/>
              <w:ind w:left="0"/>
              <w:jc w:val="left"/>
            </w:pPr>
          </w:p>
        </w:tc>
      </w:tr>
      <w:tr w14:paraId="058C43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C6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施工界面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E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分包交付边界，预埋管线条件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D4BF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606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17E1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F429F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L：国产化外设兼容验证表</w:t>
      </w:r>
    </w:p>
    <w:p w14:paraId="212A1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A7C9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CA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外设名称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6F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5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架构飞腾 / 鲲鹏 / X86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1E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操作系统版本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B7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驱动状态正常 / 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EF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备注替代方案</w:t>
            </w:r>
          </w:p>
        </w:tc>
      </w:tr>
      <w:tr w14:paraId="15833E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0A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LED 发送 / 接收卡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83B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070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47D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33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0CF9">
            <w:pPr>
              <w:spacing w:before="120" w:after="120" w:line="288" w:lineRule="auto"/>
              <w:ind w:left="0"/>
              <w:jc w:val="left"/>
            </w:pPr>
          </w:p>
        </w:tc>
      </w:tr>
      <w:tr w14:paraId="4218E6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C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采集卡、Dante 声卡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D24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630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47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174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7B12">
            <w:pPr>
              <w:spacing w:before="120" w:after="120" w:line="288" w:lineRule="auto"/>
              <w:ind w:left="0"/>
              <w:jc w:val="left"/>
            </w:pPr>
          </w:p>
        </w:tc>
      </w:tr>
      <w:tr w14:paraId="173D4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E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PCI‑E 串口扩展卡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EE1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49B6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E18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620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A0A2">
            <w:pPr>
              <w:spacing w:before="120" w:after="120" w:line="288" w:lineRule="auto"/>
              <w:ind w:left="0"/>
              <w:jc w:val="left"/>
            </w:pPr>
          </w:p>
        </w:tc>
      </w:tr>
      <w:tr w14:paraId="67F28C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10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中控外设、USB 外设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15D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F53A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E96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237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B47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90F530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M：分包进场条件确认单</w:t>
      </w:r>
    </w:p>
    <w:p w14:paraId="1AEBA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51461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确认日期：\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9D9C4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B9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64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B9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6B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是否达标 OK/NG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4D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8CEA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D8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EE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机柜基础、预埋件、吊架预埋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06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图纸要求承重、位置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206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205DE">
            <w:pPr>
              <w:spacing w:before="120" w:after="120" w:line="288" w:lineRule="auto"/>
              <w:ind w:left="0"/>
              <w:jc w:val="left"/>
            </w:pPr>
          </w:p>
        </w:tc>
      </w:tr>
      <w:tr w14:paraId="5A1AE4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4B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D2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管线预埋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0E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弯曲半径、强弱电间距，无死弯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487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39CC8">
            <w:pPr>
              <w:spacing w:before="120" w:after="120" w:line="288" w:lineRule="auto"/>
              <w:ind w:left="0"/>
              <w:jc w:val="left"/>
            </w:pPr>
          </w:p>
        </w:tc>
      </w:tr>
      <w:tr w14:paraId="5BF730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54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2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C3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型号规格，抽样信道测试合格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BD3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866E3">
            <w:pPr>
              <w:spacing w:before="120" w:after="120" w:line="288" w:lineRule="auto"/>
              <w:ind w:left="0"/>
              <w:jc w:val="left"/>
            </w:pPr>
          </w:p>
        </w:tc>
      </w:tr>
      <w:tr w14:paraId="6EB37F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FFE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EB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等电位接地端子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0C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接地电阻满足设计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42C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6E2D8">
            <w:pPr>
              <w:spacing w:before="120" w:after="120" w:line="288" w:lineRule="auto"/>
              <w:ind w:left="0"/>
              <w:jc w:val="left"/>
            </w:pPr>
          </w:p>
        </w:tc>
      </w:tr>
      <w:tr w14:paraId="6B2D9F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9B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BA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机房供电、空调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1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容量满足设备总功耗，温控达标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CC1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3DB8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1400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结论：□满足多媒体进场条件；□不满足，整改完成复检后进场。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分包签字：\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多媒体负责人签字：\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甲方见证签字：\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2A7ECA3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N：变更技术确认单</w:t>
      </w:r>
    </w:p>
    <w:p w14:paraId="6952E2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1CF57B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变更编号：\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项目名称：\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184FEEF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变更前现状：\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6E4B9AC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变更内容：\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0A47122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连锁系统影响（线缆、带载、功率、VLAN、时序、验收指标）：\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1F7A001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工期变化：□无变更 □增加\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\天 □减少\\</w:t>
      </w:r>
      <w:r>
        <w:rPr>
          <w:rFonts w:ascii="Arial" w:hAnsi="Arial" w:eastAsia="等线" w:cs="Arial"/>
          <w:sz w:val="22"/>
        </w:rPr>
        <w:t>__天</w:t>
      </w:r>
    </w:p>
    <w:p w14:paraId="3F87AE2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费用变化：□无变更 □增加\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□减少\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5F8871B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风险提示：\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675CCE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签字：多媒体负责人\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甲方代表\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分包方\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14E96E3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O：HSE 安全交底记录</w:t>
      </w:r>
    </w:p>
    <w:p w14:paraId="26E88D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51260F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</w:t>
      </w:r>
      <w:r>
        <w:rPr>
          <w:rFonts w:ascii="Arial" w:hAnsi="Arial" w:eastAsia="等线" w:cs="Arial"/>
          <w:b/>
          <w:sz w:val="22"/>
        </w:rPr>
        <w:t>，交底日期：</w:t>
      </w:r>
      <w:r>
        <w:rPr>
          <w:rFonts w:ascii="Arial" w:hAnsi="Arial" w:eastAsia="等线" w:cs="Arial"/>
          <w:sz w:val="22"/>
        </w:rPr>
        <w:t>，作业地点：\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作业人员：\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1C7C5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交底内容：有限空间、动火、登高、带电作业、化学品、兆欧表高压风险、激光防护。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风险点记录：\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作业人员确认已理解全部安全要求：签字\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交底人签字：\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0BE34B9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P：创意方案技术可行性评审表</w:t>
      </w:r>
    </w:p>
    <w:p w14:paraId="2A66F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53D2C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 评审日期：\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 评审人员：\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14BE7A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39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展项名称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5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创意简要描述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0E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效果图关键视觉指标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37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识别风险点（亮度 / 散热 / 检修 / 异形 / 交互逻辑）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5C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风险等级高 / 中 / 低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2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整改意见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AC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确认签字</w:t>
            </w:r>
          </w:p>
        </w:tc>
      </w:tr>
      <w:tr w14:paraId="4848A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D30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EEB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797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00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A4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F6A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3621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07D2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评审结论：□方案可执行 □需整改后实施 □不可行，重新设计</w:t>
      </w:r>
    </w:p>
    <w:p w14:paraId="461C381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Q：艺术效果确认单</w:t>
      </w:r>
    </w:p>
    <w:p w14:paraId="69B87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51C00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 展项名称：\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 确认日期：\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7D40358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参考样片 / 样图文件名称：\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7DDCE77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验收观看环境条件（环境光、观看距离）：\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4490F50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可量化硬件指标：\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52BFD6D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主观艺术效果描述：\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9C48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2E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说明：本确认单签署后，以此作为艺术观感验收依据，无确认单不得将主观观感作为项目不合格依据。</w:t>
            </w:r>
          </w:p>
        </w:tc>
      </w:tr>
    </w:tbl>
    <w:p w14:paraId="4F0971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甲方代表签字：\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多媒体集成方签字：\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创意 / 内容方签字：\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3EDBB9E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R：临展 / 巡展每次搭建快速 SAT 检查表</w:t>
      </w:r>
    </w:p>
    <w:p w14:paraId="3F56C9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2B0E4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 / 巡展站点：\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 搭建日期：\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 测试人员：\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429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6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测试大类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D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7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OK/NG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F6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03A91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9B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供电检查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3A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临时供电电压、漏保正常、接线无虚接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94F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8CFCE">
            <w:pPr>
              <w:spacing w:before="120" w:after="120" w:line="288" w:lineRule="auto"/>
              <w:ind w:left="0"/>
              <w:jc w:val="left"/>
            </w:pPr>
          </w:p>
        </w:tc>
      </w:tr>
      <w:tr w14:paraId="727535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D4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硬件单机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F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显示、音频、灯光设备上电无报错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C51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9AE9">
            <w:pPr>
              <w:spacing w:before="120" w:after="120" w:line="288" w:lineRule="auto"/>
              <w:ind w:left="0"/>
              <w:jc w:val="left"/>
            </w:pPr>
          </w:p>
        </w:tc>
      </w:tr>
      <w:tr w14:paraId="668624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47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3E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VLAN、通信链路，无丢包风暴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539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5B3C3">
            <w:pPr>
              <w:spacing w:before="120" w:after="120" w:line="288" w:lineRule="auto"/>
              <w:ind w:left="0"/>
              <w:jc w:val="left"/>
            </w:pPr>
          </w:p>
        </w:tc>
      </w:tr>
      <w:tr w14:paraId="68F1D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0D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联动基础测试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D8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中控指令收发，基础场景切换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251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09968">
            <w:pPr>
              <w:spacing w:before="120" w:after="120" w:line="288" w:lineRule="auto"/>
              <w:ind w:left="0"/>
              <w:jc w:val="left"/>
            </w:pPr>
          </w:p>
        </w:tc>
      </w:tr>
      <w:tr w14:paraId="44027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E2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互动外设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6B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传感器触发、无严重误触发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669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42763">
            <w:pPr>
              <w:spacing w:before="120" w:after="120" w:line="288" w:lineRule="auto"/>
              <w:ind w:left="0"/>
              <w:jc w:val="left"/>
            </w:pPr>
          </w:p>
        </w:tc>
      </w:tr>
      <w:tr w14:paraId="236049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4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素材校验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26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素材 MD5 比对，音画同步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1A8E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FAF19">
            <w:pPr>
              <w:spacing w:before="120" w:after="120" w:line="288" w:lineRule="auto"/>
              <w:ind w:left="0"/>
              <w:jc w:val="left"/>
            </w:pPr>
          </w:p>
        </w:tc>
      </w:tr>
      <w:tr w14:paraId="0F76D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F8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业务降级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C6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故障降级逻辑验证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A586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22D5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16C3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测试结论：□通过 □整改后使用；整改记录：\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60BA7564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S：无障碍设计核查表</w:t>
      </w:r>
    </w:p>
    <w:p w14:paraId="14195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p w14:paraId="5A581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 核查日期：\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F203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50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核查项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EE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核查内容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1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OK/NG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D6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4F465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2A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音频助听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7A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重点展项助听环路配置，音量上限约束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E1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73356">
            <w:pPr>
              <w:spacing w:before="120" w:after="120" w:line="288" w:lineRule="auto"/>
              <w:ind w:left="0"/>
              <w:jc w:val="left"/>
            </w:pPr>
          </w:p>
        </w:tc>
      </w:tr>
      <w:tr w14:paraId="35BFCC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C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交互操作高度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34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触控、感应设备适配轮椅使用者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E5B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9242A">
            <w:pPr>
              <w:spacing w:before="120" w:after="120" w:line="288" w:lineRule="auto"/>
              <w:ind w:left="0"/>
              <w:jc w:val="left"/>
            </w:pPr>
          </w:p>
        </w:tc>
      </w:tr>
      <w:tr w14:paraId="3F344F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29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灯光频闪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C5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无低于 12.5Hz 危险频闪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E9C5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A81E9">
            <w:pPr>
              <w:spacing w:before="120" w:after="120" w:line="288" w:lineRule="auto"/>
              <w:ind w:left="0"/>
              <w:jc w:val="left"/>
            </w:pPr>
          </w:p>
        </w:tc>
      </w:tr>
      <w:tr w14:paraId="18082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50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视频字幕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AE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重点展项内嵌无障碍字幕，字体对比度达标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9C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D0B4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011DA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核查人签字：\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6CF6EEE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附录 T：定制硬件 BOM &amp; 备件确认表</w:t>
      </w:r>
    </w:p>
    <w:p w14:paraId="30C5F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表单版本号：V1.2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6259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44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设备名称型号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40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/ 芯片 BOM 清单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02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固件版本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84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备件采购周期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1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备选替代型号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DE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E25C3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873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565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230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56A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8A2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67C2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4F8F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确认：厂家签字\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 xml:space="preserve"> 集成方签字\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\</w:t>
      </w:r>
      <w:r>
        <w:rPr>
          <w:rFonts w:ascii="Arial" w:hAnsi="Arial" w:eastAsia="等线" w:cs="Arial"/>
          <w:i/>
          <w:sz w:val="22"/>
        </w:rPr>
        <w:t>\</w:t>
      </w:r>
    </w:p>
    <w:p w14:paraId="31F448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426CB4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文档结尾备注</w:t>
      </w:r>
    </w:p>
    <w:p w14:paraId="4F38254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7E05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2A07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06E7C5A"/>
    <w:multiLevelType w:val="singleLevel"/>
    <w:tmpl w:val="806E7C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25EC3C5"/>
    <w:multiLevelType w:val="singleLevel"/>
    <w:tmpl w:val="825EC3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843A0A49"/>
    <w:multiLevelType w:val="singleLevel"/>
    <w:tmpl w:val="843A0A4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84994F45"/>
    <w:multiLevelType w:val="singleLevel"/>
    <w:tmpl w:val="84994F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87B75F0A"/>
    <w:multiLevelType w:val="singleLevel"/>
    <w:tmpl w:val="87B75F0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883B3669"/>
    <w:multiLevelType w:val="singleLevel"/>
    <w:tmpl w:val="883B36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891523D9"/>
    <w:multiLevelType w:val="singleLevel"/>
    <w:tmpl w:val="891523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89F7FBCA"/>
    <w:multiLevelType w:val="singleLevel"/>
    <w:tmpl w:val="89F7FB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8D861A3E"/>
    <w:multiLevelType w:val="singleLevel"/>
    <w:tmpl w:val="8D861A3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">
    <w:nsid w:val="8E6D16C5"/>
    <w:multiLevelType w:val="singleLevel"/>
    <w:tmpl w:val="8E6D16C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8FB0CBB5"/>
    <w:multiLevelType w:val="singleLevel"/>
    <w:tmpl w:val="8FB0CBB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017BA21"/>
    <w:multiLevelType w:val="singleLevel"/>
    <w:tmpl w:val="9017BA2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90D96B34"/>
    <w:multiLevelType w:val="singleLevel"/>
    <w:tmpl w:val="90D96B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91B69C97"/>
    <w:multiLevelType w:val="singleLevel"/>
    <w:tmpl w:val="91B69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92C4F22A"/>
    <w:multiLevelType w:val="singleLevel"/>
    <w:tmpl w:val="92C4F2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930EE254"/>
    <w:multiLevelType w:val="singleLevel"/>
    <w:tmpl w:val="930EE2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9377BC45"/>
    <w:multiLevelType w:val="singleLevel"/>
    <w:tmpl w:val="9377BC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481616F"/>
    <w:multiLevelType w:val="singleLevel"/>
    <w:tmpl w:val="948161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52530A5"/>
    <w:multiLevelType w:val="singleLevel"/>
    <w:tmpl w:val="952530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95E682A1"/>
    <w:multiLevelType w:val="singleLevel"/>
    <w:tmpl w:val="95E682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96E5236C"/>
    <w:multiLevelType w:val="singleLevel"/>
    <w:tmpl w:val="96E5236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97523C9B"/>
    <w:multiLevelType w:val="singleLevel"/>
    <w:tmpl w:val="97523C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9D419CA"/>
    <w:multiLevelType w:val="singleLevel"/>
    <w:tmpl w:val="99D419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9B1F845E"/>
    <w:multiLevelType w:val="singleLevel"/>
    <w:tmpl w:val="9B1F845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9B739393"/>
    <w:multiLevelType w:val="singleLevel"/>
    <w:tmpl w:val="9B73939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9BA6347D"/>
    <w:multiLevelType w:val="singleLevel"/>
    <w:tmpl w:val="9BA63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9C7198AA"/>
    <w:multiLevelType w:val="singleLevel"/>
    <w:tmpl w:val="9C7198A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9C8AC8EF"/>
    <w:multiLevelType w:val="singleLevel"/>
    <w:tmpl w:val="9C8AC8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0">
    <w:nsid w:val="9C919DE1"/>
    <w:multiLevelType w:val="singleLevel"/>
    <w:tmpl w:val="9C919D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9CD0C84A"/>
    <w:multiLevelType w:val="singleLevel"/>
    <w:tmpl w:val="9CD0C8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9D9F4F4D"/>
    <w:multiLevelType w:val="singleLevel"/>
    <w:tmpl w:val="9D9F4F4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9DFC6F65"/>
    <w:multiLevelType w:val="singleLevel"/>
    <w:tmpl w:val="9DFC6F6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9F81B9F9"/>
    <w:multiLevelType w:val="singleLevel"/>
    <w:tmpl w:val="9F81B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9F91FE98"/>
    <w:multiLevelType w:val="singleLevel"/>
    <w:tmpl w:val="9F91FE9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9F94E439"/>
    <w:multiLevelType w:val="singleLevel"/>
    <w:tmpl w:val="9F94E43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A0F25EF7"/>
    <w:multiLevelType w:val="singleLevel"/>
    <w:tmpl w:val="A0F25E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A125D1D3"/>
    <w:multiLevelType w:val="singleLevel"/>
    <w:tmpl w:val="A125D1D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A1860C61"/>
    <w:multiLevelType w:val="singleLevel"/>
    <w:tmpl w:val="A1860C6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A25F19CE"/>
    <w:multiLevelType w:val="singleLevel"/>
    <w:tmpl w:val="A25F1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A27F1EC0"/>
    <w:multiLevelType w:val="singleLevel"/>
    <w:tmpl w:val="A27F1E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A362769C"/>
    <w:multiLevelType w:val="singleLevel"/>
    <w:tmpl w:val="A362769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A521A01A"/>
    <w:multiLevelType w:val="singleLevel"/>
    <w:tmpl w:val="A521A0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A5987499"/>
    <w:multiLevelType w:val="singleLevel"/>
    <w:tmpl w:val="A59874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A68D076A"/>
    <w:multiLevelType w:val="singleLevel"/>
    <w:tmpl w:val="A68D076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A6E60070"/>
    <w:multiLevelType w:val="singleLevel"/>
    <w:tmpl w:val="A6E6007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A750D230"/>
    <w:multiLevelType w:val="singleLevel"/>
    <w:tmpl w:val="A750D23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A904AA35"/>
    <w:multiLevelType w:val="singleLevel"/>
    <w:tmpl w:val="A904AA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A97D620A"/>
    <w:multiLevelType w:val="singleLevel"/>
    <w:tmpl w:val="A97D62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A9AC3AA7"/>
    <w:multiLevelType w:val="singleLevel"/>
    <w:tmpl w:val="A9AC3A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AC38AFEB"/>
    <w:multiLevelType w:val="singleLevel"/>
    <w:tmpl w:val="AC38AFE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AD37AD84"/>
    <w:multiLevelType w:val="singleLevel"/>
    <w:tmpl w:val="AD37AD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AE811F76"/>
    <w:multiLevelType w:val="singleLevel"/>
    <w:tmpl w:val="AE811F7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AF139D7D"/>
    <w:multiLevelType w:val="singleLevel"/>
    <w:tmpl w:val="AF139D7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B0082E4F"/>
    <w:multiLevelType w:val="singleLevel"/>
    <w:tmpl w:val="B0082E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B02A9460"/>
    <w:multiLevelType w:val="singleLevel"/>
    <w:tmpl w:val="B02A94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B08374AC"/>
    <w:multiLevelType w:val="singleLevel"/>
    <w:tmpl w:val="B08374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5">
    <w:nsid w:val="B0ED9BEA"/>
    <w:multiLevelType w:val="singleLevel"/>
    <w:tmpl w:val="B0ED9B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B0F1ACD9"/>
    <w:multiLevelType w:val="singleLevel"/>
    <w:tmpl w:val="B0F1ACD9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77">
    <w:nsid w:val="B15ABE86"/>
    <w:multiLevelType w:val="singleLevel"/>
    <w:tmpl w:val="B15ABE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8">
    <w:nsid w:val="B1CC6FF1"/>
    <w:multiLevelType w:val="singleLevel"/>
    <w:tmpl w:val="B1CC6F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B4E02BC3"/>
    <w:multiLevelType w:val="singleLevel"/>
    <w:tmpl w:val="B4E02BC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B5601969"/>
    <w:multiLevelType w:val="singleLevel"/>
    <w:tmpl w:val="B56019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B5CF74F5"/>
    <w:multiLevelType w:val="singleLevel"/>
    <w:tmpl w:val="B5CF74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B62DFF5B"/>
    <w:multiLevelType w:val="singleLevel"/>
    <w:tmpl w:val="B62DFF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B88D21A8"/>
    <w:multiLevelType w:val="singleLevel"/>
    <w:tmpl w:val="B88D21A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7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8">
    <w:nsid w:val="B99465BD"/>
    <w:multiLevelType w:val="singleLevel"/>
    <w:tmpl w:val="B99465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BA550FDB"/>
    <w:multiLevelType w:val="singleLevel"/>
    <w:tmpl w:val="BA550FD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BB01E1DA"/>
    <w:multiLevelType w:val="singleLevel"/>
    <w:tmpl w:val="BB01E1D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1">
    <w:nsid w:val="BB531B50"/>
    <w:multiLevelType w:val="singleLevel"/>
    <w:tmpl w:val="BB531B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2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BBB9C840"/>
    <w:multiLevelType w:val="singleLevel"/>
    <w:tmpl w:val="BBB9C84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4">
    <w:nsid w:val="BC837A95"/>
    <w:multiLevelType w:val="singleLevel"/>
    <w:tmpl w:val="BC837A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5">
    <w:nsid w:val="BCB7EA04"/>
    <w:multiLevelType w:val="singleLevel"/>
    <w:tmpl w:val="BCB7EA0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6">
    <w:nsid w:val="BCECA0B4"/>
    <w:multiLevelType w:val="singleLevel"/>
    <w:tmpl w:val="BCECA0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7">
    <w:nsid w:val="BDA1395C"/>
    <w:multiLevelType w:val="singleLevel"/>
    <w:tmpl w:val="BDA139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8">
    <w:nsid w:val="BDE76EE4"/>
    <w:multiLevelType w:val="singleLevel"/>
    <w:tmpl w:val="BDE76E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9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0">
    <w:nsid w:val="BE923771"/>
    <w:multiLevelType w:val="singleLevel"/>
    <w:tmpl w:val="BE923771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01">
    <w:nsid w:val="BEDBFA51"/>
    <w:multiLevelType w:val="singleLevel"/>
    <w:tmpl w:val="BEDBFA5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2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3">
    <w:nsid w:val="BF498318"/>
    <w:multiLevelType w:val="singleLevel"/>
    <w:tmpl w:val="BF49831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4">
    <w:nsid w:val="BF50FE6B"/>
    <w:multiLevelType w:val="singleLevel"/>
    <w:tmpl w:val="BF50FE6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5">
    <w:nsid w:val="BF90AAF0"/>
    <w:multiLevelType w:val="singleLevel"/>
    <w:tmpl w:val="BF90AA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6">
    <w:nsid w:val="C0283A65"/>
    <w:multiLevelType w:val="singleLevel"/>
    <w:tmpl w:val="C0283A6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7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8">
    <w:nsid w:val="C17C4D43"/>
    <w:multiLevelType w:val="singleLevel"/>
    <w:tmpl w:val="C17C4D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C1947083"/>
    <w:multiLevelType w:val="singleLevel"/>
    <w:tmpl w:val="C194708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0">
    <w:nsid w:val="C2D3C316"/>
    <w:multiLevelType w:val="singleLevel"/>
    <w:tmpl w:val="C2D3C3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1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2">
    <w:nsid w:val="C4EA4DBF"/>
    <w:multiLevelType w:val="singleLevel"/>
    <w:tmpl w:val="C4EA4D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C560BE57"/>
    <w:multiLevelType w:val="singleLevel"/>
    <w:tmpl w:val="C560BE5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C56A74DE"/>
    <w:multiLevelType w:val="singleLevel"/>
    <w:tmpl w:val="C56A74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5">
    <w:nsid w:val="C5C268A9"/>
    <w:multiLevelType w:val="singleLevel"/>
    <w:tmpl w:val="C5C268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6">
    <w:nsid w:val="C83AAF60"/>
    <w:multiLevelType w:val="singleLevel"/>
    <w:tmpl w:val="C83AAF6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7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8">
    <w:nsid w:val="C90D1B09"/>
    <w:multiLevelType w:val="singleLevel"/>
    <w:tmpl w:val="C90D1B0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9">
    <w:nsid w:val="C9412743"/>
    <w:multiLevelType w:val="singleLevel"/>
    <w:tmpl w:val="C941274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0">
    <w:nsid w:val="C9C05784"/>
    <w:multiLevelType w:val="singleLevel"/>
    <w:tmpl w:val="C9C057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1">
    <w:nsid w:val="CA556884"/>
    <w:multiLevelType w:val="singleLevel"/>
    <w:tmpl w:val="CA55688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2">
    <w:nsid w:val="CB0CECA5"/>
    <w:multiLevelType w:val="singleLevel"/>
    <w:tmpl w:val="CB0CEC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CD699D1D"/>
    <w:multiLevelType w:val="singleLevel"/>
    <w:tmpl w:val="CD699D1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5">
    <w:nsid w:val="CE6FB43A"/>
    <w:multiLevelType w:val="singleLevel"/>
    <w:tmpl w:val="CE6FB43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7">
    <w:nsid w:val="CF10C1A1"/>
    <w:multiLevelType w:val="singleLevel"/>
    <w:tmpl w:val="CF10C1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8">
    <w:nsid w:val="D06E7AE1"/>
    <w:multiLevelType w:val="singleLevel"/>
    <w:tmpl w:val="D06E7A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D1723FD0"/>
    <w:multiLevelType w:val="singleLevel"/>
    <w:tmpl w:val="D1723FD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0">
    <w:nsid w:val="D1817A99"/>
    <w:multiLevelType w:val="singleLevel"/>
    <w:tmpl w:val="D1817A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1">
    <w:nsid w:val="D1EB1714"/>
    <w:multiLevelType w:val="singleLevel"/>
    <w:tmpl w:val="D1EB17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2">
    <w:nsid w:val="D23AE8D9"/>
    <w:multiLevelType w:val="singleLevel"/>
    <w:tmpl w:val="D23AE8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3">
    <w:nsid w:val="D2B2DAFD"/>
    <w:multiLevelType w:val="singleLevel"/>
    <w:tmpl w:val="D2B2DA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D42187FE"/>
    <w:multiLevelType w:val="singleLevel"/>
    <w:tmpl w:val="D42187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D5F12F34"/>
    <w:multiLevelType w:val="singleLevel"/>
    <w:tmpl w:val="D5F12F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6">
    <w:nsid w:val="D7164B18"/>
    <w:multiLevelType w:val="singleLevel"/>
    <w:tmpl w:val="D7164B1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7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9">
    <w:nsid w:val="D7F9FE59"/>
    <w:multiLevelType w:val="singleLevel"/>
    <w:tmpl w:val="D7F9FE5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0">
    <w:nsid w:val="DAD3A854"/>
    <w:multiLevelType w:val="singleLevel"/>
    <w:tmpl w:val="DAD3A8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1">
    <w:nsid w:val="DAE62134"/>
    <w:multiLevelType w:val="singleLevel"/>
    <w:tmpl w:val="DAE621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2">
    <w:nsid w:val="DAF63FD3"/>
    <w:multiLevelType w:val="singleLevel"/>
    <w:tmpl w:val="DAF63FD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3">
    <w:nsid w:val="DCBA6B53"/>
    <w:multiLevelType w:val="singleLevel"/>
    <w:tmpl w:val="DCBA6B5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4">
    <w:nsid w:val="DD02F921"/>
    <w:multiLevelType w:val="singleLevel"/>
    <w:tmpl w:val="DD02F92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5">
    <w:nsid w:val="DD3DB379"/>
    <w:multiLevelType w:val="singleLevel"/>
    <w:tmpl w:val="DD3DB3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DD474A30"/>
    <w:multiLevelType w:val="singleLevel"/>
    <w:tmpl w:val="DD474A3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7">
    <w:nsid w:val="DE9385D2"/>
    <w:multiLevelType w:val="singleLevel"/>
    <w:tmpl w:val="DE938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E0239804"/>
    <w:multiLevelType w:val="singleLevel"/>
    <w:tmpl w:val="E023980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9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E33FB084"/>
    <w:multiLevelType w:val="singleLevel"/>
    <w:tmpl w:val="E33FB0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2">
    <w:nsid w:val="E3C01079"/>
    <w:multiLevelType w:val="singleLevel"/>
    <w:tmpl w:val="E3C010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3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E4D85DB5"/>
    <w:multiLevelType w:val="singleLevel"/>
    <w:tmpl w:val="E4D85DB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E4D8E422"/>
    <w:multiLevelType w:val="singleLevel"/>
    <w:tmpl w:val="E4D8E42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6">
    <w:nsid w:val="E4FB3EFE"/>
    <w:multiLevelType w:val="singleLevel"/>
    <w:tmpl w:val="E4FB3E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8">
    <w:nsid w:val="E52D9448"/>
    <w:multiLevelType w:val="singleLevel"/>
    <w:tmpl w:val="E52D9448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59">
    <w:nsid w:val="E6E98F67"/>
    <w:multiLevelType w:val="singleLevel"/>
    <w:tmpl w:val="E6E98F6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0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1">
    <w:nsid w:val="E8106D4C"/>
    <w:multiLevelType w:val="singleLevel"/>
    <w:tmpl w:val="E8106D4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2">
    <w:nsid w:val="E887D337"/>
    <w:multiLevelType w:val="singleLevel"/>
    <w:tmpl w:val="E887D33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3">
    <w:nsid w:val="E8EF957D"/>
    <w:multiLevelType w:val="singleLevel"/>
    <w:tmpl w:val="E8EF957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4">
    <w:nsid w:val="E93EBC56"/>
    <w:multiLevelType w:val="singleLevel"/>
    <w:tmpl w:val="E93EBC5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5">
    <w:nsid w:val="E9630B91"/>
    <w:multiLevelType w:val="singleLevel"/>
    <w:tmpl w:val="E9630B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EA6756E5"/>
    <w:multiLevelType w:val="singleLevel"/>
    <w:tmpl w:val="EA6756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EB1B02D4"/>
    <w:multiLevelType w:val="singleLevel"/>
    <w:tmpl w:val="EB1B02D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9">
    <w:nsid w:val="EC09C9A2"/>
    <w:multiLevelType w:val="singleLevel"/>
    <w:tmpl w:val="EC09C9A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0">
    <w:nsid w:val="EFCECDC7"/>
    <w:multiLevelType w:val="singleLevel"/>
    <w:tmpl w:val="EFCECD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1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F0AE400A"/>
    <w:multiLevelType w:val="singleLevel"/>
    <w:tmpl w:val="F0AE40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3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F1FCDEFA"/>
    <w:multiLevelType w:val="singleLevel"/>
    <w:tmpl w:val="F1FCDE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5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F2A81E1A"/>
    <w:multiLevelType w:val="singleLevel"/>
    <w:tmpl w:val="F2A81E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7">
    <w:nsid w:val="F30FC083"/>
    <w:multiLevelType w:val="singleLevel"/>
    <w:tmpl w:val="F30FC08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8">
    <w:nsid w:val="F3A33954"/>
    <w:multiLevelType w:val="singleLevel"/>
    <w:tmpl w:val="F3A339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9">
    <w:nsid w:val="F3B956F0"/>
    <w:multiLevelType w:val="singleLevel"/>
    <w:tmpl w:val="F3B956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0">
    <w:nsid w:val="F411B296"/>
    <w:multiLevelType w:val="singleLevel"/>
    <w:tmpl w:val="F411B29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1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F4A942FE"/>
    <w:multiLevelType w:val="singleLevel"/>
    <w:tmpl w:val="F4A942F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3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4">
    <w:nsid w:val="F585BF25"/>
    <w:multiLevelType w:val="singleLevel"/>
    <w:tmpl w:val="F585BF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5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F8949042"/>
    <w:multiLevelType w:val="singleLevel"/>
    <w:tmpl w:val="F894904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8">
    <w:nsid w:val="F9718D3C"/>
    <w:multiLevelType w:val="singleLevel"/>
    <w:tmpl w:val="F9718D3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9">
    <w:nsid w:val="F97CED97"/>
    <w:multiLevelType w:val="singleLevel"/>
    <w:tmpl w:val="F97CED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0">
    <w:nsid w:val="FCC85EE2"/>
    <w:multiLevelType w:val="singleLevel"/>
    <w:tmpl w:val="FCC85EE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1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2">
    <w:nsid w:val="FFD3F04B"/>
    <w:multiLevelType w:val="singleLevel"/>
    <w:tmpl w:val="FFD3F0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0039509F"/>
    <w:multiLevelType w:val="singleLevel"/>
    <w:tmpl w:val="0039509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5">
    <w:nsid w:val="01836A6D"/>
    <w:multiLevelType w:val="singleLevel"/>
    <w:tmpl w:val="01836A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6">
    <w:nsid w:val="01D7E1C7"/>
    <w:multiLevelType w:val="singleLevel"/>
    <w:tmpl w:val="01D7E1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7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8">
    <w:nsid w:val="0258E135"/>
    <w:multiLevelType w:val="singleLevel"/>
    <w:tmpl w:val="0258E1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9">
    <w:nsid w:val="025EB27A"/>
    <w:multiLevelType w:val="singleLevel"/>
    <w:tmpl w:val="025EB2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0">
    <w:nsid w:val="03A63A41"/>
    <w:multiLevelType w:val="singleLevel"/>
    <w:tmpl w:val="03A63A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1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3">
    <w:nsid w:val="03EF4B97"/>
    <w:multiLevelType w:val="singleLevel"/>
    <w:tmpl w:val="03EF4B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4">
    <w:nsid w:val="04C1F4F1"/>
    <w:multiLevelType w:val="singleLevel"/>
    <w:tmpl w:val="04C1F4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05D9A6EC"/>
    <w:multiLevelType w:val="singleLevel"/>
    <w:tmpl w:val="05D9A6E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6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7">
    <w:nsid w:val="07F2E950"/>
    <w:multiLevelType w:val="singleLevel"/>
    <w:tmpl w:val="07F2E9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8">
    <w:nsid w:val="07F5BCC3"/>
    <w:multiLevelType w:val="singleLevel"/>
    <w:tmpl w:val="07F5BCC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09">
    <w:nsid w:val="0A7858D9"/>
    <w:multiLevelType w:val="singleLevel"/>
    <w:tmpl w:val="0A7858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0A97485F"/>
    <w:multiLevelType w:val="singleLevel"/>
    <w:tmpl w:val="0A97485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1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0CCB9E98"/>
    <w:multiLevelType w:val="singleLevel"/>
    <w:tmpl w:val="0CCB9E9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3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4">
    <w:nsid w:val="0DBDD408"/>
    <w:multiLevelType w:val="singleLevel"/>
    <w:tmpl w:val="0DBDD40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5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6">
    <w:nsid w:val="0E640482"/>
    <w:multiLevelType w:val="singleLevel"/>
    <w:tmpl w:val="0E640482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17">
    <w:nsid w:val="0EBB575B"/>
    <w:multiLevelType w:val="singleLevel"/>
    <w:tmpl w:val="0EBB57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18">
    <w:nsid w:val="0F44FB56"/>
    <w:multiLevelType w:val="singleLevel"/>
    <w:tmpl w:val="0F44FB5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9">
    <w:nsid w:val="0F929F01"/>
    <w:multiLevelType w:val="singleLevel"/>
    <w:tmpl w:val="0F929F0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20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1">
    <w:nsid w:val="0FB7FDF6"/>
    <w:multiLevelType w:val="singleLevel"/>
    <w:tmpl w:val="0FB7FD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2">
    <w:nsid w:val="10502DFD"/>
    <w:multiLevelType w:val="singleLevel"/>
    <w:tmpl w:val="10502DF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3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4">
    <w:nsid w:val="10F0DB0B"/>
    <w:multiLevelType w:val="singleLevel"/>
    <w:tmpl w:val="10F0DB0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25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6">
    <w:nsid w:val="13660E3F"/>
    <w:multiLevelType w:val="singleLevel"/>
    <w:tmpl w:val="13660E3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7">
    <w:nsid w:val="144C33B5"/>
    <w:multiLevelType w:val="singleLevel"/>
    <w:tmpl w:val="144C33B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8">
    <w:nsid w:val="1450273B"/>
    <w:multiLevelType w:val="singleLevel"/>
    <w:tmpl w:val="145027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9">
    <w:nsid w:val="1483906D"/>
    <w:multiLevelType w:val="singleLevel"/>
    <w:tmpl w:val="148390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0">
    <w:nsid w:val="17371721"/>
    <w:multiLevelType w:val="singleLevel"/>
    <w:tmpl w:val="1737172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1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2">
    <w:nsid w:val="192B173A"/>
    <w:multiLevelType w:val="singleLevel"/>
    <w:tmpl w:val="192B173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3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4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5">
    <w:nsid w:val="1B3FCE26"/>
    <w:multiLevelType w:val="singleLevel"/>
    <w:tmpl w:val="1B3FC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6">
    <w:nsid w:val="1BCBBCF0"/>
    <w:multiLevelType w:val="singleLevel"/>
    <w:tmpl w:val="1BCBBCF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7">
    <w:nsid w:val="1C01D09A"/>
    <w:multiLevelType w:val="singleLevel"/>
    <w:tmpl w:val="1C01D09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8">
    <w:nsid w:val="1C257C7B"/>
    <w:multiLevelType w:val="singleLevel"/>
    <w:tmpl w:val="1C257C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9">
    <w:nsid w:val="1DEB737C"/>
    <w:multiLevelType w:val="singleLevel"/>
    <w:tmpl w:val="1DEB73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0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1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227C9188"/>
    <w:multiLevelType w:val="singleLevel"/>
    <w:tmpl w:val="227C9188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43">
    <w:nsid w:val="23BE88EB"/>
    <w:multiLevelType w:val="singleLevel"/>
    <w:tmpl w:val="23BE88E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6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7">
    <w:nsid w:val="249218D2"/>
    <w:multiLevelType w:val="singleLevel"/>
    <w:tmpl w:val="249218D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8">
    <w:nsid w:val="249DD600"/>
    <w:multiLevelType w:val="singleLevel"/>
    <w:tmpl w:val="249DD6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9">
    <w:nsid w:val="251342A6"/>
    <w:multiLevelType w:val="singleLevel"/>
    <w:tmpl w:val="251342A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0">
    <w:nsid w:val="252BF6AB"/>
    <w:multiLevelType w:val="singleLevel"/>
    <w:tmpl w:val="252BF6A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1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2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3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2A346C2F"/>
    <w:multiLevelType w:val="singleLevel"/>
    <w:tmpl w:val="2A346C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6">
    <w:nsid w:val="2B3F3F89"/>
    <w:multiLevelType w:val="singleLevel"/>
    <w:tmpl w:val="2B3F3F8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7">
    <w:nsid w:val="2C9424EE"/>
    <w:multiLevelType w:val="singleLevel"/>
    <w:tmpl w:val="2C9424E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8">
    <w:nsid w:val="2ED48100"/>
    <w:multiLevelType w:val="singleLevel"/>
    <w:tmpl w:val="2ED4810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59">
    <w:nsid w:val="2F2D79CE"/>
    <w:multiLevelType w:val="singleLevel"/>
    <w:tmpl w:val="2F2D79C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60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311F749C"/>
    <w:multiLevelType w:val="singleLevel"/>
    <w:tmpl w:val="311F749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3">
    <w:nsid w:val="3215EB96"/>
    <w:multiLevelType w:val="singleLevel"/>
    <w:tmpl w:val="3215EB9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4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5">
    <w:nsid w:val="3287CD95"/>
    <w:multiLevelType w:val="singleLevel"/>
    <w:tmpl w:val="3287CD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6">
    <w:nsid w:val="329A4FD1"/>
    <w:multiLevelType w:val="singleLevel"/>
    <w:tmpl w:val="329A4FD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7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8">
    <w:nsid w:val="32BA17AD"/>
    <w:multiLevelType w:val="singleLevel"/>
    <w:tmpl w:val="32BA17A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9">
    <w:nsid w:val="333E8B90"/>
    <w:multiLevelType w:val="singleLevel"/>
    <w:tmpl w:val="333E8B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0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1">
    <w:nsid w:val="35ECE9CB"/>
    <w:multiLevelType w:val="singleLevel"/>
    <w:tmpl w:val="35ECE9C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2">
    <w:nsid w:val="3664A4D1"/>
    <w:multiLevelType w:val="singleLevel"/>
    <w:tmpl w:val="3664A4D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73">
    <w:nsid w:val="38BD5B66"/>
    <w:multiLevelType w:val="singleLevel"/>
    <w:tmpl w:val="38BD5B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4">
    <w:nsid w:val="38EAC418"/>
    <w:multiLevelType w:val="singleLevel"/>
    <w:tmpl w:val="38EAC41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5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6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7">
    <w:nsid w:val="3AB9B13A"/>
    <w:multiLevelType w:val="singleLevel"/>
    <w:tmpl w:val="3AB9B1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8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9">
    <w:nsid w:val="3D0F1E6B"/>
    <w:multiLevelType w:val="singleLevel"/>
    <w:tmpl w:val="3D0F1E6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0">
    <w:nsid w:val="3D950AF9"/>
    <w:multiLevelType w:val="singleLevel"/>
    <w:tmpl w:val="3D950A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1">
    <w:nsid w:val="3F1717E6"/>
    <w:multiLevelType w:val="singleLevel"/>
    <w:tmpl w:val="3F1717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2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3">
    <w:nsid w:val="408860E8"/>
    <w:multiLevelType w:val="singleLevel"/>
    <w:tmpl w:val="408860E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4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5">
    <w:nsid w:val="40F245EA"/>
    <w:multiLevelType w:val="singleLevel"/>
    <w:tmpl w:val="40F245E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86">
    <w:nsid w:val="41AA89E8"/>
    <w:multiLevelType w:val="singleLevel"/>
    <w:tmpl w:val="41AA89E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7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8">
    <w:nsid w:val="429CD0B5"/>
    <w:multiLevelType w:val="singleLevel"/>
    <w:tmpl w:val="429CD0B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9">
    <w:nsid w:val="43D68054"/>
    <w:multiLevelType w:val="singleLevel"/>
    <w:tmpl w:val="43D680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0">
    <w:nsid w:val="446EAEE1"/>
    <w:multiLevelType w:val="singleLevel"/>
    <w:tmpl w:val="446EAE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1">
    <w:nsid w:val="46A08BB8"/>
    <w:multiLevelType w:val="singleLevel"/>
    <w:tmpl w:val="46A08BB8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292">
    <w:nsid w:val="48CC578B"/>
    <w:multiLevelType w:val="singleLevel"/>
    <w:tmpl w:val="48CC578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3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4">
    <w:nsid w:val="4A5718B2"/>
    <w:multiLevelType w:val="singleLevel"/>
    <w:tmpl w:val="4A571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5">
    <w:nsid w:val="4AD1D84F"/>
    <w:multiLevelType w:val="singleLevel"/>
    <w:tmpl w:val="4AD1D8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6">
    <w:nsid w:val="4B98F436"/>
    <w:multiLevelType w:val="singleLevel"/>
    <w:tmpl w:val="4B98F436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97">
    <w:nsid w:val="4C1BAE26"/>
    <w:multiLevelType w:val="singleLevel"/>
    <w:tmpl w:val="4C1BAE26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98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9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0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1">
    <w:nsid w:val="4D63189B"/>
    <w:multiLevelType w:val="singleLevel"/>
    <w:tmpl w:val="4D63189B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02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3">
    <w:nsid w:val="4E709187"/>
    <w:multiLevelType w:val="singleLevel"/>
    <w:tmpl w:val="4E7091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4">
    <w:nsid w:val="4EA76503"/>
    <w:multiLevelType w:val="singleLevel"/>
    <w:tmpl w:val="4EA7650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5">
    <w:nsid w:val="4F00C6B4"/>
    <w:multiLevelType w:val="singleLevel"/>
    <w:tmpl w:val="4F00C6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6">
    <w:nsid w:val="4FA7FC34"/>
    <w:multiLevelType w:val="singleLevel"/>
    <w:tmpl w:val="4FA7FC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7">
    <w:nsid w:val="4FB438A5"/>
    <w:multiLevelType w:val="singleLevel"/>
    <w:tmpl w:val="4FB438A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08">
    <w:nsid w:val="51C4BC33"/>
    <w:multiLevelType w:val="singleLevel"/>
    <w:tmpl w:val="51C4BC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9">
    <w:nsid w:val="532FCC4A"/>
    <w:multiLevelType w:val="singleLevel"/>
    <w:tmpl w:val="532FCC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0">
    <w:nsid w:val="54701CA1"/>
    <w:multiLevelType w:val="singleLevel"/>
    <w:tmpl w:val="54701C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1">
    <w:nsid w:val="568750A4"/>
    <w:multiLevelType w:val="singleLevel"/>
    <w:tmpl w:val="568750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2">
    <w:nsid w:val="57DED440"/>
    <w:multiLevelType w:val="singleLevel"/>
    <w:tmpl w:val="57DED4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3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4">
    <w:nsid w:val="588B654D"/>
    <w:multiLevelType w:val="singleLevel"/>
    <w:tmpl w:val="588B654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15">
    <w:nsid w:val="598DAF6D"/>
    <w:multiLevelType w:val="singleLevel"/>
    <w:tmpl w:val="598DAF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6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7">
    <w:nsid w:val="59EEFD2A"/>
    <w:multiLevelType w:val="singleLevel"/>
    <w:tmpl w:val="59EEFD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9">
    <w:nsid w:val="5A8377A7"/>
    <w:multiLevelType w:val="singleLevel"/>
    <w:tmpl w:val="5A8377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0">
    <w:nsid w:val="5B1CE604"/>
    <w:multiLevelType w:val="singleLevel"/>
    <w:tmpl w:val="5B1CE6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1">
    <w:nsid w:val="5CFE3973"/>
    <w:multiLevelType w:val="singleLevel"/>
    <w:tmpl w:val="5CFE397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2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3">
    <w:nsid w:val="5EFCBBDA"/>
    <w:multiLevelType w:val="singleLevel"/>
    <w:tmpl w:val="5EFCBBD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4">
    <w:nsid w:val="5F098F1B"/>
    <w:multiLevelType w:val="singleLevel"/>
    <w:tmpl w:val="5F098F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5">
    <w:nsid w:val="5FB3A0AC"/>
    <w:multiLevelType w:val="singleLevel"/>
    <w:tmpl w:val="5FB3A0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6">
    <w:nsid w:val="5FCE4367"/>
    <w:multiLevelType w:val="singleLevel"/>
    <w:tmpl w:val="5FCE436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7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8">
    <w:nsid w:val="60054CB4"/>
    <w:multiLevelType w:val="singleLevel"/>
    <w:tmpl w:val="60054C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9">
    <w:nsid w:val="60382F6E"/>
    <w:multiLevelType w:val="singleLevel"/>
    <w:tmpl w:val="60382F6E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30">
    <w:nsid w:val="603A41D5"/>
    <w:multiLevelType w:val="singleLevel"/>
    <w:tmpl w:val="603A41D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1">
    <w:nsid w:val="610EFE5C"/>
    <w:multiLevelType w:val="singleLevel"/>
    <w:tmpl w:val="610EFE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2">
    <w:nsid w:val="61B89BA7"/>
    <w:multiLevelType w:val="singleLevel"/>
    <w:tmpl w:val="61B89B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3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4">
    <w:nsid w:val="63645CC9"/>
    <w:multiLevelType w:val="singleLevel"/>
    <w:tmpl w:val="63645C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5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6">
    <w:nsid w:val="64574ED8"/>
    <w:multiLevelType w:val="singleLevel"/>
    <w:tmpl w:val="64574ED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7">
    <w:nsid w:val="64C0CB79"/>
    <w:multiLevelType w:val="singleLevel"/>
    <w:tmpl w:val="64C0CB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8">
    <w:nsid w:val="651422BE"/>
    <w:multiLevelType w:val="singleLevel"/>
    <w:tmpl w:val="651422B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9">
    <w:nsid w:val="651AF6BB"/>
    <w:multiLevelType w:val="singleLevel"/>
    <w:tmpl w:val="651AF6B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0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1">
    <w:nsid w:val="65CD0074"/>
    <w:multiLevelType w:val="singleLevel"/>
    <w:tmpl w:val="65CD00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2">
    <w:nsid w:val="68B298F7"/>
    <w:multiLevelType w:val="singleLevel"/>
    <w:tmpl w:val="68B298F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3">
    <w:nsid w:val="6AABDF48"/>
    <w:multiLevelType w:val="singleLevel"/>
    <w:tmpl w:val="6AABDF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4">
    <w:nsid w:val="6AFC2A1C"/>
    <w:multiLevelType w:val="singleLevel"/>
    <w:tmpl w:val="6AFC2A1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5">
    <w:nsid w:val="6B20502E"/>
    <w:multiLevelType w:val="singleLevel"/>
    <w:tmpl w:val="6B20502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6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7">
    <w:nsid w:val="6C740873"/>
    <w:multiLevelType w:val="singleLevel"/>
    <w:tmpl w:val="6C74087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8">
    <w:nsid w:val="6D423078"/>
    <w:multiLevelType w:val="singleLevel"/>
    <w:tmpl w:val="6D4230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9">
    <w:nsid w:val="6E840AC9"/>
    <w:multiLevelType w:val="singleLevel"/>
    <w:tmpl w:val="6E840A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0">
    <w:nsid w:val="6F600250"/>
    <w:multiLevelType w:val="singleLevel"/>
    <w:tmpl w:val="6F6002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1">
    <w:nsid w:val="6FAFF6A1"/>
    <w:multiLevelType w:val="singleLevel"/>
    <w:tmpl w:val="6FAFF6A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52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3">
    <w:nsid w:val="70AE371C"/>
    <w:multiLevelType w:val="singleLevel"/>
    <w:tmpl w:val="70AE37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4">
    <w:nsid w:val="70F95E71"/>
    <w:multiLevelType w:val="singleLevel"/>
    <w:tmpl w:val="70F95E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5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6">
    <w:nsid w:val="72D8DA4C"/>
    <w:multiLevelType w:val="singleLevel"/>
    <w:tmpl w:val="72D8DA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7">
    <w:nsid w:val="72E803E3"/>
    <w:multiLevelType w:val="singleLevel"/>
    <w:tmpl w:val="72E803E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8">
    <w:nsid w:val="7321C756"/>
    <w:multiLevelType w:val="singleLevel"/>
    <w:tmpl w:val="7321C75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59">
    <w:nsid w:val="744F3566"/>
    <w:multiLevelType w:val="singleLevel"/>
    <w:tmpl w:val="744F35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0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1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2">
    <w:nsid w:val="761AFD5F"/>
    <w:multiLevelType w:val="singleLevel"/>
    <w:tmpl w:val="761AFD5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3">
    <w:nsid w:val="7657892B"/>
    <w:multiLevelType w:val="singleLevel"/>
    <w:tmpl w:val="7657892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4">
    <w:nsid w:val="76A26DF9"/>
    <w:multiLevelType w:val="singleLevel"/>
    <w:tmpl w:val="76A26D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5">
    <w:nsid w:val="773C851D"/>
    <w:multiLevelType w:val="singleLevel"/>
    <w:tmpl w:val="773C85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6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7">
    <w:nsid w:val="77ECEA79"/>
    <w:multiLevelType w:val="singleLevel"/>
    <w:tmpl w:val="77ECEA79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68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9">
    <w:nsid w:val="7B1E29B8"/>
    <w:multiLevelType w:val="singleLevel"/>
    <w:tmpl w:val="7B1E29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0">
    <w:nsid w:val="7C246926"/>
    <w:multiLevelType w:val="singleLevel"/>
    <w:tmpl w:val="7C246926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71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2">
    <w:nsid w:val="7F5F03EB"/>
    <w:multiLevelType w:val="singleLevel"/>
    <w:tmpl w:val="7F5F03EB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94"/>
  </w:num>
  <w:num w:numId="2">
    <w:abstractNumId w:val="126"/>
  </w:num>
  <w:num w:numId="3">
    <w:abstractNumId w:val="316"/>
  </w:num>
  <w:num w:numId="4">
    <w:abstractNumId w:val="102"/>
  </w:num>
  <w:num w:numId="5">
    <w:abstractNumId w:val="84"/>
  </w:num>
  <w:num w:numId="6">
    <w:abstractNumId w:val="202"/>
  </w:num>
  <w:num w:numId="7">
    <w:abstractNumId w:val="251"/>
  </w:num>
  <w:num w:numId="8">
    <w:abstractNumId w:val="355"/>
  </w:num>
  <w:num w:numId="9">
    <w:abstractNumId w:val="197"/>
  </w:num>
  <w:num w:numId="10">
    <w:abstractNumId w:val="20"/>
  </w:num>
  <w:num w:numId="11">
    <w:abstractNumId w:val="255"/>
  </w:num>
  <w:num w:numId="12">
    <w:abstractNumId w:val="318"/>
  </w:num>
  <w:num w:numId="13">
    <w:abstractNumId w:val="117"/>
  </w:num>
  <w:num w:numId="14">
    <w:abstractNumId w:val="300"/>
  </w:num>
  <w:num w:numId="15">
    <w:abstractNumId w:val="183"/>
  </w:num>
  <w:num w:numId="16">
    <w:abstractNumId w:val="246"/>
  </w:num>
  <w:num w:numId="17">
    <w:abstractNumId w:val="143"/>
  </w:num>
  <w:num w:numId="18">
    <w:abstractNumId w:val="139"/>
  </w:num>
  <w:num w:numId="19">
    <w:abstractNumId w:val="39"/>
  </w:num>
  <w:num w:numId="20">
    <w:abstractNumId w:val="297"/>
  </w:num>
  <w:num w:numId="21">
    <w:abstractNumId w:val="329"/>
  </w:num>
  <w:num w:numId="22">
    <w:abstractNumId w:val="216"/>
  </w:num>
  <w:num w:numId="23">
    <w:abstractNumId w:val="291"/>
  </w:num>
  <w:num w:numId="24">
    <w:abstractNumId w:val="76"/>
  </w:num>
  <w:num w:numId="25">
    <w:abstractNumId w:val="370"/>
  </w:num>
  <w:num w:numId="26">
    <w:abstractNumId w:val="367"/>
  </w:num>
  <w:num w:numId="27">
    <w:abstractNumId w:val="100"/>
  </w:num>
  <w:num w:numId="28">
    <w:abstractNumId w:val="333"/>
  </w:num>
  <w:num w:numId="29">
    <w:abstractNumId w:val="21"/>
  </w:num>
  <w:num w:numId="30">
    <w:abstractNumId w:val="275"/>
  </w:num>
  <w:num w:numId="31">
    <w:abstractNumId w:val="6"/>
  </w:num>
  <w:num w:numId="32">
    <w:abstractNumId w:val="313"/>
  </w:num>
  <w:num w:numId="33">
    <w:abstractNumId w:val="371"/>
  </w:num>
  <w:num w:numId="34">
    <w:abstractNumId w:val="2"/>
  </w:num>
  <w:num w:numId="35">
    <w:abstractNumId w:val="245"/>
  </w:num>
  <w:num w:numId="36">
    <w:abstractNumId w:val="302"/>
  </w:num>
  <w:num w:numId="37">
    <w:abstractNumId w:val="186"/>
  </w:num>
  <w:num w:numId="38">
    <w:abstractNumId w:val="150"/>
  </w:num>
  <w:num w:numId="39">
    <w:abstractNumId w:val="261"/>
  </w:num>
  <w:num w:numId="40">
    <w:abstractNumId w:val="368"/>
  </w:num>
  <w:num w:numId="41">
    <w:abstractNumId w:val="92"/>
  </w:num>
  <w:num w:numId="42">
    <w:abstractNumId w:val="18"/>
  </w:num>
  <w:num w:numId="43">
    <w:abstractNumId w:val="87"/>
  </w:num>
  <w:num w:numId="44">
    <w:abstractNumId w:val="322"/>
  </w:num>
  <w:num w:numId="45">
    <w:abstractNumId w:val="5"/>
  </w:num>
  <w:num w:numId="46">
    <w:abstractNumId w:val="233"/>
  </w:num>
  <w:num w:numId="47">
    <w:abstractNumId w:val="12"/>
  </w:num>
  <w:num w:numId="48">
    <w:abstractNumId w:val="327"/>
  </w:num>
  <w:num w:numId="49">
    <w:abstractNumId w:val="361"/>
  </w:num>
  <w:num w:numId="50">
    <w:abstractNumId w:val="298"/>
  </w:num>
  <w:num w:numId="51">
    <w:abstractNumId w:val="264"/>
  </w:num>
  <w:num w:numId="52">
    <w:abstractNumId w:val="341"/>
  </w:num>
  <w:num w:numId="53">
    <w:abstractNumId w:val="206"/>
  </w:num>
  <w:num w:numId="54">
    <w:abstractNumId w:val="213"/>
  </w:num>
  <w:num w:numId="55">
    <w:abstractNumId w:val="138"/>
  </w:num>
  <w:num w:numId="56">
    <w:abstractNumId w:val="267"/>
  </w:num>
  <w:num w:numId="57">
    <w:abstractNumId w:val="238"/>
  </w:num>
  <w:num w:numId="58">
    <w:abstractNumId w:val="173"/>
  </w:num>
  <w:num w:numId="59">
    <w:abstractNumId w:val="244"/>
  </w:num>
  <w:num w:numId="60">
    <w:abstractNumId w:val="81"/>
  </w:num>
  <w:num w:numId="61">
    <w:abstractNumId w:val="284"/>
  </w:num>
  <w:num w:numId="62">
    <w:abstractNumId w:val="220"/>
  </w:num>
  <w:num w:numId="63">
    <w:abstractNumId w:val="270"/>
  </w:num>
  <w:num w:numId="64">
    <w:abstractNumId w:val="200"/>
  </w:num>
  <w:num w:numId="65">
    <w:abstractNumId w:val="107"/>
  </w:num>
  <w:num w:numId="66">
    <w:abstractNumId w:val="225"/>
  </w:num>
  <w:num w:numId="67">
    <w:abstractNumId w:val="79"/>
  </w:num>
  <w:num w:numId="68">
    <w:abstractNumId w:val="278"/>
  </w:num>
  <w:num w:numId="69">
    <w:abstractNumId w:val="50"/>
  </w:num>
  <w:num w:numId="70">
    <w:abstractNumId w:val="185"/>
  </w:num>
  <w:num w:numId="71">
    <w:abstractNumId w:val="260"/>
  </w:num>
  <w:num w:numId="72">
    <w:abstractNumId w:val="191"/>
  </w:num>
  <w:num w:numId="73">
    <w:abstractNumId w:val="231"/>
  </w:num>
  <w:num w:numId="74">
    <w:abstractNumId w:val="352"/>
  </w:num>
  <w:num w:numId="75">
    <w:abstractNumId w:val="157"/>
  </w:num>
  <w:num w:numId="76">
    <w:abstractNumId w:val="111"/>
  </w:num>
  <w:num w:numId="77">
    <w:abstractNumId w:val="49"/>
  </w:num>
  <w:num w:numId="78">
    <w:abstractNumId w:val="366"/>
  </w:num>
  <w:num w:numId="79">
    <w:abstractNumId w:val="140"/>
  </w:num>
  <w:num w:numId="80">
    <w:abstractNumId w:val="86"/>
  </w:num>
  <w:num w:numId="81">
    <w:abstractNumId w:val="259"/>
  </w:num>
  <w:num w:numId="82">
    <w:abstractNumId w:val="160"/>
  </w:num>
  <w:num w:numId="83">
    <w:abstractNumId w:val="33"/>
  </w:num>
  <w:num w:numId="84">
    <w:abstractNumId w:val="317"/>
  </w:num>
  <w:num w:numId="85">
    <w:abstractNumId w:val="97"/>
  </w:num>
  <w:num w:numId="86">
    <w:abstractNumId w:val="75"/>
  </w:num>
  <w:num w:numId="87">
    <w:abstractNumId w:val="24"/>
  </w:num>
  <w:num w:numId="88">
    <w:abstractNumId w:val="42"/>
  </w:num>
  <w:num w:numId="89">
    <w:abstractNumId w:val="67"/>
  </w:num>
  <w:num w:numId="90">
    <w:abstractNumId w:val="19"/>
  </w:num>
  <w:num w:numId="91">
    <w:abstractNumId w:val="236"/>
  </w:num>
  <w:num w:numId="92">
    <w:abstractNumId w:val="99"/>
  </w:num>
  <w:num w:numId="93">
    <w:abstractNumId w:val="228"/>
  </w:num>
  <w:num w:numId="94">
    <w:abstractNumId w:val="131"/>
  </w:num>
  <w:num w:numId="95">
    <w:abstractNumId w:val="342"/>
  </w:num>
  <w:num w:numId="96">
    <w:abstractNumId w:val="0"/>
  </w:num>
  <w:num w:numId="97">
    <w:abstractNumId w:val="96"/>
  </w:num>
  <w:num w:numId="98">
    <w:abstractNumId w:val="184"/>
  </w:num>
  <w:num w:numId="99">
    <w:abstractNumId w:val="299"/>
  </w:num>
  <w:num w:numId="100">
    <w:abstractNumId w:val="223"/>
  </w:num>
  <w:num w:numId="101">
    <w:abstractNumId w:val="37"/>
  </w:num>
  <w:num w:numId="102">
    <w:abstractNumId w:val="149"/>
  </w:num>
  <w:num w:numId="103">
    <w:abstractNumId w:val="234"/>
  </w:num>
  <w:num w:numId="104">
    <w:abstractNumId w:val="293"/>
  </w:num>
  <w:num w:numId="105">
    <w:abstractNumId w:val="66"/>
  </w:num>
  <w:num w:numId="106">
    <w:abstractNumId w:val="331"/>
  </w:num>
  <w:num w:numId="107">
    <w:abstractNumId w:val="3"/>
  </w:num>
  <w:num w:numId="108">
    <w:abstractNumId w:val="9"/>
  </w:num>
  <w:num w:numId="109">
    <w:abstractNumId w:val="195"/>
  </w:num>
  <w:num w:numId="110">
    <w:abstractNumId w:val="46"/>
  </w:num>
  <w:num w:numId="111">
    <w:abstractNumId w:val="104"/>
  </w:num>
  <w:num w:numId="112">
    <w:abstractNumId w:val="118"/>
  </w:num>
  <w:num w:numId="113">
    <w:abstractNumId w:val="182"/>
  </w:num>
  <w:num w:numId="114">
    <w:abstractNumId w:val="326"/>
  </w:num>
  <w:num w:numId="115">
    <w:abstractNumId w:val="178"/>
  </w:num>
  <w:num w:numId="116">
    <w:abstractNumId w:val="310"/>
  </w:num>
  <w:num w:numId="117">
    <w:abstractNumId w:val="241"/>
  </w:num>
  <w:num w:numId="118">
    <w:abstractNumId w:val="31"/>
  </w:num>
  <w:num w:numId="119">
    <w:abstractNumId w:val="201"/>
  </w:num>
  <w:num w:numId="120">
    <w:abstractNumId w:val="45"/>
  </w:num>
  <w:num w:numId="121">
    <w:abstractNumId w:val="256"/>
  </w:num>
  <w:num w:numId="122">
    <w:abstractNumId w:val="308"/>
  </w:num>
  <w:num w:numId="123">
    <w:abstractNumId w:val="124"/>
  </w:num>
  <w:num w:numId="124">
    <w:abstractNumId w:val="38"/>
  </w:num>
  <w:num w:numId="125">
    <w:abstractNumId w:val="249"/>
  </w:num>
  <w:num w:numId="126">
    <w:abstractNumId w:val="285"/>
  </w:num>
  <w:num w:numId="127">
    <w:abstractNumId w:val="224"/>
  </w:num>
  <w:num w:numId="128">
    <w:abstractNumId w:val="301"/>
  </w:num>
  <w:num w:numId="129">
    <w:abstractNumId w:val="307"/>
  </w:num>
  <w:num w:numId="130">
    <w:abstractNumId w:val="242"/>
  </w:num>
  <w:num w:numId="131">
    <w:abstractNumId w:val="158"/>
  </w:num>
  <w:num w:numId="132">
    <w:abstractNumId w:val="43"/>
  </w:num>
  <w:num w:numId="133">
    <w:abstractNumId w:val="276"/>
  </w:num>
  <w:num w:numId="134">
    <w:abstractNumId w:val="282"/>
  </w:num>
  <w:num w:numId="135">
    <w:abstractNumId w:val="215"/>
  </w:num>
  <w:num w:numId="136">
    <w:abstractNumId w:val="348"/>
  </w:num>
  <w:num w:numId="137">
    <w:abstractNumId w:val="153"/>
  </w:num>
  <w:num w:numId="138">
    <w:abstractNumId w:val="240"/>
  </w:num>
  <w:num w:numId="139">
    <w:abstractNumId w:val="211"/>
  </w:num>
  <w:num w:numId="140">
    <w:abstractNumId w:val="166"/>
  </w:num>
  <w:num w:numId="141">
    <w:abstractNumId w:val="175"/>
  </w:num>
  <w:num w:numId="142">
    <w:abstractNumId w:val="137"/>
  </w:num>
  <w:num w:numId="143">
    <w:abstractNumId w:val="287"/>
  </w:num>
  <w:num w:numId="144">
    <w:abstractNumId w:val="181"/>
  </w:num>
  <w:num w:numId="145">
    <w:abstractNumId w:val="28"/>
  </w:num>
  <w:num w:numId="146">
    <w:abstractNumId w:val="174"/>
  </w:num>
  <w:num w:numId="147">
    <w:abstractNumId w:val="196"/>
  </w:num>
  <w:num w:numId="148">
    <w:abstractNumId w:val="119"/>
  </w:num>
  <w:num w:numId="149">
    <w:abstractNumId w:val="274"/>
  </w:num>
  <w:num w:numId="150">
    <w:abstractNumId w:val="344"/>
  </w:num>
  <w:num w:numId="151">
    <w:abstractNumId w:val="141"/>
  </w:num>
  <w:num w:numId="152">
    <w:abstractNumId w:val="65"/>
  </w:num>
  <w:num w:numId="153">
    <w:abstractNumId w:val="8"/>
  </w:num>
  <w:num w:numId="154">
    <w:abstractNumId w:val="74"/>
  </w:num>
  <w:num w:numId="155">
    <w:abstractNumId w:val="208"/>
  </w:num>
  <w:num w:numId="156">
    <w:abstractNumId w:val="80"/>
  </w:num>
  <w:num w:numId="157">
    <w:abstractNumId w:val="176"/>
  </w:num>
  <w:num w:numId="158">
    <w:abstractNumId w:val="250"/>
  </w:num>
  <w:num w:numId="159">
    <w:abstractNumId w:val="295"/>
  </w:num>
  <w:num w:numId="160">
    <w:abstractNumId w:val="78"/>
  </w:num>
  <w:num w:numId="161">
    <w:abstractNumId w:val="280"/>
  </w:num>
  <w:num w:numId="162">
    <w:abstractNumId w:val="235"/>
  </w:num>
  <w:num w:numId="163">
    <w:abstractNumId w:val="229"/>
  </w:num>
  <w:num w:numId="164">
    <w:abstractNumId w:val="188"/>
  </w:num>
  <w:num w:numId="165">
    <w:abstractNumId w:val="271"/>
  </w:num>
  <w:num w:numId="166">
    <w:abstractNumId w:val="106"/>
  </w:num>
  <w:num w:numId="167">
    <w:abstractNumId w:val="306"/>
  </w:num>
  <w:num w:numId="168">
    <w:abstractNumId w:val="283"/>
  </w:num>
  <w:num w:numId="169">
    <w:abstractNumId w:val="253"/>
  </w:num>
  <w:num w:numId="170">
    <w:abstractNumId w:val="171"/>
  </w:num>
  <w:num w:numId="171">
    <w:abstractNumId w:val="59"/>
  </w:num>
  <w:num w:numId="172">
    <w:abstractNumId w:val="360"/>
  </w:num>
  <w:num w:numId="173">
    <w:abstractNumId w:val="252"/>
  </w:num>
  <w:num w:numId="174">
    <w:abstractNumId w:val="346"/>
  </w:num>
  <w:num w:numId="175">
    <w:abstractNumId w:val="25"/>
  </w:num>
  <w:num w:numId="176">
    <w:abstractNumId w:val="340"/>
  </w:num>
  <w:num w:numId="177">
    <w:abstractNumId w:val="123"/>
  </w:num>
  <w:num w:numId="178">
    <w:abstractNumId w:val="335"/>
  </w:num>
  <w:num w:numId="179">
    <w:abstractNumId w:val="266"/>
  </w:num>
  <w:num w:numId="180">
    <w:abstractNumId w:val="359"/>
  </w:num>
  <w:num w:numId="181">
    <w:abstractNumId w:val="354"/>
  </w:num>
  <w:num w:numId="182">
    <w:abstractNumId w:val="135"/>
  </w:num>
  <w:num w:numId="183">
    <w:abstractNumId w:val="177"/>
  </w:num>
  <w:num w:numId="184">
    <w:abstractNumId w:val="190"/>
  </w:num>
  <w:num w:numId="185">
    <w:abstractNumId w:val="23"/>
  </w:num>
  <w:num w:numId="186">
    <w:abstractNumId w:val="82"/>
  </w:num>
  <w:num w:numId="187">
    <w:abstractNumId w:val="288"/>
  </w:num>
  <w:num w:numId="188">
    <w:abstractNumId w:val="83"/>
  </w:num>
  <w:num w:numId="189">
    <w:abstractNumId w:val="337"/>
  </w:num>
  <w:num w:numId="190">
    <w:abstractNumId w:val="305"/>
  </w:num>
  <w:num w:numId="191">
    <w:abstractNumId w:val="319"/>
  </w:num>
  <w:num w:numId="192">
    <w:abstractNumId w:val="94"/>
  </w:num>
  <w:num w:numId="193">
    <w:abstractNumId w:val="269"/>
  </w:num>
  <w:num w:numId="194">
    <w:abstractNumId w:val="164"/>
  </w:num>
  <w:num w:numId="195">
    <w:abstractNumId w:val="237"/>
  </w:num>
  <w:num w:numId="196">
    <w:abstractNumId w:val="7"/>
  </w:num>
  <w:num w:numId="197">
    <w:abstractNumId w:val="72"/>
  </w:num>
  <w:num w:numId="198">
    <w:abstractNumId w:val="226"/>
  </w:num>
  <w:num w:numId="199">
    <w:abstractNumId w:val="304"/>
  </w:num>
  <w:num w:numId="200">
    <w:abstractNumId w:val="338"/>
  </w:num>
  <w:num w:numId="201">
    <w:abstractNumId w:val="88"/>
  </w:num>
  <w:num w:numId="202">
    <w:abstractNumId w:val="44"/>
  </w:num>
  <w:num w:numId="203">
    <w:abstractNumId w:val="232"/>
  </w:num>
  <w:num w:numId="204">
    <w:abstractNumId w:val="189"/>
  </w:num>
  <w:num w:numId="205">
    <w:abstractNumId w:val="89"/>
  </w:num>
  <w:num w:numId="206">
    <w:abstractNumId w:val="77"/>
  </w:num>
  <w:num w:numId="207">
    <w:abstractNumId w:val="212"/>
  </w:num>
  <w:num w:numId="208">
    <w:abstractNumId w:val="219"/>
  </w:num>
  <w:num w:numId="209">
    <w:abstractNumId w:val="272"/>
  </w:num>
  <w:num w:numId="210">
    <w:abstractNumId w:val="198"/>
  </w:num>
  <w:num w:numId="211">
    <w:abstractNumId w:val="34"/>
  </w:num>
  <w:num w:numId="212">
    <w:abstractNumId w:val="315"/>
  </w:num>
  <w:num w:numId="213">
    <w:abstractNumId w:val="47"/>
  </w:num>
  <w:num w:numId="214">
    <w:abstractNumId w:val="16"/>
  </w:num>
  <w:num w:numId="215">
    <w:abstractNumId w:val="303"/>
  </w:num>
  <w:num w:numId="216">
    <w:abstractNumId w:val="41"/>
  </w:num>
  <w:num w:numId="217">
    <w:abstractNumId w:val="207"/>
  </w:num>
  <w:num w:numId="218">
    <w:abstractNumId w:val="170"/>
  </w:num>
  <w:num w:numId="219">
    <w:abstractNumId w:val="40"/>
  </w:num>
  <w:num w:numId="220">
    <w:abstractNumId w:val="27"/>
  </w:num>
  <w:num w:numId="221">
    <w:abstractNumId w:val="122"/>
  </w:num>
  <w:num w:numId="222">
    <w:abstractNumId w:val="29"/>
  </w:num>
  <w:num w:numId="223">
    <w:abstractNumId w:val="68"/>
  </w:num>
  <w:num w:numId="224">
    <w:abstractNumId w:val="290"/>
  </w:num>
  <w:num w:numId="225">
    <w:abstractNumId w:val="113"/>
  </w:num>
  <w:num w:numId="226">
    <w:abstractNumId w:val="239"/>
  </w:num>
  <w:num w:numId="227">
    <w:abstractNumId w:val="154"/>
  </w:num>
  <w:num w:numId="228">
    <w:abstractNumId w:val="159"/>
  </w:num>
  <w:num w:numId="229">
    <w:abstractNumId w:val="265"/>
  </w:num>
  <w:num w:numId="230">
    <w:abstractNumId w:val="180"/>
  </w:num>
  <w:num w:numId="231">
    <w:abstractNumId w:val="51"/>
  </w:num>
  <w:num w:numId="232">
    <w:abstractNumId w:val="289"/>
  </w:num>
  <w:num w:numId="233">
    <w:abstractNumId w:val="120"/>
  </w:num>
  <w:num w:numId="234">
    <w:abstractNumId w:val="369"/>
  </w:num>
  <w:num w:numId="235">
    <w:abstractNumId w:val="142"/>
  </w:num>
  <w:num w:numId="236">
    <w:abstractNumId w:val="22"/>
  </w:num>
  <w:num w:numId="237">
    <w:abstractNumId w:val="262"/>
  </w:num>
  <w:num w:numId="238">
    <w:abstractNumId w:val="203"/>
  </w:num>
  <w:num w:numId="239">
    <w:abstractNumId w:val="257"/>
  </w:num>
  <w:num w:numId="240">
    <w:abstractNumId w:val="69"/>
  </w:num>
  <w:num w:numId="241">
    <w:abstractNumId w:val="324"/>
  </w:num>
  <w:num w:numId="242">
    <w:abstractNumId w:val="56"/>
  </w:num>
  <w:num w:numId="243">
    <w:abstractNumId w:val="187"/>
  </w:num>
  <w:num w:numId="244">
    <w:abstractNumId w:val="112"/>
  </w:num>
  <w:num w:numId="245">
    <w:abstractNumId w:val="199"/>
  </w:num>
  <w:num w:numId="246">
    <w:abstractNumId w:val="312"/>
  </w:num>
  <w:num w:numId="247">
    <w:abstractNumId w:val="230"/>
  </w:num>
  <w:num w:numId="248">
    <w:abstractNumId w:val="311"/>
  </w:num>
  <w:num w:numId="249">
    <w:abstractNumId w:val="10"/>
  </w:num>
  <w:num w:numId="250">
    <w:abstractNumId w:val="365"/>
  </w:num>
  <w:num w:numId="251">
    <w:abstractNumId w:val="144"/>
  </w:num>
  <w:num w:numId="252">
    <w:abstractNumId w:val="17"/>
  </w:num>
  <w:num w:numId="253">
    <w:abstractNumId w:val="145"/>
  </w:num>
  <w:num w:numId="254">
    <w:abstractNumId w:val="146"/>
  </w:num>
  <w:num w:numId="255">
    <w:abstractNumId w:val="134"/>
  </w:num>
  <w:num w:numId="256">
    <w:abstractNumId w:val="162"/>
  </w:num>
  <w:num w:numId="257">
    <w:abstractNumId w:val="353"/>
  </w:num>
  <w:num w:numId="258">
    <w:abstractNumId w:val="133"/>
  </w:num>
  <w:num w:numId="259">
    <w:abstractNumId w:val="193"/>
  </w:num>
  <w:num w:numId="260">
    <w:abstractNumId w:val="222"/>
  </w:num>
  <w:num w:numId="261">
    <w:abstractNumId w:val="71"/>
  </w:num>
  <w:num w:numId="262">
    <w:abstractNumId w:val="247"/>
  </w:num>
  <w:num w:numId="263">
    <w:abstractNumId w:val="204"/>
  </w:num>
  <w:num w:numId="264">
    <w:abstractNumId w:val="214"/>
  </w:num>
  <w:num w:numId="265">
    <w:abstractNumId w:val="349"/>
  </w:num>
  <w:num w:numId="266">
    <w:abstractNumId w:val="336"/>
  </w:num>
  <w:num w:numId="267">
    <w:abstractNumId w:val="205"/>
  </w:num>
  <w:num w:numId="268">
    <w:abstractNumId w:val="54"/>
  </w:num>
  <w:num w:numId="269">
    <w:abstractNumId w:val="364"/>
  </w:num>
  <w:num w:numId="270">
    <w:abstractNumId w:val="116"/>
  </w:num>
  <w:num w:numId="271">
    <w:abstractNumId w:val="36"/>
  </w:num>
  <w:num w:numId="272">
    <w:abstractNumId w:val="108"/>
  </w:num>
  <w:num w:numId="273">
    <w:abstractNumId w:val="85"/>
  </w:num>
  <w:num w:numId="274">
    <w:abstractNumId w:val="57"/>
  </w:num>
  <w:num w:numId="275">
    <w:abstractNumId w:val="73"/>
  </w:num>
  <w:num w:numId="276">
    <w:abstractNumId w:val="294"/>
  </w:num>
  <w:num w:numId="277">
    <w:abstractNumId w:val="281"/>
  </w:num>
  <w:num w:numId="278">
    <w:abstractNumId w:val="179"/>
  </w:num>
  <w:num w:numId="279">
    <w:abstractNumId w:val="48"/>
  </w:num>
  <w:num w:numId="280">
    <w:abstractNumId w:val="101"/>
  </w:num>
  <w:num w:numId="281">
    <w:abstractNumId w:val="52"/>
  </w:num>
  <w:num w:numId="282">
    <w:abstractNumId w:val="168"/>
  </w:num>
  <w:num w:numId="283">
    <w:abstractNumId w:val="358"/>
  </w:num>
  <w:num w:numId="284">
    <w:abstractNumId w:val="258"/>
  </w:num>
  <w:num w:numId="285">
    <w:abstractNumId w:val="90"/>
  </w:num>
  <w:num w:numId="286">
    <w:abstractNumId w:val="210"/>
  </w:num>
  <w:num w:numId="287">
    <w:abstractNumId w:val="14"/>
  </w:num>
  <w:num w:numId="288">
    <w:abstractNumId w:val="221"/>
  </w:num>
  <w:num w:numId="289">
    <w:abstractNumId w:val="32"/>
  </w:num>
  <w:num w:numId="290">
    <w:abstractNumId w:val="64"/>
  </w:num>
  <w:num w:numId="291">
    <w:abstractNumId w:val="63"/>
  </w:num>
  <w:num w:numId="292">
    <w:abstractNumId w:val="273"/>
  </w:num>
  <w:num w:numId="293">
    <w:abstractNumId w:val="372"/>
  </w:num>
  <w:num w:numId="294">
    <w:abstractNumId w:val="350"/>
  </w:num>
  <w:num w:numId="295">
    <w:abstractNumId w:val="330"/>
  </w:num>
  <w:num w:numId="296">
    <w:abstractNumId w:val="93"/>
  </w:num>
  <w:num w:numId="297">
    <w:abstractNumId w:val="61"/>
  </w:num>
  <w:num w:numId="298">
    <w:abstractNumId w:val="95"/>
  </w:num>
  <w:num w:numId="299">
    <w:abstractNumId w:val="321"/>
  </w:num>
  <w:num w:numId="300">
    <w:abstractNumId w:val="132"/>
  </w:num>
  <w:num w:numId="301">
    <w:abstractNumId w:val="147"/>
  </w:num>
  <w:num w:numId="302">
    <w:abstractNumId w:val="343"/>
  </w:num>
  <w:num w:numId="303">
    <w:abstractNumId w:val="254"/>
  </w:num>
  <w:num w:numId="304">
    <w:abstractNumId w:val="30"/>
  </w:num>
  <w:num w:numId="305">
    <w:abstractNumId w:val="26"/>
  </w:num>
  <w:num w:numId="306">
    <w:abstractNumId w:val="167"/>
  </w:num>
  <w:num w:numId="307">
    <w:abstractNumId w:val="127"/>
  </w:num>
  <w:num w:numId="308">
    <w:abstractNumId w:val="115"/>
  </w:num>
  <w:num w:numId="309">
    <w:abstractNumId w:val="334"/>
  </w:num>
  <w:num w:numId="310">
    <w:abstractNumId w:val="263"/>
  </w:num>
  <w:num w:numId="311">
    <w:abstractNumId w:val="332"/>
  </w:num>
  <w:num w:numId="312">
    <w:abstractNumId w:val="268"/>
  </w:num>
  <w:num w:numId="313">
    <w:abstractNumId w:val="110"/>
  </w:num>
  <w:num w:numId="314">
    <w:abstractNumId w:val="356"/>
  </w:num>
  <w:num w:numId="315">
    <w:abstractNumId w:val="362"/>
  </w:num>
  <w:num w:numId="316">
    <w:abstractNumId w:val="279"/>
  </w:num>
  <w:num w:numId="317">
    <w:abstractNumId w:val="169"/>
  </w:num>
  <w:num w:numId="318">
    <w:abstractNumId w:val="218"/>
  </w:num>
  <w:num w:numId="319">
    <w:abstractNumId w:val="103"/>
  </w:num>
  <w:num w:numId="320">
    <w:abstractNumId w:val="163"/>
  </w:num>
  <w:num w:numId="321">
    <w:abstractNumId w:val="13"/>
  </w:num>
  <w:num w:numId="322">
    <w:abstractNumId w:val="121"/>
  </w:num>
  <w:num w:numId="323">
    <w:abstractNumId w:val="91"/>
  </w:num>
  <w:num w:numId="324">
    <w:abstractNumId w:val="148"/>
  </w:num>
  <w:num w:numId="325">
    <w:abstractNumId w:val="339"/>
  </w:num>
  <w:num w:numId="326">
    <w:abstractNumId w:val="62"/>
  </w:num>
  <w:num w:numId="327">
    <w:abstractNumId w:val="109"/>
  </w:num>
  <w:num w:numId="328">
    <w:abstractNumId w:val="217"/>
  </w:num>
  <w:num w:numId="329">
    <w:abstractNumId w:val="314"/>
  </w:num>
  <w:num w:numId="330">
    <w:abstractNumId w:val="351"/>
  </w:num>
  <w:num w:numId="331">
    <w:abstractNumId w:val="296"/>
  </w:num>
  <w:num w:numId="332">
    <w:abstractNumId w:val="227"/>
  </w:num>
  <w:num w:numId="333">
    <w:abstractNumId w:val="248"/>
  </w:num>
  <w:num w:numId="334">
    <w:abstractNumId w:val="325"/>
  </w:num>
  <w:num w:numId="335">
    <w:abstractNumId w:val="128"/>
  </w:num>
  <w:num w:numId="336">
    <w:abstractNumId w:val="286"/>
  </w:num>
  <w:num w:numId="337">
    <w:abstractNumId w:val="277"/>
  </w:num>
  <w:num w:numId="338">
    <w:abstractNumId w:val="151"/>
  </w:num>
  <w:num w:numId="339">
    <w:abstractNumId w:val="209"/>
  </w:num>
  <w:num w:numId="340">
    <w:abstractNumId w:val="320"/>
  </w:num>
  <w:num w:numId="341">
    <w:abstractNumId w:val="156"/>
  </w:num>
  <w:num w:numId="342">
    <w:abstractNumId w:val="165"/>
  </w:num>
  <w:num w:numId="343">
    <w:abstractNumId w:val="192"/>
  </w:num>
  <w:num w:numId="344">
    <w:abstractNumId w:val="136"/>
  </w:num>
  <w:num w:numId="345">
    <w:abstractNumId w:val="292"/>
  </w:num>
  <w:num w:numId="346">
    <w:abstractNumId w:val="98"/>
  </w:num>
  <w:num w:numId="347">
    <w:abstractNumId w:val="58"/>
  </w:num>
  <w:num w:numId="348">
    <w:abstractNumId w:val="129"/>
  </w:num>
  <w:num w:numId="349">
    <w:abstractNumId w:val="328"/>
  </w:num>
  <w:num w:numId="350">
    <w:abstractNumId w:val="152"/>
  </w:num>
  <w:num w:numId="351">
    <w:abstractNumId w:val="357"/>
  </w:num>
  <w:num w:numId="352">
    <w:abstractNumId w:val="345"/>
  </w:num>
  <w:num w:numId="353">
    <w:abstractNumId w:val="1"/>
  </w:num>
  <w:num w:numId="354">
    <w:abstractNumId w:val="161"/>
  </w:num>
  <w:num w:numId="355">
    <w:abstractNumId w:val="114"/>
  </w:num>
  <w:num w:numId="356">
    <w:abstractNumId w:val="125"/>
  </w:num>
  <w:num w:numId="357">
    <w:abstractNumId w:val="11"/>
  </w:num>
  <w:num w:numId="358">
    <w:abstractNumId w:val="60"/>
  </w:num>
  <w:num w:numId="359">
    <w:abstractNumId w:val="323"/>
  </w:num>
  <w:num w:numId="360">
    <w:abstractNumId w:val="15"/>
  </w:num>
  <w:num w:numId="361">
    <w:abstractNumId w:val="309"/>
  </w:num>
  <w:num w:numId="362">
    <w:abstractNumId w:val="172"/>
  </w:num>
  <w:num w:numId="363">
    <w:abstractNumId w:val="155"/>
  </w:num>
  <w:num w:numId="364">
    <w:abstractNumId w:val="55"/>
  </w:num>
  <w:num w:numId="365">
    <w:abstractNumId w:val="347"/>
  </w:num>
  <w:num w:numId="366">
    <w:abstractNumId w:val="243"/>
  </w:num>
  <w:num w:numId="367">
    <w:abstractNumId w:val="70"/>
  </w:num>
  <w:num w:numId="368">
    <w:abstractNumId w:val="35"/>
  </w:num>
  <w:num w:numId="369">
    <w:abstractNumId w:val="130"/>
  </w:num>
  <w:num w:numId="370">
    <w:abstractNumId w:val="4"/>
  </w:num>
  <w:num w:numId="371">
    <w:abstractNumId w:val="105"/>
  </w:num>
  <w:num w:numId="372">
    <w:abstractNumId w:val="363"/>
  </w:num>
  <w:num w:numId="37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AB2DF1"/>
    <w:rsid w:val="38F07F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49</Pages>
  <Words>11055</Words>
  <Characters>13005</Characters>
  <TotalTime>3</TotalTime>
  <ScaleCrop>false</ScaleCrop>
  <LinksUpToDate>false</LinksUpToDate>
  <CharactersWithSpaces>13090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2026-09-12T01:01:00Z</dcterms:created>
  <dc:creator>Apache POI</dc:creator>
  <cp:lastModifiedBy>戚文凯</cp:lastModifiedBy>
  <dcterms:modified xsi:type="dcterms:W3CDTF">2026-09-12T01:07:39Z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{"Label":"1","ContentProducer":"001191110102MACQD9K64010000","ProduceID":"7684447621389323237","ReservedCode1":"","ContentPropagator":"","PropagateID":"","ReservedCode2":""}</vt:lpwstr>
  </property>
  <property fmtid="{D5CDD505-2E9C-101B-9397-08002B2CF9AE}" pid="3" name="KSOTemplateDocerSaveRecord">
    <vt:lpwstr>eyJoZGlkIjoiZDhlYjAzNWFhODBiOWI5N2MxYzQ1ZGZlYWM1MmYzZDIiLCJ1c2VySWQiOiI1MTA4NTQ4MjUifQ==</vt:lpwstr>
  </property>
  <property fmtid="{D5CDD505-2E9C-101B-9397-08002B2CF9AE}" pid="4" name="KSOProductBuildVer">
    <vt:lpwstr>2052-12.1.0.28505</vt:lpwstr>
  </property>
  <property fmtid="{D5CDD505-2E9C-101B-9397-08002B2CF9AE}" pid="5" name="ICV">
    <vt:lpwstr>7C6FBEC023F840488FD647B762E31EB5_12</vt:lpwstr>
  </property>
</Properties>
</file>