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9A3F4" w14:textId="77777777" w:rsidR="00A511D4" w:rsidRDefault="00A511D4" w:rsidP="00A511D4">
      <w:pPr>
        <w:pStyle w:val="NormalWeb"/>
      </w:pPr>
      <w:r>
        <w:rPr>
          <w:rFonts w:ascii="TimesNewRomanPS" w:hAnsi="TimesNewRomanPS"/>
          <w:b/>
          <w:bCs/>
        </w:rPr>
        <w:t xml:space="preserve">Figure 1. Evolution in number of countries/territories and social protection measures </w:t>
      </w:r>
    </w:p>
    <w:p w14:paraId="0443A64A" w14:textId="3D3AE570" w:rsidR="00A511D4" w:rsidRDefault="00A511D4" w:rsidP="00A511D4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There has been an exponential growth in social protection measures </w:t>
      </w:r>
      <w:proofErr w:type="gramStart"/>
      <w:r>
        <w:rPr>
          <w:rFonts w:ascii="TimesNewRomanPSMT" w:hAnsi="TimesNewRomanPSMT"/>
        </w:rPr>
        <w:t>The</w:t>
      </w:r>
      <w:proofErr w:type="gramEnd"/>
      <w:r>
        <w:rPr>
          <w:rFonts w:ascii="TimesNewRomanPSMT" w:hAnsi="TimesNewRomanPSMT"/>
        </w:rPr>
        <w:t xml:space="preserve"> updated database shows that between March, 2020 and </w:t>
      </w:r>
      <w:r>
        <w:rPr>
          <w:rFonts w:ascii="TimesNewRomanPSMT" w:hAnsi="TimesNewRomanPSMT"/>
        </w:rPr>
        <w:t>Dec</w:t>
      </w:r>
      <w:r>
        <w:rPr>
          <w:rFonts w:ascii="TimesNewRomanPSMT" w:hAnsi="TimesNewRomanPSMT"/>
        </w:rPr>
        <w:t xml:space="preserve">, 2021, a total of </w:t>
      </w:r>
      <w:commentRangeStart w:id="0"/>
      <w:r w:rsidRPr="00A511D4">
        <w:rPr>
          <w:rFonts w:ascii="TimesNewRomanPSMT" w:hAnsi="TimesNewRomanPSMT"/>
          <w:highlight w:val="yellow"/>
        </w:rPr>
        <w:t>958</w:t>
      </w:r>
      <w:r w:rsidRPr="00A511D4">
        <w:rPr>
          <w:rFonts w:ascii="TimesNewRomanPSMT" w:hAnsi="TimesNewRomanPSMT"/>
          <w:highlight w:val="yellow"/>
        </w:rPr>
        <w:t xml:space="preserve"> social protection measures have been planned or implemented in </w:t>
      </w:r>
      <w:r w:rsidRPr="00A511D4">
        <w:rPr>
          <w:rFonts w:ascii="TimesNewRomanPSMT" w:hAnsi="TimesNewRomanPSMT"/>
          <w:highlight w:val="yellow"/>
        </w:rPr>
        <w:t>197</w:t>
      </w:r>
      <w:commentRangeEnd w:id="0"/>
      <w:r w:rsidR="00A66DBE">
        <w:rPr>
          <w:rStyle w:val="CommentReference"/>
          <w:rFonts w:asciiTheme="minorHAnsi" w:eastAsiaTheme="minorHAnsi" w:hAnsiTheme="minorHAnsi" w:cstheme="minorBidi"/>
        </w:rPr>
        <w:commentReference w:id="0"/>
      </w:r>
      <w:r>
        <w:rPr>
          <w:rFonts w:ascii="TimesNewRomanPSMT" w:hAnsi="TimesNewRomanPSMT"/>
        </w:rPr>
        <w:t xml:space="preserve"> countries or territories</w:t>
      </w:r>
      <w:r>
        <w:rPr>
          <w:rFonts w:ascii="TimesNewRomanPSMT" w:hAnsi="TimesNewRomanPSMT"/>
        </w:rPr>
        <w:t xml:space="preserve">. </w:t>
      </w:r>
    </w:p>
    <w:p w14:paraId="0390B8A8" w14:textId="6208ABFE" w:rsidR="00A511D4" w:rsidRDefault="00A511D4" w:rsidP="00A511D4">
      <w:pPr>
        <w:pStyle w:val="NormalWeb"/>
      </w:pPr>
      <w:r>
        <w:rPr>
          <w:rFonts w:ascii="TimesNewRomanPS" w:hAnsi="TimesNewRomanPS"/>
          <w:b/>
          <w:bCs/>
        </w:rPr>
        <w:t xml:space="preserve">Figure 2. Composition of social protection responses by components in regions and country income groups </w:t>
      </w:r>
    </w:p>
    <w:p w14:paraId="6D250FF2" w14:textId="3A06E24A" w:rsidR="00A511D4" w:rsidRDefault="00A511D4" w:rsidP="00A511D4">
      <w:pPr>
        <w:pStyle w:val="NormalWeb"/>
        <w:rPr>
          <w:rFonts w:ascii="TimesNewRomanPSMT" w:hAnsi="TimesNewRomanPSMT"/>
        </w:rPr>
      </w:pPr>
      <w:commentRangeStart w:id="1"/>
      <w:r w:rsidRPr="00A511D4">
        <w:rPr>
          <w:rFonts w:ascii="TimesNewRomanPS" w:hAnsi="TimesNewRomanPS"/>
        </w:rPr>
        <w:t>Most of social protection measures are provided as social assistance.</w:t>
      </w:r>
      <w:r>
        <w:rPr>
          <w:rFonts w:ascii="TimesNewRomanPS" w:hAnsi="TimesNewRomanPS"/>
          <w:b/>
          <w:bCs/>
        </w:rPr>
        <w:t xml:space="preserve"> </w:t>
      </w:r>
      <w:r>
        <w:rPr>
          <w:rFonts w:ascii="TimesNewRomanPSMT" w:hAnsi="TimesNewRomanPSMT"/>
        </w:rPr>
        <w:t>These represent 55% of global programs and are the predominant form of support in all regions expect Eastern Europe and Central Asia (ECA), as well as high income countries</w:t>
      </w:r>
      <w:r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 xml:space="preserve">In regions like South Asia and in </w:t>
      </w:r>
      <w:proofErr w:type="gramStart"/>
      <w:r>
        <w:rPr>
          <w:rFonts w:ascii="TimesNewRomanPSMT" w:hAnsi="TimesNewRomanPSMT"/>
        </w:rPr>
        <w:t>low income</w:t>
      </w:r>
      <w:proofErr w:type="gramEnd"/>
      <w:r>
        <w:rPr>
          <w:rFonts w:ascii="TimesNewRomanPSMT" w:hAnsi="TimesNewRomanPSMT"/>
        </w:rPr>
        <w:t xml:space="preserve"> countries, social assistance accounts for over 70% of social protection responses. Social insurance and active labor market programs range between 11% and nearly 30 % of the global portfolio. </w:t>
      </w:r>
      <w:commentRangeEnd w:id="1"/>
      <w:r w:rsidR="00A66DBE">
        <w:rPr>
          <w:rStyle w:val="CommentReference"/>
          <w:rFonts w:asciiTheme="minorHAnsi" w:eastAsiaTheme="minorHAnsi" w:hAnsiTheme="minorHAnsi" w:cstheme="minorBidi"/>
        </w:rPr>
        <w:commentReference w:id="1"/>
      </w:r>
    </w:p>
    <w:p w14:paraId="352416F0" w14:textId="00304CD4" w:rsidR="00A511D4" w:rsidRDefault="00A511D4" w:rsidP="00A511D4">
      <w:pPr>
        <w:pStyle w:val="NormalWeb"/>
      </w:pPr>
      <w:r>
        <w:rPr>
          <w:rFonts w:ascii="TimesNewRomanPS" w:hAnsi="TimesNewRomanPS"/>
          <w:b/>
          <w:bCs/>
        </w:rPr>
        <w:t xml:space="preserve">Table 1. Social assistance measures </w:t>
      </w:r>
    </w:p>
    <w:p w14:paraId="70AD9B5B" w14:textId="6B32B8AE" w:rsidR="00A511D4" w:rsidRDefault="00A511D4" w:rsidP="00A511D4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>Among social assistance measures, cash transfers remain the premier instrument</w:t>
      </w:r>
      <w:r>
        <w:rPr>
          <w:rFonts w:ascii="TimesNewRomanPSMT" w:hAnsi="TimesNewRomanPSMT"/>
        </w:rPr>
        <w:t xml:space="preserve">. A total of </w:t>
      </w:r>
      <w:r>
        <w:rPr>
          <w:rFonts w:ascii="TimesNewRomanPSMT" w:hAnsi="TimesNewRomanPSMT"/>
        </w:rPr>
        <w:t xml:space="preserve">975 </w:t>
      </w:r>
      <w:r>
        <w:rPr>
          <w:rFonts w:ascii="TimesNewRomanPSMT" w:hAnsi="TimesNewRomanPSMT"/>
        </w:rPr>
        <w:t>cash-based measures</w:t>
      </w:r>
      <w:r>
        <w:rPr>
          <w:rFonts w:ascii="TimesNewRomanPSMT" w:hAnsi="TimesNewRomanPSMT"/>
        </w:rPr>
        <w:t xml:space="preserve"> (conditional and unconditional)</w:t>
      </w:r>
      <w:r>
        <w:rPr>
          <w:rFonts w:ascii="TimesNewRomanPSMT" w:hAnsi="TimesNewRomanPSMT"/>
        </w:rPr>
        <w:t xml:space="preserve"> have been planned or implemented in </w:t>
      </w:r>
      <w:r>
        <w:rPr>
          <w:rFonts w:ascii="TimesNewRomanPSMT" w:hAnsi="TimesNewRomanPSMT"/>
        </w:rPr>
        <w:t>202</w:t>
      </w:r>
      <w:r>
        <w:rPr>
          <w:rFonts w:ascii="TimesNewRomanPSMT" w:hAnsi="TimesNewRomanPSMT"/>
        </w:rPr>
        <w:t xml:space="preserve"> countries. </w:t>
      </w:r>
      <w:r>
        <w:rPr>
          <w:rFonts w:ascii="TimesNewRomanPSMT" w:hAnsi="TimesNewRomanPSMT"/>
        </w:rPr>
        <w:t>In addition to this, 61 non-contributory</w:t>
      </w:r>
      <w:r>
        <w:rPr>
          <w:rFonts w:ascii="TimesNewRomanPSMT" w:hAnsi="TimesNewRomanPSMT"/>
        </w:rPr>
        <w:t xml:space="preserve"> social pension programs</w:t>
      </w:r>
      <w:r>
        <w:rPr>
          <w:rFonts w:ascii="TimesNewRomanPSMT" w:hAnsi="TimesNewRomanPSMT"/>
        </w:rPr>
        <w:t xml:space="preserve"> were introduced </w:t>
      </w:r>
      <w:r>
        <w:rPr>
          <w:rFonts w:ascii="TimesNewRomanPSMT" w:hAnsi="TimesNewRomanPSMT"/>
        </w:rPr>
        <w:t xml:space="preserve">in </w:t>
      </w:r>
      <w:r>
        <w:rPr>
          <w:rFonts w:ascii="TimesNewRomanPSMT" w:hAnsi="TimesNewRomanPSMT"/>
        </w:rPr>
        <w:t>4</w:t>
      </w:r>
      <w:r>
        <w:rPr>
          <w:rFonts w:ascii="TimesNewRomanPSMT" w:hAnsi="TimesNewRomanPSMT"/>
        </w:rPr>
        <w:t>8 countries</w:t>
      </w:r>
      <w:r>
        <w:rPr>
          <w:rFonts w:ascii="TimesNewRomanPSMT" w:hAnsi="TimesNewRomanPSMT"/>
        </w:rPr>
        <w:t>, accounting for a total of 1036</w:t>
      </w:r>
      <w:r>
        <w:rPr>
          <w:rFonts w:ascii="TimesNewRomanPSMT" w:hAnsi="TimesNewRomanPSMT"/>
        </w:rPr>
        <w:t xml:space="preserve"> cash transfer programs globally</w:t>
      </w:r>
      <w:r>
        <w:rPr>
          <w:rFonts w:ascii="TimesNewRomanPSMT" w:hAnsi="TimesNewRomanPSMT"/>
        </w:rPr>
        <w:t>, equivalent to</w:t>
      </w:r>
      <w:r>
        <w:rPr>
          <w:rFonts w:ascii="TimesNewRomanPSMT" w:hAnsi="TimesNewRomanPSMT"/>
        </w:rPr>
        <w:t xml:space="preserve"> for </w:t>
      </w:r>
      <w:r>
        <w:rPr>
          <w:rFonts w:ascii="TimesNewRomanPSMT" w:hAnsi="TimesNewRomanPSMT"/>
        </w:rPr>
        <w:t>44.5</w:t>
      </w:r>
      <w:r>
        <w:rPr>
          <w:rFonts w:ascii="TimesNewRomanPSMT" w:hAnsi="TimesNewRomanPSMT"/>
        </w:rPr>
        <w:t>% of total social assistance and 2</w:t>
      </w:r>
      <w:r>
        <w:rPr>
          <w:rFonts w:ascii="TimesNewRomanPSMT" w:hAnsi="TimesNewRomanPSMT"/>
        </w:rPr>
        <w:t>7</w:t>
      </w:r>
      <w:r>
        <w:rPr>
          <w:rFonts w:ascii="TimesNewRomanPSMT" w:hAnsi="TimesNewRomanPSMT"/>
        </w:rPr>
        <w:t xml:space="preserve">% of global social protection responses (table 1). In-kind vouchers and school feeding are also widespread, including a total of </w:t>
      </w:r>
      <w:r>
        <w:rPr>
          <w:rFonts w:ascii="TimesNewRomanPSMT" w:hAnsi="TimesNewRomanPSMT"/>
        </w:rPr>
        <w:t>459</w:t>
      </w:r>
      <w:r>
        <w:rPr>
          <w:rFonts w:ascii="TimesNewRomanPSMT" w:hAnsi="TimesNewRomanPSMT"/>
        </w:rPr>
        <w:t xml:space="preserve"> measures. Furthermore, </w:t>
      </w:r>
      <w:r>
        <w:rPr>
          <w:rFonts w:ascii="TimesNewRomanPSMT" w:hAnsi="TimesNewRomanPSMT"/>
        </w:rPr>
        <w:t>69</w:t>
      </w:r>
      <w:r>
        <w:rPr>
          <w:rFonts w:ascii="TimesNewRomanPSMT" w:hAnsi="TimesNewRomanPSMT"/>
        </w:rPr>
        <w:t xml:space="preserve"> public works programs are present in </w:t>
      </w:r>
      <w:r>
        <w:rPr>
          <w:rFonts w:ascii="TimesNewRomanPSMT" w:hAnsi="TimesNewRomanPSMT"/>
        </w:rPr>
        <w:t>46</w:t>
      </w:r>
      <w:r>
        <w:rPr>
          <w:rFonts w:ascii="TimesNewRomanPSMT" w:hAnsi="TimesNewRomanPSMT"/>
        </w:rPr>
        <w:t xml:space="preserve"> countries, while waiving or postponing payments for utilities and other financial obligations are adopted in an astounding 7</w:t>
      </w:r>
      <w:r>
        <w:rPr>
          <w:rFonts w:ascii="TimesNewRomanPSMT" w:hAnsi="TimesNewRomanPSMT"/>
        </w:rPr>
        <w:t>63</w:t>
      </w:r>
      <w:r>
        <w:rPr>
          <w:rFonts w:ascii="TimesNewRomanPSMT" w:hAnsi="TimesNewRomanPSMT"/>
        </w:rPr>
        <w:t xml:space="preserve"> cases across 18</w:t>
      </w:r>
      <w:r>
        <w:rPr>
          <w:rFonts w:ascii="TimesNewRomanPSMT" w:hAnsi="TimesNewRomanPSMT"/>
        </w:rPr>
        <w:t>7</w:t>
      </w:r>
      <w:r>
        <w:rPr>
          <w:rFonts w:ascii="TimesNewRomanPSMT" w:hAnsi="TimesNewRomanPSMT"/>
        </w:rPr>
        <w:t xml:space="preserve"> countries. </w:t>
      </w:r>
    </w:p>
    <w:p w14:paraId="08443E64" w14:textId="5FBC3A84" w:rsidR="00A511D4" w:rsidRDefault="00A511D4" w:rsidP="00A511D4">
      <w:pPr>
        <w:pStyle w:val="NormalWeb"/>
      </w:pPr>
      <w:r>
        <w:rPr>
          <w:rFonts w:ascii="TimesNewRomanPS" w:hAnsi="TimesNewRomanPS"/>
          <w:b/>
          <w:bCs/>
        </w:rPr>
        <w:t xml:space="preserve">Table </w:t>
      </w:r>
      <w:r>
        <w:rPr>
          <w:rFonts w:ascii="TimesNewRomanPS" w:hAnsi="TimesNewRomanPS"/>
          <w:b/>
          <w:bCs/>
        </w:rPr>
        <w:t>2</w:t>
      </w:r>
      <w:r>
        <w:rPr>
          <w:rFonts w:ascii="TimesNewRomanPS" w:hAnsi="TimesNewRomanPS"/>
          <w:b/>
          <w:bCs/>
        </w:rPr>
        <w:t xml:space="preserve">. Social </w:t>
      </w:r>
      <w:r>
        <w:rPr>
          <w:rFonts w:ascii="TimesNewRomanPS" w:hAnsi="TimesNewRomanPS"/>
          <w:b/>
          <w:bCs/>
        </w:rPr>
        <w:t>insurance</w:t>
      </w:r>
      <w:r>
        <w:rPr>
          <w:rFonts w:ascii="TimesNewRomanPS" w:hAnsi="TimesNewRomanPS"/>
          <w:b/>
          <w:bCs/>
        </w:rPr>
        <w:t xml:space="preserve"> measures </w:t>
      </w:r>
    </w:p>
    <w:p w14:paraId="47645539" w14:textId="06346673" w:rsidR="00A511D4" w:rsidRDefault="00A511D4" w:rsidP="00A511D4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>Moving to social insurance, our database includes an additional 384 measures since December</w:t>
      </w:r>
      <w:r>
        <w:rPr>
          <w:rFonts w:ascii="TimesNewRomanPSMT" w:hAnsi="TimesNewRomanPSMT"/>
        </w:rPr>
        <w:t>. The most widely adopted are waived or subsidized social security contributions (2</w:t>
      </w:r>
      <w:r>
        <w:rPr>
          <w:rFonts w:ascii="TimesNewRomanPSMT" w:hAnsi="TimesNewRomanPSMT"/>
        </w:rPr>
        <w:t>61</w:t>
      </w:r>
      <w:r>
        <w:rPr>
          <w:rFonts w:ascii="TimesNewRomanPSMT" w:hAnsi="TimesNewRomanPSMT"/>
        </w:rPr>
        <w:t xml:space="preserve"> programs), followed by </w:t>
      </w:r>
      <w:r>
        <w:rPr>
          <w:rFonts w:ascii="TimesNewRomanPSMT" w:hAnsi="TimesNewRomanPSMT"/>
        </w:rPr>
        <w:t>paid leaves</w:t>
      </w:r>
      <w:r>
        <w:rPr>
          <w:rFonts w:ascii="TimesNewRomanPSMT" w:hAnsi="TimesNewRomanPSMT"/>
        </w:rPr>
        <w:t xml:space="preserve"> (1</w:t>
      </w:r>
      <w:r>
        <w:rPr>
          <w:rFonts w:ascii="TimesNewRomanPSMT" w:hAnsi="TimesNewRomanPSMT"/>
        </w:rPr>
        <w:t>49</w:t>
      </w:r>
      <w:r>
        <w:rPr>
          <w:rFonts w:ascii="TimesNewRomanPSMT" w:hAnsi="TimesNewRomanPSMT"/>
        </w:rPr>
        <w:t xml:space="preserve">) </w:t>
      </w:r>
      <w:r>
        <w:rPr>
          <w:rFonts w:ascii="TimesNewRomanPSMT" w:hAnsi="TimesNewRomanPSMT"/>
        </w:rPr>
        <w:t xml:space="preserve">up by 11 percent from last version of the paper, </w:t>
      </w:r>
      <w:r>
        <w:rPr>
          <w:rFonts w:ascii="TimesNewRomanPSMT" w:hAnsi="TimesNewRomanPSMT"/>
        </w:rPr>
        <w:t xml:space="preserve">and </w:t>
      </w:r>
      <w:r>
        <w:rPr>
          <w:rFonts w:ascii="TimesNewRomanPSMT" w:hAnsi="TimesNewRomanPSMT"/>
        </w:rPr>
        <w:t>Unemployment</w:t>
      </w:r>
      <w:r>
        <w:rPr>
          <w:rFonts w:ascii="TimesNewRomanPSMT" w:hAnsi="TimesNewRomanPSMT"/>
        </w:rPr>
        <w:t xml:space="preserve"> (1</w:t>
      </w:r>
      <w:r>
        <w:rPr>
          <w:rFonts w:ascii="TimesNewRomanPSMT" w:hAnsi="TimesNewRomanPSMT"/>
        </w:rPr>
        <w:t>45</w:t>
      </w:r>
      <w:r>
        <w:rPr>
          <w:rFonts w:ascii="TimesNewRomanPSMT" w:hAnsi="TimesNewRomanPSMT"/>
        </w:rPr>
        <w:t xml:space="preserve">). Pensions-related measures are present in </w:t>
      </w:r>
      <w:r>
        <w:rPr>
          <w:rFonts w:ascii="TimesNewRomanPSMT" w:hAnsi="TimesNewRomanPSMT"/>
        </w:rPr>
        <w:t>97</w:t>
      </w:r>
      <w:r>
        <w:rPr>
          <w:rFonts w:ascii="TimesNewRomanPSMT" w:hAnsi="TimesNewRomanPSMT"/>
        </w:rPr>
        <w:t xml:space="preserve"> cases, with some countries, like Ecuador, allowing for advance withdrawals of pensions. </w:t>
      </w:r>
    </w:p>
    <w:p w14:paraId="234B0E57" w14:textId="6455E706" w:rsidR="00A511D4" w:rsidRDefault="00A511D4" w:rsidP="00A511D4">
      <w:pPr>
        <w:pStyle w:val="NormalWeb"/>
      </w:pPr>
      <w:r>
        <w:rPr>
          <w:rFonts w:ascii="TimesNewRomanPS" w:hAnsi="TimesNewRomanPS"/>
          <w:b/>
          <w:bCs/>
        </w:rPr>
        <w:t xml:space="preserve">Table </w:t>
      </w:r>
      <w:r>
        <w:rPr>
          <w:rFonts w:ascii="TimesNewRomanPS" w:hAnsi="TimesNewRomanPS"/>
          <w:b/>
          <w:bCs/>
        </w:rPr>
        <w:t>3</w:t>
      </w:r>
      <w:r>
        <w:rPr>
          <w:rFonts w:ascii="TimesNewRomanPS" w:hAnsi="TimesNewRomanPS"/>
          <w:b/>
          <w:bCs/>
        </w:rPr>
        <w:t xml:space="preserve">. </w:t>
      </w:r>
      <w:r>
        <w:rPr>
          <w:rFonts w:ascii="TimesNewRomanPS" w:hAnsi="TimesNewRomanPS"/>
          <w:b/>
          <w:bCs/>
        </w:rPr>
        <w:t>Labor Market</w:t>
      </w:r>
      <w:r>
        <w:rPr>
          <w:rFonts w:ascii="TimesNewRomanPS" w:hAnsi="TimesNewRomanPS"/>
          <w:b/>
          <w:bCs/>
        </w:rPr>
        <w:t xml:space="preserve"> measures </w:t>
      </w:r>
    </w:p>
    <w:p w14:paraId="2FCEA444" w14:textId="7705C21B" w:rsidR="00A511D4" w:rsidRDefault="00A511D4" w:rsidP="00A511D4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>Active labor market programs and labor regulations have increased by a resounding 608 measures since the latest update</w:t>
      </w:r>
      <w:r>
        <w:rPr>
          <w:rFonts w:ascii="TimesNewRomanPSMT" w:hAnsi="TimesNewRomanPSMT"/>
        </w:rPr>
        <w:t xml:space="preserve">. Currently, those programs are present </w:t>
      </w:r>
      <w:r>
        <w:rPr>
          <w:rFonts w:ascii="TimesNewRomanPSMT" w:hAnsi="TimesNewRomanPSMT"/>
        </w:rPr>
        <w:t>788</w:t>
      </w:r>
      <w:r>
        <w:rPr>
          <w:rFonts w:ascii="TimesNewRomanPSMT" w:hAnsi="TimesNewRomanPSMT"/>
        </w:rPr>
        <w:t xml:space="preserve"> schemes in 1</w:t>
      </w:r>
      <w:r>
        <w:rPr>
          <w:rFonts w:ascii="TimesNewRomanPSMT" w:hAnsi="TimesNewRomanPSMT"/>
        </w:rPr>
        <w:t xml:space="preserve">87 </w:t>
      </w:r>
      <w:r>
        <w:rPr>
          <w:rFonts w:ascii="TimesNewRomanPSMT" w:hAnsi="TimesNewRomanPSMT"/>
        </w:rPr>
        <w:t>countries (table 3). Wage subsidies are featuring in 2</w:t>
      </w:r>
      <w:r>
        <w:rPr>
          <w:rFonts w:ascii="TimesNewRomanPSMT" w:hAnsi="TimesNewRomanPSMT"/>
        </w:rPr>
        <w:t>33</w:t>
      </w:r>
      <w:r>
        <w:rPr>
          <w:rFonts w:ascii="TimesNewRomanPSMT" w:hAnsi="TimesNewRomanPSMT"/>
        </w:rPr>
        <w:t xml:space="preserve"> cases (</w:t>
      </w:r>
      <w:r>
        <w:rPr>
          <w:rFonts w:ascii="TimesNewRomanPSMT" w:hAnsi="TimesNewRomanPSMT"/>
        </w:rPr>
        <w:t>down</w:t>
      </w:r>
      <w:r>
        <w:rPr>
          <w:rFonts w:ascii="TimesNewRomanPSMT" w:hAnsi="TimesNewRomanPSMT"/>
        </w:rPr>
        <w:t xml:space="preserve"> from </w:t>
      </w:r>
      <w:r>
        <w:rPr>
          <w:rFonts w:ascii="TimesNewRomanPSMT" w:hAnsi="TimesNewRomanPSMT"/>
        </w:rPr>
        <w:t>244</w:t>
      </w:r>
      <w:r>
        <w:rPr>
          <w:rFonts w:ascii="TimesNewRomanPSMT" w:hAnsi="TimesNewRomanPSMT"/>
        </w:rPr>
        <w:t>) across 1</w:t>
      </w:r>
      <w:r>
        <w:rPr>
          <w:rFonts w:ascii="TimesNewRomanPSMT" w:hAnsi="TimesNewRomanPSMT"/>
        </w:rPr>
        <w:t>17</w:t>
      </w:r>
      <w:r>
        <w:rPr>
          <w:rFonts w:ascii="TimesNewRomanPSMT" w:hAnsi="TimesNewRomanPSMT"/>
        </w:rPr>
        <w:t xml:space="preserve"> countries; but the most prevalent measures have been labor regulation adjustments, the count of which rose from </w:t>
      </w:r>
      <w:r>
        <w:rPr>
          <w:rFonts w:ascii="TimesNewRomanPSMT" w:hAnsi="TimesNewRomanPSMT"/>
        </w:rPr>
        <w:t>313</w:t>
      </w:r>
      <w:r>
        <w:rPr>
          <w:rFonts w:ascii="TimesNewRomanPSMT" w:hAnsi="TimesNewRomanPSMT"/>
        </w:rPr>
        <w:t xml:space="preserve"> to </w:t>
      </w:r>
      <w:r>
        <w:rPr>
          <w:rFonts w:ascii="TimesNewRomanPSMT" w:hAnsi="TimesNewRomanPSMT"/>
        </w:rPr>
        <w:t>415</w:t>
      </w:r>
      <w:r>
        <w:rPr>
          <w:rFonts w:ascii="TimesNewRomanPSMT" w:hAnsi="TimesNewRomanPSMT"/>
        </w:rPr>
        <w:t xml:space="preserve"> cases</w:t>
      </w:r>
      <w:r>
        <w:rPr>
          <w:rFonts w:ascii="TimesNewRomanPSMT" w:hAnsi="TimesNewRomanPSMT"/>
        </w:rPr>
        <w:t xml:space="preserve"> across 134 countries</w:t>
      </w:r>
      <w:r>
        <w:rPr>
          <w:rFonts w:ascii="TimesNewRomanPSMT" w:hAnsi="TimesNewRomanPSMT"/>
        </w:rPr>
        <w:t xml:space="preserve">. </w:t>
      </w:r>
    </w:p>
    <w:p w14:paraId="32F47E85" w14:textId="77777777" w:rsidR="00A511D4" w:rsidRDefault="00A511D4" w:rsidP="00A511D4">
      <w:pPr>
        <w:pStyle w:val="NormalWeb"/>
        <w:rPr>
          <w:rFonts w:ascii="TimesNewRomanPSMT" w:hAnsi="TimesNewRomanPSMT"/>
        </w:rPr>
      </w:pPr>
    </w:p>
    <w:p w14:paraId="36A5C7C6" w14:textId="25D85370" w:rsidR="00A511D4" w:rsidRPr="00A511D4" w:rsidRDefault="00A511D4" w:rsidP="00A511D4">
      <w:pPr>
        <w:pStyle w:val="NormalWeb"/>
      </w:pPr>
      <w:r>
        <w:rPr>
          <w:rFonts w:ascii="TimesNewRomanPS" w:hAnsi="TimesNewRomanPS"/>
          <w:b/>
          <w:bCs/>
        </w:rPr>
        <w:lastRenderedPageBreak/>
        <w:t xml:space="preserve">Table 4. State in social assistance implementation </w:t>
      </w:r>
    </w:p>
    <w:p w14:paraId="50559BF5" w14:textId="34D1A6E5" w:rsidR="00A511D4" w:rsidRDefault="00A511D4" w:rsidP="00A511D4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Zooming back into social assistance, most programs for which there is data are ongoing. </w:t>
      </w:r>
      <w:r w:rsidR="00961238">
        <w:rPr>
          <w:rFonts w:ascii="TimesNewRomanPSMT" w:hAnsi="TimesNewRomanPSMT"/>
        </w:rPr>
        <w:t>D</w:t>
      </w:r>
      <w:r>
        <w:rPr>
          <w:rFonts w:ascii="TimesNewRomanPSMT" w:hAnsi="TimesNewRomanPSMT"/>
        </w:rPr>
        <w:t>ata on whether programs are planned, ongoing or ended is available for 984 schemes. Most of these are</w:t>
      </w:r>
      <w:r w:rsidR="00961238">
        <w:rPr>
          <w:rFonts w:ascii="TimesNewRomanPSMT" w:hAnsi="TimesNewRomanPSMT"/>
        </w:rPr>
        <w:t xml:space="preserve"> concluded</w:t>
      </w:r>
      <w:r>
        <w:rPr>
          <w:rFonts w:ascii="TimesNewRomanPSMT" w:hAnsi="TimesNewRomanPSMT"/>
        </w:rPr>
        <w:t xml:space="preserve"> (5</w:t>
      </w:r>
      <w:r w:rsidR="00961238">
        <w:rPr>
          <w:rFonts w:ascii="TimesNewRomanPSMT" w:hAnsi="TimesNewRomanPSMT"/>
        </w:rPr>
        <w:t xml:space="preserve">94 </w:t>
      </w:r>
      <w:r>
        <w:rPr>
          <w:rFonts w:ascii="TimesNewRomanPSMT" w:hAnsi="TimesNewRomanPSMT"/>
        </w:rPr>
        <w:t xml:space="preserve">programs), while </w:t>
      </w:r>
      <w:r w:rsidR="00961238">
        <w:rPr>
          <w:rFonts w:ascii="TimesNewRomanPSMT" w:hAnsi="TimesNewRomanPSMT"/>
        </w:rPr>
        <w:t>a total of 575 or 44</w:t>
      </w:r>
      <w:r>
        <w:rPr>
          <w:rFonts w:ascii="TimesNewRomanPSMT" w:hAnsi="TimesNewRomanPSMT"/>
        </w:rPr>
        <w:t xml:space="preserve">% are concluded. Only about </w:t>
      </w:r>
      <w:r w:rsidR="00961238">
        <w:rPr>
          <w:rFonts w:ascii="TimesNewRomanPSMT" w:hAnsi="TimesNewRomanPSMT"/>
        </w:rPr>
        <w:t>118 programs or 9</w:t>
      </w:r>
      <w:r>
        <w:rPr>
          <w:rFonts w:ascii="TimesNewRomanPSMT" w:hAnsi="TimesNewRomanPSMT"/>
        </w:rPr>
        <w:t xml:space="preserve">% are being planned or announced and not yet started (table 4). </w:t>
      </w:r>
    </w:p>
    <w:p w14:paraId="69FC6DCA" w14:textId="57F40746" w:rsidR="00961238" w:rsidRDefault="00961238" w:rsidP="00A511D4">
      <w:pPr>
        <w:pStyle w:val="NormalWeb"/>
      </w:pPr>
      <w:r>
        <w:rPr>
          <w:rFonts w:ascii="TimesNewRomanPS" w:hAnsi="TimesNewRomanPS"/>
          <w:b/>
          <w:bCs/>
        </w:rPr>
        <w:t xml:space="preserve">Figure 3. Generosity of cash transfer size relative to pre-Covid level </w:t>
      </w:r>
    </w:p>
    <w:p w14:paraId="06B76F9E" w14:textId="086637CB" w:rsidR="00A511D4" w:rsidRDefault="00A511D4" w:rsidP="00A511D4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Among the highest country-level rates are low</w:t>
      </w:r>
      <w:r w:rsidR="00961238">
        <w:rPr>
          <w:rFonts w:ascii="TimesNewRomanPSMT" w:hAnsi="TimesNewRomanPSMT"/>
        </w:rPr>
        <w:t>-</w:t>
      </w:r>
      <w:r>
        <w:rPr>
          <w:rFonts w:ascii="TimesNewRomanPSMT" w:hAnsi="TimesNewRomanPSMT"/>
        </w:rPr>
        <w:t xml:space="preserve">income countries like </w:t>
      </w:r>
      <w:r w:rsidR="00961238">
        <w:rPr>
          <w:rFonts w:ascii="TimesNewRomanPSMT" w:hAnsi="TimesNewRomanPSMT"/>
        </w:rPr>
        <w:t>Mongolia’s child money program</w:t>
      </w:r>
      <w:r>
        <w:rPr>
          <w:rFonts w:ascii="TimesNewRomanPSMT" w:hAnsi="TimesNewRomanPSMT"/>
        </w:rPr>
        <w:t xml:space="preserve"> (</w:t>
      </w:r>
      <w:r w:rsidR="00961238">
        <w:rPr>
          <w:rFonts w:ascii="TimesNewRomanPSMT" w:hAnsi="TimesNewRomanPSMT"/>
        </w:rPr>
        <w:t>400</w:t>
      </w:r>
      <w:r>
        <w:rPr>
          <w:rFonts w:ascii="TimesNewRomanPSMT" w:hAnsi="TimesNewRomanPSMT"/>
        </w:rPr>
        <w:t xml:space="preserve">%), </w:t>
      </w:r>
      <w:r w:rsidR="00961238">
        <w:rPr>
          <w:rFonts w:ascii="TimesNewRomanPSMT" w:hAnsi="TimesNewRomanPSMT"/>
        </w:rPr>
        <w:t xml:space="preserve">Uganda’s emergency cash transfer program </w:t>
      </w:r>
      <w:r>
        <w:rPr>
          <w:rFonts w:ascii="TimesNewRomanPSMT" w:hAnsi="TimesNewRomanPSMT"/>
        </w:rPr>
        <w:t>(</w:t>
      </w:r>
      <w:r w:rsidR="00961238">
        <w:rPr>
          <w:rFonts w:ascii="TimesNewRomanPSMT" w:hAnsi="TimesNewRomanPSMT"/>
        </w:rPr>
        <w:t>240</w:t>
      </w:r>
      <w:r>
        <w:rPr>
          <w:rFonts w:ascii="TimesNewRomanPSMT" w:hAnsi="TimesNewRomanPSMT"/>
        </w:rPr>
        <w:t xml:space="preserve">%), </w:t>
      </w:r>
      <w:r w:rsidR="00961238">
        <w:rPr>
          <w:rFonts w:ascii="TimesNewRomanPSMT" w:hAnsi="TimesNewRomanPSMT"/>
        </w:rPr>
        <w:t>Trinidad and Tobago’s public assistance grant</w:t>
      </w:r>
      <w:r>
        <w:rPr>
          <w:rFonts w:ascii="TimesNewRomanPSMT" w:hAnsi="TimesNewRomanPSMT"/>
        </w:rPr>
        <w:t xml:space="preserve"> (</w:t>
      </w:r>
      <w:r w:rsidR="00961238">
        <w:rPr>
          <w:rFonts w:ascii="TimesNewRomanPSMT" w:hAnsi="TimesNewRomanPSMT"/>
        </w:rPr>
        <w:t>200</w:t>
      </w:r>
      <w:r>
        <w:rPr>
          <w:rFonts w:ascii="TimesNewRomanPSMT" w:hAnsi="TimesNewRomanPSMT"/>
        </w:rPr>
        <w:t>%). For 2</w:t>
      </w:r>
      <w:r w:rsidR="00961238">
        <w:rPr>
          <w:rFonts w:ascii="TimesNewRomanPSMT" w:hAnsi="TimesNewRomanPSMT"/>
        </w:rPr>
        <w:t>0</w:t>
      </w:r>
      <w:r>
        <w:rPr>
          <w:rFonts w:ascii="TimesNewRomanPSMT" w:hAnsi="TimesNewRomanPSMT"/>
        </w:rPr>
        <w:t xml:space="preserve"> programs with comparable pre- and post- Covid data on generosity, the analysis shows that the size transfers were increased by an average of </w:t>
      </w:r>
      <w:r w:rsidR="00961238">
        <w:rPr>
          <w:rFonts w:ascii="TimesNewRomanPSMT" w:hAnsi="TimesNewRomanPSMT"/>
        </w:rPr>
        <w:t>120</w:t>
      </w:r>
      <w:r>
        <w:rPr>
          <w:rFonts w:ascii="TimesNewRomanPSMT" w:hAnsi="TimesNewRomanPSMT"/>
        </w:rPr>
        <w:t xml:space="preserve">% during the pandemic (figure 3). </w:t>
      </w:r>
    </w:p>
    <w:p w14:paraId="5477149A" w14:textId="774D411E" w:rsidR="00961238" w:rsidRDefault="00961238" w:rsidP="00A511D4">
      <w:pPr>
        <w:pStyle w:val="NormalWeb"/>
      </w:pPr>
      <w:r>
        <w:rPr>
          <w:rFonts w:ascii="TimesNewRomanPS" w:hAnsi="TimesNewRomanPS"/>
          <w:b/>
          <w:bCs/>
        </w:rPr>
        <w:t xml:space="preserve">Table 5. Adaptation of cash transfer programs </w:t>
      </w:r>
    </w:p>
    <w:p w14:paraId="2EBA914F" w14:textId="2101E802" w:rsidR="00A511D4" w:rsidRDefault="00961238" w:rsidP="00A511D4">
      <w:pPr>
        <w:pStyle w:val="NormalWeb"/>
        <w:rPr>
          <w:rFonts w:ascii="TimesNewRomanPSMT" w:hAnsi="TimesNewRomanPSMT"/>
        </w:rPr>
      </w:pPr>
      <w:commentRangeStart w:id="2"/>
      <w:r w:rsidRPr="00961238">
        <w:rPr>
          <w:rFonts w:ascii="TimesNewRomanPS" w:hAnsi="TimesNewRomanPS"/>
        </w:rPr>
        <w:t xml:space="preserve">Total no of programs adapted for social assistance measures doubled since May 2021.  </w:t>
      </w:r>
      <w:r w:rsidR="00A511D4" w:rsidRPr="00961238">
        <w:rPr>
          <w:rFonts w:ascii="TimesNewRomanPS" w:hAnsi="TimesNewRomanPS"/>
        </w:rPr>
        <w:t>Only a minority of cash transfer programs are being scaled up based on existing schemes</w:t>
      </w:r>
      <w:r w:rsidR="00A511D4" w:rsidRPr="00961238">
        <w:rPr>
          <w:rFonts w:ascii="TimesNewRomanPSMT" w:hAnsi="TimesNewRomanPSMT"/>
        </w:rPr>
        <w:t>.</w:t>
      </w:r>
      <w:r w:rsidR="00A511D4">
        <w:rPr>
          <w:rFonts w:ascii="TimesNewRomanPSMT" w:hAnsi="TimesNewRomanPSMT"/>
        </w:rPr>
        <w:t xml:space="preserve"> Out of the </w:t>
      </w:r>
      <w:r>
        <w:rPr>
          <w:rFonts w:ascii="TimesNewRomanPSMT" w:hAnsi="TimesNewRomanPSMT"/>
        </w:rPr>
        <w:t xml:space="preserve">1527 </w:t>
      </w:r>
      <w:r w:rsidR="00A511D4">
        <w:rPr>
          <w:rFonts w:ascii="TimesNewRomanPSMT" w:hAnsi="TimesNewRomanPSMT"/>
        </w:rPr>
        <w:t>cash transfer schemes,</w:t>
      </w:r>
      <w:r>
        <w:rPr>
          <w:rFonts w:ascii="TimesNewRomanPSMT" w:hAnsi="TimesNewRomanPSMT"/>
        </w:rPr>
        <w:t xml:space="preserve"> only</w:t>
      </w:r>
      <w:r w:rsidR="00A511D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14</w:t>
      </w:r>
      <w:r w:rsidR="00A511D4">
        <w:rPr>
          <w:rFonts w:ascii="TimesNewRomanPSMT" w:hAnsi="TimesNewRomanPSMT"/>
        </w:rPr>
        <w:t xml:space="preserve">% are </w:t>
      </w:r>
      <w:r>
        <w:rPr>
          <w:rFonts w:ascii="TimesNewRomanPSMT" w:hAnsi="TimesNewRomanPSMT"/>
        </w:rPr>
        <w:t>old or existing</w:t>
      </w:r>
      <w:r w:rsidR="00A511D4">
        <w:rPr>
          <w:rFonts w:ascii="TimesNewRomanPSMT" w:hAnsi="TimesNewRomanPSMT"/>
        </w:rPr>
        <w:t xml:space="preserve"> programs and </w:t>
      </w:r>
      <w:r>
        <w:rPr>
          <w:rFonts w:ascii="TimesNewRomanPSMT" w:hAnsi="TimesNewRomanPSMT"/>
        </w:rPr>
        <w:t>38</w:t>
      </w:r>
      <w:r w:rsidR="00A511D4">
        <w:rPr>
          <w:rFonts w:ascii="TimesNewRomanPSMT" w:hAnsi="TimesNewRomanPSMT"/>
        </w:rPr>
        <w:t>% are one-off interventions. The latter include 1</w:t>
      </w:r>
      <w:r>
        <w:rPr>
          <w:rFonts w:ascii="TimesNewRomanPSMT" w:hAnsi="TimesNewRomanPSMT"/>
        </w:rPr>
        <w:t>5</w:t>
      </w:r>
      <w:r w:rsidR="00A511D4">
        <w:rPr>
          <w:rFonts w:ascii="TimesNewRomanPSMT" w:hAnsi="TimesNewRomanPSMT"/>
        </w:rPr>
        <w:t xml:space="preserve"> universal programs, with </w:t>
      </w:r>
      <w:r>
        <w:rPr>
          <w:rFonts w:ascii="TimesNewRomanPSMT" w:hAnsi="TimesNewRomanPSMT"/>
        </w:rPr>
        <w:t xml:space="preserve">two interventions in </w:t>
      </w:r>
      <w:r w:rsidR="00A511D4">
        <w:rPr>
          <w:rFonts w:ascii="TimesNewRomanPSMT" w:hAnsi="TimesNewRomanPSMT"/>
        </w:rPr>
        <w:t>Tuvalu</w:t>
      </w:r>
      <w:r>
        <w:rPr>
          <w:rFonts w:ascii="TimesNewRomanPSMT" w:hAnsi="TimesNewRomanPSMT"/>
        </w:rPr>
        <w:t xml:space="preserve"> and Timor </w:t>
      </w:r>
      <w:proofErr w:type="spellStart"/>
      <w:r>
        <w:rPr>
          <w:rFonts w:ascii="TimesNewRomanPSMT" w:hAnsi="TimesNewRomanPSMT"/>
        </w:rPr>
        <w:t>Leste</w:t>
      </w:r>
      <w:proofErr w:type="spellEnd"/>
      <w:r w:rsidR="00A511D4">
        <w:rPr>
          <w:rFonts w:ascii="TimesNewRomanPSMT" w:hAnsi="TimesNewRomanPSMT"/>
        </w:rPr>
        <w:t xml:space="preserve"> that featured multiple payments. Administrative simplifications are being put in place in </w:t>
      </w:r>
      <w:r>
        <w:rPr>
          <w:rFonts w:ascii="TimesNewRomanPSMT" w:hAnsi="TimesNewRomanPSMT"/>
        </w:rPr>
        <w:t>100</w:t>
      </w:r>
      <w:r w:rsidR="00A511D4">
        <w:rPr>
          <w:rFonts w:ascii="TimesNewRomanPSMT" w:hAnsi="TimesNewRomanPSMT"/>
        </w:rPr>
        <w:t xml:space="preserve"> programs across </w:t>
      </w:r>
      <w:r>
        <w:rPr>
          <w:rFonts w:ascii="TimesNewRomanPSMT" w:hAnsi="TimesNewRomanPSMT"/>
        </w:rPr>
        <w:t>74</w:t>
      </w:r>
      <w:r w:rsidR="00A511D4">
        <w:rPr>
          <w:rFonts w:ascii="TimesNewRomanPSMT" w:hAnsi="TimesNewRomanPSMT"/>
        </w:rPr>
        <w:t xml:space="preserve"> countries, while payments have been advanced in </w:t>
      </w:r>
      <w:r>
        <w:rPr>
          <w:rFonts w:ascii="TimesNewRomanPSMT" w:hAnsi="TimesNewRomanPSMT"/>
        </w:rPr>
        <w:t>26</w:t>
      </w:r>
      <w:r w:rsidR="00A511D4">
        <w:rPr>
          <w:rFonts w:ascii="TimesNewRomanPSMT" w:hAnsi="TimesNewRomanPSMT"/>
        </w:rPr>
        <w:t xml:space="preserve"> schemes in </w:t>
      </w:r>
      <w:r>
        <w:rPr>
          <w:rFonts w:ascii="TimesNewRomanPSMT" w:hAnsi="TimesNewRomanPSMT"/>
        </w:rPr>
        <w:t>2</w:t>
      </w:r>
      <w:r w:rsidR="00A511D4">
        <w:rPr>
          <w:rFonts w:ascii="TimesNewRomanPSMT" w:hAnsi="TimesNewRomanPSMT"/>
        </w:rPr>
        <w:t>1 countries</w:t>
      </w:r>
      <w:r>
        <w:rPr>
          <w:rFonts w:ascii="TimesNewRomanPSMT" w:hAnsi="TimesNewRomanPSMT"/>
        </w:rPr>
        <w:t>. A total of 48 programs were scaled up horizontally as well as vertically across 39 countries.</w:t>
      </w:r>
      <w:commentRangeEnd w:id="2"/>
      <w:r w:rsidR="00F2120D">
        <w:rPr>
          <w:rStyle w:val="CommentReference"/>
          <w:rFonts w:asciiTheme="minorHAnsi" w:eastAsiaTheme="minorHAnsi" w:hAnsiTheme="minorHAnsi" w:cstheme="minorBidi"/>
        </w:rPr>
        <w:commentReference w:id="2"/>
      </w:r>
    </w:p>
    <w:p w14:paraId="612E553D" w14:textId="38ED865B" w:rsidR="00961238" w:rsidRDefault="00961238" w:rsidP="00A511D4">
      <w:pPr>
        <w:pStyle w:val="NormalWeb"/>
      </w:pPr>
      <w:r>
        <w:rPr>
          <w:rFonts w:ascii="TimesNewRomanPS" w:hAnsi="TimesNewRomanPS"/>
          <w:b/>
          <w:bCs/>
        </w:rPr>
        <w:t>Figure 4</w:t>
      </w:r>
      <w:r>
        <w:rPr>
          <w:rFonts w:ascii="TimesNewRomanPS" w:hAnsi="TimesNewRomanPS"/>
          <w:b/>
          <w:bCs/>
        </w:rPr>
        <w:t xml:space="preserve">. </w:t>
      </w:r>
      <w:r>
        <w:rPr>
          <w:rFonts w:ascii="TimesNewRomanPS" w:hAnsi="TimesNewRomanPS"/>
          <w:b/>
          <w:bCs/>
        </w:rPr>
        <w:t>Duration of</w:t>
      </w:r>
      <w:r>
        <w:rPr>
          <w:rFonts w:ascii="TimesNewRomanPS" w:hAnsi="TimesNewRomanPS"/>
          <w:b/>
          <w:bCs/>
        </w:rPr>
        <w:t xml:space="preserve"> cash transfer programs </w:t>
      </w:r>
    </w:p>
    <w:p w14:paraId="31F20029" w14:textId="3E16D57C" w:rsidR="00A511D4" w:rsidRDefault="00A511D4" w:rsidP="00A511D4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Information on the duration of cash transfer programs is available for </w:t>
      </w:r>
      <w:r w:rsidR="00961238">
        <w:rPr>
          <w:rFonts w:ascii="TimesNewRomanPSMT" w:hAnsi="TimesNewRomanPSMT"/>
        </w:rPr>
        <w:t>69</w:t>
      </w:r>
      <w:r>
        <w:rPr>
          <w:rFonts w:ascii="TimesNewRomanPSMT" w:hAnsi="TimesNewRomanPSMT"/>
        </w:rPr>
        <w:t xml:space="preserve"> </w:t>
      </w:r>
      <w:r w:rsidR="00961238">
        <w:rPr>
          <w:rFonts w:ascii="TimesNewRomanPSMT" w:hAnsi="TimesNewRomanPSMT"/>
        </w:rPr>
        <w:t xml:space="preserve">active </w:t>
      </w:r>
      <w:r>
        <w:rPr>
          <w:rFonts w:ascii="TimesNewRomanPSMT" w:hAnsi="TimesNewRomanPSMT"/>
        </w:rPr>
        <w:t xml:space="preserve">schemes. Among these, the duration ranges between 1 and </w:t>
      </w:r>
      <w:r w:rsidR="00961238">
        <w:rPr>
          <w:rFonts w:ascii="TimesNewRomanPSMT" w:hAnsi="TimesNewRomanPSMT"/>
        </w:rPr>
        <w:t>9</w:t>
      </w:r>
      <w:r>
        <w:rPr>
          <w:rFonts w:ascii="TimesNewRomanPSMT" w:hAnsi="TimesNewRomanPSMT"/>
        </w:rPr>
        <w:t xml:space="preserve"> months, for an average of </w:t>
      </w:r>
      <w:r w:rsidR="00961238">
        <w:rPr>
          <w:rFonts w:ascii="TimesNewRomanPSMT" w:hAnsi="TimesNewRomanPSMT"/>
        </w:rPr>
        <w:t xml:space="preserve">3 </w:t>
      </w:r>
      <w:r>
        <w:rPr>
          <w:rFonts w:ascii="TimesNewRomanPSMT" w:hAnsi="TimesNewRomanPSMT"/>
        </w:rPr>
        <w:t xml:space="preserve">months (figure 4). This represents an average </w:t>
      </w:r>
      <w:r w:rsidR="00961238">
        <w:rPr>
          <w:rFonts w:ascii="TimesNewRomanPSMT" w:hAnsi="TimesNewRomanPSMT"/>
        </w:rPr>
        <w:t>decrease</w:t>
      </w:r>
      <w:r>
        <w:rPr>
          <w:rFonts w:ascii="TimesNewRomanPSMT" w:hAnsi="TimesNewRomanPSMT"/>
        </w:rPr>
        <w:t xml:space="preserve"> by almost a month relative to the </w:t>
      </w:r>
      <w:r w:rsidR="00961238">
        <w:rPr>
          <w:rFonts w:ascii="TimesNewRomanPSMT" w:hAnsi="TimesNewRomanPSMT"/>
        </w:rPr>
        <w:t>May 2021</w:t>
      </w:r>
      <w:r>
        <w:rPr>
          <w:rFonts w:ascii="TimesNewRomanPSMT" w:hAnsi="TimesNewRomanPSMT"/>
        </w:rPr>
        <w:t xml:space="preserve"> estimate. </w:t>
      </w:r>
    </w:p>
    <w:p w14:paraId="45A87D17" w14:textId="6BD3B1AC" w:rsidR="00961238" w:rsidRPr="00961238" w:rsidRDefault="00961238" w:rsidP="00A511D4">
      <w:pPr>
        <w:pStyle w:val="NormalWeb"/>
        <w:rPr>
          <w:rFonts w:ascii="TimesNewRomanPSMT" w:hAnsi="TimesNewRomanPSMT"/>
          <w:b/>
          <w:bCs/>
        </w:rPr>
      </w:pPr>
      <w:r w:rsidRPr="00961238">
        <w:rPr>
          <w:rFonts w:ascii="TimesNewRomanPSMT" w:hAnsi="TimesNewRomanPSMT"/>
          <w:b/>
          <w:bCs/>
        </w:rPr>
        <w:t>Table 6:</w:t>
      </w:r>
      <w:r>
        <w:rPr>
          <w:rFonts w:ascii="TimesNewRomanPSMT" w:hAnsi="TimesNewRomanPSMT"/>
          <w:b/>
          <w:bCs/>
        </w:rPr>
        <w:t xml:space="preserve"> Beneficiaries</w:t>
      </w:r>
    </w:p>
    <w:p w14:paraId="23D645BB" w14:textId="3DE3F0A6" w:rsidR="00A511D4" w:rsidRDefault="00A511D4" w:rsidP="00A511D4">
      <w:pPr>
        <w:pStyle w:val="NormalWeb"/>
        <w:rPr>
          <w:rFonts w:ascii="TimesNewRomanPSMT" w:hAnsi="TimesNewRomanPSMT"/>
        </w:rPr>
      </w:pPr>
      <w:r w:rsidRPr="00961238">
        <w:rPr>
          <w:rFonts w:ascii="TimesNewRomanPS" w:hAnsi="TimesNewRomanPS"/>
        </w:rPr>
        <w:t>The global number of beneficiaries remains significant</w:t>
      </w:r>
      <w:r w:rsidR="00961238" w:rsidRPr="00961238">
        <w:rPr>
          <w:rFonts w:ascii="TimesNewRomanPS" w:hAnsi="TimesNewRomanPS"/>
        </w:rPr>
        <w:t>ly larger than previous version</w:t>
      </w:r>
      <w:r w:rsidRPr="00961238">
        <w:rPr>
          <w:rFonts w:ascii="TimesNewRomanPS" w:hAnsi="TimesNewRomanPS"/>
        </w:rPr>
        <w:t xml:space="preserve">. </w:t>
      </w:r>
      <w:r>
        <w:rPr>
          <w:rFonts w:ascii="TimesNewRomanPSMT" w:hAnsi="TimesNewRomanPSMT"/>
        </w:rPr>
        <w:t xml:space="preserve">The estimated global number of </w:t>
      </w:r>
      <w:r>
        <w:rPr>
          <w:rFonts w:ascii="TimesNewRomanPS" w:hAnsi="TimesNewRomanPS"/>
          <w:i/>
          <w:iCs/>
        </w:rPr>
        <w:t xml:space="preserve">planned </w:t>
      </w:r>
      <w:r>
        <w:rPr>
          <w:rFonts w:ascii="TimesNewRomanPSMT" w:hAnsi="TimesNewRomanPSMT"/>
        </w:rPr>
        <w:t>individual social assistance beneficiaries is</w:t>
      </w:r>
      <w:r w:rsidR="00961238">
        <w:rPr>
          <w:rFonts w:ascii="TimesNewRomanPSMT" w:hAnsi="TimesNewRomanPSMT"/>
        </w:rPr>
        <w:t xml:space="preserve"> little over 3</w:t>
      </w:r>
      <w:r>
        <w:rPr>
          <w:rFonts w:ascii="TimesNewRomanPSMT" w:hAnsi="TimesNewRomanPSMT"/>
        </w:rPr>
        <w:t xml:space="preserve"> billion. This number includes people that benefited from </w:t>
      </w:r>
      <w:r>
        <w:rPr>
          <w:rFonts w:ascii="TimesNewRomanPS" w:hAnsi="TimesNewRomanPS"/>
          <w:i/>
          <w:iCs/>
        </w:rPr>
        <w:t xml:space="preserve">both </w:t>
      </w:r>
      <w:r>
        <w:rPr>
          <w:rFonts w:ascii="TimesNewRomanPSMT" w:hAnsi="TimesNewRomanPSMT"/>
        </w:rPr>
        <w:t xml:space="preserve">horizonal and vertical program expansion of cash and in-kind safety net programs. However, the </w:t>
      </w:r>
      <w:r>
        <w:rPr>
          <w:rFonts w:ascii="TimesNewRomanPS" w:hAnsi="TimesNewRomanPS"/>
          <w:i/>
          <w:iCs/>
        </w:rPr>
        <w:t xml:space="preserve">actual </w:t>
      </w:r>
      <w:r>
        <w:rPr>
          <w:rFonts w:ascii="TimesNewRomanPSMT" w:hAnsi="TimesNewRomanPSMT"/>
        </w:rPr>
        <w:t xml:space="preserve">number of beneficiaries – or those participating in programs for which reporting on implementation progress is available – is a little over </w:t>
      </w:r>
      <w:r w:rsidR="00961238">
        <w:rPr>
          <w:rFonts w:ascii="TimesNewRomanPSMT" w:hAnsi="TimesNewRomanPSMT"/>
        </w:rPr>
        <w:t>2.25</w:t>
      </w:r>
      <w:r>
        <w:rPr>
          <w:rFonts w:ascii="TimesNewRomanPSMT" w:hAnsi="TimesNewRomanPSMT"/>
        </w:rPr>
        <w:t xml:space="preserve"> billion, or </w:t>
      </w:r>
      <w:r w:rsidR="00961238">
        <w:rPr>
          <w:rFonts w:ascii="TimesNewRomanPSMT" w:hAnsi="TimesNewRomanPSMT"/>
        </w:rPr>
        <w:t>28%</w:t>
      </w:r>
      <w:r>
        <w:rPr>
          <w:rFonts w:ascii="TimesNewRomanPSMT" w:hAnsi="TimesNewRomanPSMT"/>
        </w:rPr>
        <w:t xml:space="preserve"> of the world’s population (table 6). The number of planned and actual cash transfers beneficiaries is 1.</w:t>
      </w:r>
      <w:r w:rsidR="00961238">
        <w:rPr>
          <w:rFonts w:ascii="TimesNewRomanPSMT" w:hAnsi="TimesNewRomanPSMT"/>
        </w:rPr>
        <w:t>4</w:t>
      </w:r>
      <w:r>
        <w:rPr>
          <w:rFonts w:ascii="TimesNewRomanPSMT" w:hAnsi="TimesNewRomanPSMT"/>
        </w:rPr>
        <w:t xml:space="preserve"> and </w:t>
      </w:r>
      <w:r w:rsidR="00961238">
        <w:rPr>
          <w:rFonts w:ascii="TimesNewRomanPSMT" w:hAnsi="TimesNewRomanPSMT"/>
        </w:rPr>
        <w:t>0.9</w:t>
      </w:r>
      <w:r>
        <w:rPr>
          <w:rFonts w:ascii="TimesNewRomanPSMT" w:hAnsi="TimesNewRomanPSMT"/>
        </w:rPr>
        <w:t xml:space="preserve"> billion, respectively. In other words, almost 1</w:t>
      </w:r>
      <w:r w:rsidR="00961238">
        <w:rPr>
          <w:rFonts w:ascii="TimesNewRomanPSMT" w:hAnsi="TimesNewRomanPSMT"/>
        </w:rPr>
        <w:t>2.5</w:t>
      </w:r>
      <w:r>
        <w:rPr>
          <w:rFonts w:ascii="TimesNewRomanPSMT" w:hAnsi="TimesNewRomanPSMT"/>
        </w:rPr>
        <w:t xml:space="preserve">% of the world’s population has been covered with at least one Covid-related cash transfer payment between 2020 and 2021. </w:t>
      </w:r>
    </w:p>
    <w:p w14:paraId="6C93E5CC" w14:textId="77777777" w:rsidR="00F2120D" w:rsidRDefault="00F2120D" w:rsidP="00A511D4">
      <w:pPr>
        <w:pStyle w:val="NormalWeb"/>
        <w:rPr>
          <w:rFonts w:ascii="TimesNewRomanPSMT" w:hAnsi="TimesNewRomanPSMT"/>
        </w:rPr>
      </w:pPr>
    </w:p>
    <w:p w14:paraId="6AC386EE" w14:textId="5A482C90" w:rsidR="00F2120D" w:rsidRDefault="00F2120D" w:rsidP="00A511D4">
      <w:pPr>
        <w:pStyle w:val="NormalWeb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lastRenderedPageBreak/>
        <w:t>Figure 5.</w:t>
      </w:r>
      <w:r>
        <w:rPr>
          <w:rFonts w:ascii="TimesNewRomanPS" w:hAnsi="TimesNewRomanPS"/>
          <w:b/>
          <w:bCs/>
        </w:rPr>
        <w:t xml:space="preserve"> </w:t>
      </w:r>
      <w:r>
        <w:rPr>
          <w:rFonts w:ascii="TimesNewRomanPS" w:hAnsi="TimesNewRomanPS"/>
          <w:b/>
          <w:bCs/>
        </w:rPr>
        <w:t>Planned versus actual coverage rates for top 50 programs</w:t>
      </w:r>
    </w:p>
    <w:p w14:paraId="387BB744" w14:textId="6AABA33F" w:rsidR="00F2120D" w:rsidRDefault="00F2120D" w:rsidP="00A511D4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>The specific state in implementation progress of cash transfer programs continues to be relatively encouraging</w:t>
      </w:r>
      <w:r>
        <w:rPr>
          <w:rFonts w:ascii="TimesNewRomanPSMT" w:hAnsi="TimesNewRomanPSMT"/>
        </w:rPr>
        <w:t xml:space="preserve">. For the top 50 programs ranked by planned coverage rates, the average percentage points difference between planned and actual coverage rates is </w:t>
      </w:r>
      <w:r>
        <w:rPr>
          <w:rFonts w:ascii="TimesNewRomanPSMT" w:hAnsi="TimesNewRomanPSMT"/>
        </w:rPr>
        <w:t>-0.2</w:t>
      </w:r>
      <w:r>
        <w:rPr>
          <w:rFonts w:ascii="TimesNewRomanPSMT" w:hAnsi="TimesNewRomanPSMT"/>
        </w:rPr>
        <w:t xml:space="preserve"> (figure 5). </w:t>
      </w:r>
    </w:p>
    <w:p w14:paraId="55A285D9" w14:textId="3371C200" w:rsidR="00F2120D" w:rsidRDefault="00F2120D" w:rsidP="00A511D4">
      <w:pPr>
        <w:pStyle w:val="NormalWeb"/>
      </w:pPr>
      <w:r>
        <w:rPr>
          <w:rFonts w:ascii="TimesNewRomanPS" w:hAnsi="TimesNewRomanPS"/>
          <w:b/>
          <w:bCs/>
        </w:rPr>
        <w:t xml:space="preserve">Figure 6. Top 10 cash transfer programs by actual coverage (million people) </w:t>
      </w:r>
    </w:p>
    <w:p w14:paraId="4C0C2F42" w14:textId="79C3FF04" w:rsidR="00A511D4" w:rsidRDefault="00A511D4" w:rsidP="00A511D4">
      <w:pPr>
        <w:pStyle w:val="NormalWeb"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>In terms of number of people covered, select countries have attained impressive six-digit levels</w:t>
      </w:r>
      <w:r>
        <w:rPr>
          <w:rFonts w:ascii="TimesNewRomanPSMT" w:hAnsi="TimesNewRomanPSMT"/>
        </w:rPr>
        <w:t xml:space="preserve">. </w:t>
      </w:r>
      <w:r w:rsidR="00F2120D">
        <w:rPr>
          <w:rFonts w:ascii="TimesNewRomanPSMT" w:hAnsi="TimesNewRomanPSMT"/>
        </w:rPr>
        <w:t xml:space="preserve">Figure </w:t>
      </w:r>
      <w:r>
        <w:rPr>
          <w:rFonts w:ascii="TimesNewRomanPSMT" w:hAnsi="TimesNewRomanPSMT"/>
        </w:rPr>
        <w:t>6 lays out the top 10 interventions with coverage expressed as millions of people. With over 20</w:t>
      </w:r>
      <w:r w:rsidR="00F2120D">
        <w:rPr>
          <w:rFonts w:ascii="TimesNewRomanPSMT" w:hAnsi="TimesNewRomanPSMT"/>
        </w:rPr>
        <w:t>0</w:t>
      </w:r>
      <w:r>
        <w:rPr>
          <w:rFonts w:ascii="TimesNewRomanPSMT" w:hAnsi="TimesNewRomanPSMT"/>
        </w:rPr>
        <w:t xml:space="preserve"> million individuals covered, India’s Pradhan Mantri Jan </w:t>
      </w:r>
      <w:proofErr w:type="spellStart"/>
      <w:r>
        <w:rPr>
          <w:rFonts w:ascii="TimesNewRomanPSMT" w:hAnsi="TimesNewRomanPSMT"/>
        </w:rPr>
        <w:t>Dhan</w:t>
      </w:r>
      <w:proofErr w:type="spellEnd"/>
      <w:r>
        <w:rPr>
          <w:rFonts w:ascii="TimesNewRomanPSMT" w:hAnsi="TimesNewRomanPSMT"/>
        </w:rPr>
        <w:t xml:space="preserve"> Yojana (PMJDY) program is the largest Covid-related cash transfer scheme worldwide. Such program is followed by three </w:t>
      </w:r>
      <w:r w:rsidR="00F2120D">
        <w:rPr>
          <w:rFonts w:ascii="TimesNewRomanPSMT" w:hAnsi="TimesNewRomanPSMT"/>
        </w:rPr>
        <w:t xml:space="preserve">subsequent </w:t>
      </w:r>
      <w:r>
        <w:rPr>
          <w:rFonts w:ascii="TimesNewRomanPSMT" w:hAnsi="TimesNewRomanPSMT"/>
        </w:rPr>
        <w:t xml:space="preserve">cash transfer interventions </w:t>
      </w:r>
      <w:r w:rsidR="00F2120D">
        <w:rPr>
          <w:rFonts w:ascii="TimesNewRomanPSMT" w:hAnsi="TimesNewRomanPSMT"/>
        </w:rPr>
        <w:t xml:space="preserve">in US, </w:t>
      </w:r>
      <w:r>
        <w:rPr>
          <w:rFonts w:ascii="TimesNewRomanPSMT" w:hAnsi="TimesNewRomanPSMT"/>
        </w:rPr>
        <w:t>all reaching over a hundred million people</w:t>
      </w:r>
      <w:r w:rsidR="00F2120D">
        <w:rPr>
          <w:rFonts w:ascii="TimesNewRomanPSMT" w:hAnsi="TimesNewRomanPSMT"/>
        </w:rPr>
        <w:t xml:space="preserve"> (CARES Act, American Rescue Plan &amp; Consolidated Appropriations Act), Followed by </w:t>
      </w:r>
      <w:r>
        <w:rPr>
          <w:rFonts w:ascii="TimesNewRomanPSMT" w:hAnsi="TimesNewRomanPSMT"/>
        </w:rPr>
        <w:t>Japan’s one-off universal program reaching about 11</w:t>
      </w:r>
      <w:r w:rsidR="00F2120D">
        <w:rPr>
          <w:rFonts w:ascii="TimesNewRomanPSMT" w:hAnsi="TimesNewRomanPSMT"/>
        </w:rPr>
        <w:t>5 million people</w:t>
      </w:r>
      <w:r>
        <w:rPr>
          <w:rFonts w:ascii="TimesNewRomanPSMT" w:hAnsi="TimesNewRomanPSMT"/>
        </w:rPr>
        <w:t xml:space="preserve"> </w:t>
      </w:r>
      <w:r w:rsidR="00F2120D">
        <w:rPr>
          <w:rFonts w:ascii="TimesNewRomanPSMT" w:hAnsi="TimesNewRomanPSMT"/>
        </w:rPr>
        <w:t>in fifth place.</w:t>
      </w:r>
    </w:p>
    <w:p w14:paraId="6F1B329D" w14:textId="721E7190" w:rsidR="00F2120D" w:rsidRDefault="00F2120D" w:rsidP="00A511D4">
      <w:pPr>
        <w:pStyle w:val="NormalWeb"/>
      </w:pPr>
      <w:r>
        <w:rPr>
          <w:rFonts w:ascii="TimesNewRomanPS" w:hAnsi="TimesNewRomanPS"/>
          <w:b/>
          <w:bCs/>
        </w:rPr>
        <w:t xml:space="preserve">Figure 7. Top 10 cash transfer programs by actual coverage (% population) </w:t>
      </w:r>
    </w:p>
    <w:p w14:paraId="080A2849" w14:textId="4416B5C8" w:rsidR="00A511D4" w:rsidRDefault="00A511D4" w:rsidP="00A511D4">
      <w:pPr>
        <w:pStyle w:val="NormalWeb"/>
        <w:rPr>
          <w:rFonts w:ascii="TimesNewRomanPSMT" w:hAnsi="TimesNewRomanPSMT"/>
        </w:rPr>
      </w:pPr>
      <w:r w:rsidRPr="00F2120D">
        <w:rPr>
          <w:rFonts w:ascii="TimesNewRomanPS" w:hAnsi="TimesNewRomanPS"/>
        </w:rPr>
        <w:t>In terms of coverage as percentage of the population, the top-10 ranks are dominated by universal one-off programs often combining monetary and fiscal policy</w:t>
      </w:r>
      <w:r w:rsidRPr="00F2120D">
        <w:rPr>
          <w:rFonts w:ascii="TimesNewRomanPSMT" w:hAnsi="TimesNewRomanPSMT"/>
        </w:rPr>
        <w:t>.</w:t>
      </w:r>
      <w:r>
        <w:rPr>
          <w:rFonts w:ascii="TimesNewRomanPSMT" w:hAnsi="TimesNewRomanPSMT"/>
        </w:rPr>
        <w:t xml:space="preserve"> As shown in figure 7, some of these schemes reached the full population (e.g., Israel, Korea, and Japan)</w:t>
      </w:r>
      <w:r w:rsidR="00F2120D"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 xml:space="preserve">Tuvalu was, as mentioned, the only case where temporary universal transfers were delivered in multiple payments. </w:t>
      </w:r>
    </w:p>
    <w:p w14:paraId="1609F7CA" w14:textId="77777777" w:rsidR="00F2120D" w:rsidRDefault="00F2120D" w:rsidP="00F2120D">
      <w:pPr>
        <w:pStyle w:val="NormalWeb"/>
      </w:pPr>
      <w:r>
        <w:rPr>
          <w:rFonts w:ascii="TimesNewRomanPS" w:hAnsi="TimesNewRomanPS"/>
          <w:b/>
          <w:bCs/>
        </w:rPr>
        <w:t xml:space="preserve">Figure 8. Scale up rates of cash transfers relative to pre-Covid level </w:t>
      </w:r>
    </w:p>
    <w:p w14:paraId="3278F08F" w14:textId="21B149E5" w:rsidR="00F2120D" w:rsidRDefault="00F2120D" w:rsidP="00F2120D">
      <w:pPr>
        <w:pStyle w:val="NormalWeb"/>
        <w:rPr>
          <w:rFonts w:ascii="TimesNewRomanPSMT" w:hAnsi="TimesNewRomanPSMT"/>
        </w:rPr>
      </w:pPr>
      <w:r w:rsidRPr="00F2120D">
        <w:rPr>
          <w:rFonts w:ascii="TimesNewRomanPS" w:hAnsi="TimesNewRomanPS"/>
        </w:rPr>
        <w:t>The rate at which cash transfers have been scale</w:t>
      </w:r>
      <w:r>
        <w:rPr>
          <w:rFonts w:ascii="TimesNewRomanPS" w:hAnsi="TimesNewRomanPS"/>
        </w:rPr>
        <w:t>d</w:t>
      </w:r>
      <w:r w:rsidRPr="00F2120D">
        <w:rPr>
          <w:rFonts w:ascii="TimesNewRomanPS" w:hAnsi="TimesNewRomanPS"/>
        </w:rPr>
        <w:t xml:space="preserve"> up relative to pre-Covid coverage levels remains high</w:t>
      </w:r>
      <w:r w:rsidRPr="00F2120D">
        <w:rPr>
          <w:rFonts w:ascii="TimesNewRomanPSMT" w:hAnsi="TimesNewRomanPSMT"/>
        </w:rPr>
        <w:t>.</w:t>
      </w:r>
      <w:r>
        <w:rPr>
          <w:rFonts w:ascii="TimesNewRomanPSMT" w:hAnsi="TimesNewRomanPSMT"/>
        </w:rPr>
        <w:t xml:space="preserve"> For</w:t>
      </w:r>
      <w:r>
        <w:rPr>
          <w:rFonts w:ascii="TimesNewRomanPSMT" w:hAnsi="TimesNewRomanPSMT"/>
        </w:rPr>
        <w:t xml:space="preserve"> 15</w:t>
      </w:r>
      <w:r>
        <w:rPr>
          <w:rFonts w:ascii="TimesNewRomanPSMT" w:hAnsi="TimesNewRomanPSMT"/>
        </w:rPr>
        <w:t xml:space="preserve"> countries with comparable data, the average scale up rate between </w:t>
      </w:r>
      <w:proofErr w:type="gramStart"/>
      <w:r>
        <w:rPr>
          <w:rFonts w:ascii="TimesNewRomanPSMT" w:hAnsi="TimesNewRomanPSMT"/>
        </w:rPr>
        <w:t>pre</w:t>
      </w:r>
      <w:proofErr w:type="gramEnd"/>
      <w:r>
        <w:rPr>
          <w:rFonts w:ascii="TimesNewRomanPSMT" w:hAnsi="TimesNewRomanPSMT"/>
        </w:rPr>
        <w:t xml:space="preserve"> and post-Covid coverage is </w:t>
      </w:r>
      <w:r>
        <w:rPr>
          <w:rFonts w:ascii="TimesNewRomanPSMT" w:hAnsi="TimesNewRomanPSMT"/>
        </w:rPr>
        <w:t>141</w:t>
      </w:r>
      <w:r>
        <w:rPr>
          <w:rFonts w:ascii="TimesNewRomanPSMT" w:hAnsi="TimesNewRomanPSMT"/>
        </w:rPr>
        <w:t>%</w:t>
      </w:r>
      <w:r>
        <w:rPr>
          <w:rFonts w:ascii="TimesNewRomanPSMT" w:hAnsi="TimesNewRomanPSMT"/>
        </w:rPr>
        <w:t xml:space="preserve">. Highest scale up rate was observed in Madagascar with 450% change in </w:t>
      </w:r>
      <w:proofErr w:type="gramStart"/>
      <w:r>
        <w:rPr>
          <w:rFonts w:ascii="TimesNewRomanPSMT" w:hAnsi="TimesNewRomanPSMT"/>
        </w:rPr>
        <w:t>pre</w:t>
      </w:r>
      <w:proofErr w:type="gramEnd"/>
      <w:r>
        <w:rPr>
          <w:rFonts w:ascii="TimesNewRomanPSMT" w:hAnsi="TimesNewRomanPSMT"/>
        </w:rPr>
        <w:t xml:space="preserve"> and post-Covid Coverage. </w:t>
      </w:r>
    </w:p>
    <w:p w14:paraId="296C9475" w14:textId="45BFF0B8" w:rsidR="00F2120D" w:rsidRPr="00F2120D" w:rsidRDefault="00F2120D" w:rsidP="00F2120D">
      <w:pPr>
        <w:pStyle w:val="NormalWeb"/>
      </w:pPr>
      <w:r>
        <w:rPr>
          <w:rFonts w:ascii="TimesNewRomanPSMT" w:hAnsi="TimesNewRomanPSMT"/>
        </w:rPr>
        <w:t xml:space="preserve">Table 7. </w:t>
      </w:r>
      <w:r>
        <w:rPr>
          <w:rFonts w:ascii="TimesNewRomanPS" w:hAnsi="TimesNewRomanPS"/>
          <w:b/>
          <w:bCs/>
        </w:rPr>
        <w:t xml:space="preserve">Spending by social protection component, region and country income group (USD) </w:t>
      </w:r>
    </w:p>
    <w:p w14:paraId="292B5F52" w14:textId="02391BB7" w:rsidR="00F2120D" w:rsidRDefault="00F2120D" w:rsidP="00F2120D">
      <w:pPr>
        <w:pStyle w:val="NormalWeb"/>
        <w:rPr>
          <w:rFonts w:ascii="TimesNewRomanPS" w:hAnsi="TimesNewRomanPS"/>
        </w:rPr>
      </w:pPr>
      <w:r>
        <w:rPr>
          <w:rFonts w:ascii="TimesNewRomanPS" w:hAnsi="TimesNewRomanPS"/>
        </w:rPr>
        <w:t xml:space="preserve">Per capita spending in High Income Country is $1347 that is 75 times higher than in $17.99 per capita spending in Low Income Countries. That is a reduction from May 2021 estimates of </w:t>
      </w:r>
      <w:proofErr w:type="gramStart"/>
      <w:r>
        <w:rPr>
          <w:rFonts w:ascii="TimesNewRomanPS" w:hAnsi="TimesNewRomanPS"/>
        </w:rPr>
        <w:t>211 fold</w:t>
      </w:r>
      <w:proofErr w:type="gramEnd"/>
      <w:r>
        <w:rPr>
          <w:rFonts w:ascii="TimesNewRomanPS" w:hAnsi="TimesNewRomanPS"/>
        </w:rPr>
        <w:t xml:space="preserve"> difference. </w:t>
      </w:r>
    </w:p>
    <w:p w14:paraId="63E8E7B0" w14:textId="51C673BE" w:rsidR="007E4A2E" w:rsidRDefault="007E4A2E" w:rsidP="00F2120D">
      <w:pPr>
        <w:pStyle w:val="NormalWeb"/>
        <w:rPr>
          <w:rFonts w:ascii="TimesNewRomanPS" w:hAnsi="TimesNewRomanPS"/>
          <w:b/>
          <w:bCs/>
        </w:rPr>
      </w:pPr>
      <w:r w:rsidRPr="007E4A2E">
        <w:rPr>
          <w:rFonts w:ascii="TimesNewRomanPS" w:hAnsi="TimesNewRomanPS"/>
          <w:b/>
          <w:bCs/>
        </w:rPr>
        <w:t xml:space="preserve">Table 8. Urban and Rural Cash Transfer Program </w:t>
      </w:r>
    </w:p>
    <w:p w14:paraId="455317B1" w14:textId="728A8305" w:rsidR="007E4A2E" w:rsidRPr="007E4A2E" w:rsidRDefault="007E4A2E" w:rsidP="00F2120D">
      <w:pPr>
        <w:pStyle w:val="NormalWeb"/>
      </w:pPr>
      <w:r>
        <w:rPr>
          <w:rFonts w:ascii="TimesNewRomanPS" w:hAnsi="TimesNewRomanPS"/>
        </w:rPr>
        <w:t xml:space="preserve">Of the 362 total Rural, Urban and peri-urban cash transfer programs, 12% programs are rural only whereas 69% programs encompass both rural and urban regions. Of all the regions, </w:t>
      </w:r>
      <w:proofErr w:type="gramStart"/>
      <w:r>
        <w:rPr>
          <w:rFonts w:ascii="TimesNewRomanPS" w:hAnsi="TimesNewRomanPS"/>
        </w:rPr>
        <w:t>Small</w:t>
      </w:r>
      <w:proofErr w:type="gramEnd"/>
      <w:r>
        <w:rPr>
          <w:rFonts w:ascii="TimesNewRomanPS" w:hAnsi="TimesNewRomanPS"/>
        </w:rPr>
        <w:t xml:space="preserve"> state forum, (SSF) had highest no of urban only programs (46) that constitutes 68% of the total programs targeted to urban only areas. </w:t>
      </w:r>
    </w:p>
    <w:p w14:paraId="6D28CC7F" w14:textId="3307B8C9" w:rsidR="00A66DBE" w:rsidRDefault="00A66DBE" w:rsidP="00A66DBE">
      <w:pPr>
        <w:pStyle w:val="NormalWeb"/>
        <w:rPr>
          <w:rFonts w:ascii="TimesNewRomanPS" w:hAnsi="TimesNewRomanPS"/>
        </w:rPr>
      </w:pPr>
      <w:r w:rsidRPr="007E4A2E">
        <w:rPr>
          <w:rFonts w:ascii="TimesNewRomanPS" w:hAnsi="TimesNewRomanPS"/>
          <w:b/>
          <w:bCs/>
        </w:rPr>
        <w:t xml:space="preserve">Table </w:t>
      </w:r>
      <w:r>
        <w:rPr>
          <w:rFonts w:ascii="TimesNewRomanPS" w:hAnsi="TimesNewRomanPS"/>
          <w:b/>
          <w:bCs/>
        </w:rPr>
        <w:t>9</w:t>
      </w:r>
      <w:r w:rsidRPr="007E4A2E">
        <w:rPr>
          <w:rFonts w:ascii="TimesNewRomanPS" w:hAnsi="TimesNewRomanPS"/>
          <w:b/>
          <w:bCs/>
        </w:rPr>
        <w:t xml:space="preserve">. </w:t>
      </w:r>
      <w:r>
        <w:rPr>
          <w:rFonts w:ascii="TimesNewRomanPS" w:hAnsi="TimesNewRomanPS"/>
          <w:b/>
          <w:bCs/>
        </w:rPr>
        <w:t>FCS</w:t>
      </w:r>
      <w:r w:rsidRPr="007E4A2E">
        <w:rPr>
          <w:rFonts w:ascii="TimesNewRomanPS" w:hAnsi="TimesNewRomanPS"/>
          <w:b/>
          <w:bCs/>
        </w:rPr>
        <w:t xml:space="preserve"> Cash Transfer Program </w:t>
      </w:r>
    </w:p>
    <w:p w14:paraId="4A48CFBC" w14:textId="6D8015E5" w:rsidR="00A66DBE" w:rsidRDefault="00A66DBE" w:rsidP="00A66DBE">
      <w:pPr>
        <w:pStyle w:val="NormalWeb"/>
        <w:rPr>
          <w:rFonts w:ascii="TimesNewRomanPS" w:hAnsi="TimesNewRomanPS"/>
        </w:rPr>
      </w:pPr>
      <w:r>
        <w:rPr>
          <w:rFonts w:ascii="TimesNewRomanPS" w:hAnsi="TimesNewRomanPS"/>
        </w:rPr>
        <w:lastRenderedPageBreak/>
        <w:t xml:space="preserve">Of 471 social protection programs in Fragile and conflict affected states, 77% are social assistance measures. In High Intensity Conflict zones, Only Afghanistan and Somalia offered social insurance measures. </w:t>
      </w:r>
    </w:p>
    <w:p w14:paraId="65D4DC10" w14:textId="77777777" w:rsidR="00A66DBE" w:rsidRPr="00A66DBE" w:rsidRDefault="00A66DBE" w:rsidP="00A66DBE">
      <w:pPr>
        <w:pStyle w:val="NormalWeb"/>
        <w:rPr>
          <w:rFonts w:ascii="TimesNewRomanPS" w:hAnsi="TimesNewRomanPS"/>
        </w:rPr>
      </w:pPr>
    </w:p>
    <w:p w14:paraId="594F77C0" w14:textId="77777777" w:rsidR="00F2120D" w:rsidRDefault="00F2120D" w:rsidP="00F2120D">
      <w:pPr>
        <w:pStyle w:val="NormalWeb"/>
      </w:pPr>
    </w:p>
    <w:p w14:paraId="7F19DFCC" w14:textId="77777777" w:rsidR="00F2120D" w:rsidRDefault="00F2120D" w:rsidP="00A511D4">
      <w:pPr>
        <w:pStyle w:val="NormalWeb"/>
      </w:pPr>
    </w:p>
    <w:p w14:paraId="63C5D04B" w14:textId="77777777" w:rsidR="00A511D4" w:rsidRDefault="00A511D4" w:rsidP="00A511D4">
      <w:pPr>
        <w:pStyle w:val="NormalWeb"/>
      </w:pPr>
    </w:p>
    <w:p w14:paraId="2A09DE34" w14:textId="77777777" w:rsidR="00AF17D6" w:rsidRDefault="00A66DBE"/>
    <w:sectPr w:rsidR="00AF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eha dagaonkar" w:date="2021-12-24T04:59:00Z" w:initials="nd">
    <w:p w14:paraId="1536AF24" w14:textId="5482CCF3" w:rsidR="00A66DBE" w:rsidRDefault="00A66DBE">
      <w:pPr>
        <w:pStyle w:val="CommentText"/>
      </w:pPr>
      <w:r>
        <w:rPr>
          <w:rStyle w:val="CommentReference"/>
        </w:rPr>
        <w:annotationRef/>
      </w:r>
      <w:r>
        <w:t>The nos. don’t match with the client’s table</w:t>
      </w:r>
    </w:p>
  </w:comment>
  <w:comment w:id="1" w:author="neha dagaonkar" w:date="2021-12-24T04:58:00Z" w:initials="nd">
    <w:p w14:paraId="320B44FA" w14:textId="43259E4C" w:rsidR="00A66DBE" w:rsidRDefault="00A66DBE">
      <w:pPr>
        <w:pStyle w:val="CommentText"/>
      </w:pPr>
      <w:r>
        <w:rPr>
          <w:rStyle w:val="CommentReference"/>
        </w:rPr>
        <w:annotationRef/>
      </w:r>
      <w:r>
        <w:t>The nos. are still off I am trying to work with Qi to figure this part out</w:t>
      </w:r>
    </w:p>
  </w:comment>
  <w:comment w:id="2" w:author="neha dagaonkar" w:date="2021-12-24T03:52:00Z" w:initials="nd">
    <w:p w14:paraId="397E2AB6" w14:textId="39F49AA0" w:rsidR="00F2120D" w:rsidRDefault="00F2120D">
      <w:pPr>
        <w:pStyle w:val="CommentText"/>
      </w:pPr>
      <w:r>
        <w:rPr>
          <w:rStyle w:val="CommentReference"/>
        </w:rPr>
        <w:annotationRef/>
      </w:r>
      <w:r>
        <w:t xml:space="preserve">The client’s numbers don’t match for this table and we checked the codes multiple times. The May no matches with older file but December </w:t>
      </w:r>
      <w:proofErr w:type="spellStart"/>
      <w:r>
        <w:t>nos</w:t>
      </w:r>
      <w:proofErr w:type="spellEnd"/>
      <w:r>
        <w:t xml:space="preserve"> that client provided doesn’t match.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36AF24" w15:done="0"/>
  <w15:commentEx w15:paraId="320B44FA" w15:done="0"/>
  <w15:commentEx w15:paraId="397E2A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FD23B" w16cex:dateUtc="2021-12-24T09:59:00Z"/>
  <w16cex:commentExtensible w16cex:durableId="256FD201" w16cex:dateUtc="2021-12-24T09:58:00Z"/>
  <w16cex:commentExtensible w16cex:durableId="256FC280" w16cex:dateUtc="2021-12-24T0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36AF24" w16cid:durableId="256FD23B"/>
  <w16cid:commentId w16cid:paraId="320B44FA" w16cid:durableId="256FD201"/>
  <w16cid:commentId w16cid:paraId="397E2AB6" w16cid:durableId="256FC2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eha dagaonkar">
    <w15:presenceInfo w15:providerId="Windows Live" w15:userId="f7f22f44182365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D4"/>
    <w:rsid w:val="00142BA1"/>
    <w:rsid w:val="00186197"/>
    <w:rsid w:val="00192EA5"/>
    <w:rsid w:val="0069470D"/>
    <w:rsid w:val="007D3D9A"/>
    <w:rsid w:val="007E4A2E"/>
    <w:rsid w:val="00832A27"/>
    <w:rsid w:val="00961238"/>
    <w:rsid w:val="00A511D4"/>
    <w:rsid w:val="00A66DBE"/>
    <w:rsid w:val="00A66EC8"/>
    <w:rsid w:val="00F2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E0859"/>
  <w15:chartTrackingRefBased/>
  <w15:docId w15:val="{62C594F2-DD93-084B-89DF-840E1E00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21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2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2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3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1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3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8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7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6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2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0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dagaonkar</dc:creator>
  <cp:keywords/>
  <dc:description/>
  <cp:lastModifiedBy>neha dagaonkar</cp:lastModifiedBy>
  <cp:revision>6</cp:revision>
  <dcterms:created xsi:type="dcterms:W3CDTF">2021-12-24T05:24:00Z</dcterms:created>
  <dcterms:modified xsi:type="dcterms:W3CDTF">2021-12-24T10:00:00Z</dcterms:modified>
</cp:coreProperties>
</file>