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25A9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模块1</w:t>
      </w:r>
    </w:p>
    <w:p w14:paraId="52583139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一、电信CRM客户中心业务场景全景分析</w:t>
      </w:r>
      <w:bookmarkEnd w:id="0"/>
    </w:p>
    <w:p w14:paraId="758E4A7A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（一）核心业务场景拆解</w:t>
      </w:r>
      <w:bookmarkEnd w:id="1"/>
    </w:p>
    <w:p w14:paraId="22511B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聚焦电信CRM域客户中心三大核心对象（客户、用户、账户），结合高并发、多渠道、跨中心协同特性，拆解业务场景如下：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A44179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6C4D6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1C91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覆盖客群/载体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F4C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核心操作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6B8C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业务特性</w:t>
            </w:r>
          </w:p>
        </w:tc>
      </w:tr>
      <w:tr w14:paraId="34C1760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F48E7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2284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公众（个人）客户、家庭客户、政企客户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2682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开户（信息录入+资质审核）、资料变更（身份/联系方式/归属地等）、销户（资质核验+业务解约+数据归档）、客户信息查询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F809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基础前置场景，为用户、账户业务提供主体支撑</w:t>
            </w:r>
          </w:p>
        </w:tc>
      </w:tr>
      <w:tr w14:paraId="2423B2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F2C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32C9D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个人用户（绑定公众客户）、群用户（家庭/政企计费载体，绑定对应客群）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EEDC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开户、状态变更（启用/暂停/注销）、资费调整（套餐更换/优惠叠加）、换卡（补卡/换号）、用户信息查询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7B773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高频核心场景，业务占比超90%，是并发量主要来源</w:t>
            </w:r>
          </w:p>
        </w:tc>
      </w:tr>
      <w:tr w14:paraId="6B0F96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9523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D867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个人账户、家庭账户、政企账户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D44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账户绑定/解绑（与客户/用户关联）、费用支付（在线/线下/代扣）、账单管理（生成/查询/推送）、欠费追缴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5C3E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交易核心场景，需保证数据实时性与准确性</w:t>
            </w:r>
          </w:p>
        </w:tc>
      </w:tr>
    </w:tbl>
    <w:p w14:paraId="3CF9487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（二）场景约束与适配要求</w:t>
      </w:r>
      <w:bookmarkEnd w:id="2"/>
    </w:p>
    <w:p w14:paraId="530A8311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高并发约束</w:t>
      </w:r>
      <w:r>
        <w:rPr>
          <w:rFonts w:ascii="Arial" w:hAnsi="Arial" w:eastAsia="等线" w:cs="Arial"/>
          <w:sz w:val="22"/>
        </w:rPr>
        <w:t>：每日300W+业务办理量、4亿次服务调用，高峰时段集中在早8-10点、下午2-4点，需适配流量波动；</w:t>
      </w:r>
    </w:p>
    <w:p w14:paraId="761C99A7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多渠道适配</w:t>
      </w:r>
      <w:r>
        <w:rPr>
          <w:rFonts w:ascii="Arial" w:hAnsi="Arial" w:eastAsia="等线" w:cs="Arial"/>
          <w:sz w:val="22"/>
        </w:rPr>
        <w:t>：兼容营业厅、电子渠道（官网）、客服、掌厅等入口，要求各渠道业务规则统一、数据同步一致；</w:t>
      </w:r>
    </w:p>
    <w:p w14:paraId="098A2246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跨中心依赖</w:t>
      </w:r>
      <w:r>
        <w:rPr>
          <w:rFonts w:ascii="Arial" w:hAnsi="Arial" w:eastAsia="等线" w:cs="Arial"/>
          <w:sz w:val="22"/>
        </w:rPr>
        <w:t>：核心业务需与订单中心、产商品中心、开通中心协同，形成端到端闭环。</w:t>
      </w:r>
    </w:p>
    <w:p w14:paraId="352D98A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二、子域划分（基于DDD方法论）</w:t>
      </w:r>
      <w:bookmarkEnd w:id="3"/>
    </w:p>
    <w:p w14:paraId="2299C6C5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（一）划分原则</w:t>
      </w:r>
      <w:bookmarkEnd w:id="4"/>
    </w:p>
    <w:p w14:paraId="14B69FA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核心子域：直接创造业务核心价值，是客户中心的核心竞争力，需优先保障；</w:t>
      </w:r>
    </w:p>
    <w:p w14:paraId="64A1F2F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支撑子域：为核心子域提供必要支撑，不直接创造核心价值但不可或缺；</w:t>
      </w:r>
    </w:p>
    <w:p w14:paraId="43236BEF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通用子域：提供全系统复用能力，降低重复设计成本，行业通用性强。</w:t>
      </w:r>
    </w:p>
    <w:p w14:paraId="6E9271AF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（二）具体子域定义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051E4B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9DF3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子域类型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F379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子域名称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CB296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975C7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关联业务场景</w:t>
            </w:r>
          </w:p>
        </w:tc>
      </w:tr>
      <w:tr w14:paraId="49BC786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31F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C9CD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8D55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三类客群全生命周期信息管理，含开户、变更、销户、查询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E6FB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客户管理全场景</w:t>
            </w:r>
          </w:p>
        </w:tc>
      </w:tr>
      <w:tr w14:paraId="54989C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56EC2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871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81AD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个人/群用户服务管理，含高频操作与信息查询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03879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用户管理全场景</w:t>
            </w:r>
          </w:p>
        </w:tc>
      </w:tr>
      <w:tr w14:paraId="70EC67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713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45BC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56513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账户与客户/用户关联、资金流处理（支付/账单/欠费）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B1AF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账户管理全场景</w:t>
            </w:r>
          </w:p>
        </w:tc>
      </w:tr>
      <w:tr w14:paraId="193BDDC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1FF1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26C6F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跨中心协同域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E6A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对接订单/产商品/开通中心，实现服务编排、接口调用、数据同步、异常处理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9B05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跨中心协同场景</w:t>
            </w:r>
          </w:p>
        </w:tc>
      </w:tr>
      <w:tr w14:paraId="1BF8D3F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9AC12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支撑子域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5870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渠道接入域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D0D44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多渠道请求接收、转发、结果反馈，统一渠道规则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8D26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多渠道适配场景</w:t>
            </w:r>
          </w:p>
        </w:tc>
      </w:tr>
      <w:tr w14:paraId="76F135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129C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5F96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基础信息域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005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基础码表（地区编码/客户类型/资费类型等）维护、查询、版本管理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C6EA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全场景基础数据支撑</w:t>
            </w:r>
          </w:p>
        </w:tc>
      </w:tr>
      <w:tr w14:paraId="4176A1A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7592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632E9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日志监控域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D7B4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业务操作/接口调用/异常日志记录、查询、监控告警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7155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全场景问题排查与审计</w:t>
            </w:r>
          </w:p>
        </w:tc>
      </w:tr>
      <w:tr w14:paraId="2E3CE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F94BD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通用子域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88CC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BC0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角色管理、权限分配、操作鉴权、数据权限控制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F1EF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全场景安全管控</w:t>
            </w:r>
          </w:p>
        </w:tc>
      </w:tr>
    </w:tbl>
    <w:p w14:paraId="0B9F4426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三、跨中心协作关系梳理（含协同流程）</w:t>
      </w:r>
      <w:bookmarkEnd w:id="6"/>
    </w:p>
    <w:p w14:paraId="21E557DB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（一）协作核心逻辑</w:t>
      </w:r>
      <w:bookmarkEnd w:id="7"/>
    </w:p>
    <w:p w14:paraId="47F88F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客户中心作为业务发起与状态聚合核心，与三大中心通过“标准化接口+领域事件”实现协同，遵循“请求-响应-状态同步”闭环，具体协作如下：</w:t>
      </w:r>
    </w:p>
    <w:p w14:paraId="2CC68369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（二）分中心协作详情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650"/>
        <w:gridCol w:w="1650"/>
        <w:gridCol w:w="1650"/>
        <w:gridCol w:w="1650"/>
        <w:gridCol w:w="1650"/>
      </w:tblGrid>
      <w:tr w14:paraId="4C18FA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D372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协作对象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4E709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协作方向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CC9B8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核心场景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2516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交互数据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62537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协作方式</w:t>
            </w:r>
          </w:p>
        </w:tc>
      </w:tr>
      <w:tr w14:paraId="1694A1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585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产商品中心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B0D9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客户中心→产商品中心（请求）；产商品中心→客户中心（响应）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0CB2A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用户开户/资费调整时，查询产品/套餐信息、锁定资源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F2D4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产品编码、套餐规格、资费标准、资源配额、产品状态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E332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同步接口（实时查询/锁定）+ 领域事件（产品信息变更同步）</w:t>
            </w:r>
          </w:p>
        </w:tc>
      </w:tr>
      <w:tr w14:paraId="5514129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E724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FBA6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客户中心→订单中心（发起）；订单中心→客户中心（同步）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A379F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客户/用户核心操作后生成订单，同步订单履约状态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BEA98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订单号、客户ID、用户ID、产品信息、订单状态、履约时间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B8344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同步接口（订单生成）+ 异步领域事件（状态同步）</w:t>
            </w:r>
          </w:p>
        </w:tc>
      </w:tr>
      <w:tr w14:paraId="7E3CF8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61F0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开通中心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03ABD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客户中心→开通中心（触发）；开通中心→客户中心（反馈）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8BFC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订单履约后发起服务开通，接收开通结果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79F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用户ID、产品编码、资源配置要求、开通状态、失败原因</w:t>
            </w:r>
          </w:p>
        </w:tc>
        <w:tc>
          <w:tcPr>
            <w:tcW w:w="165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D2D5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异步接口（开通请求）+ 领域事件（状态反馈）</w:t>
            </w:r>
          </w:p>
        </w:tc>
      </w:tr>
    </w:tbl>
    <w:p w14:paraId="62924442">
      <w:pPr>
        <w:spacing w:before="300" w:after="120" w:line="288" w:lineRule="auto"/>
        <w:ind w:left="0"/>
        <w:jc w:val="left"/>
        <w:outlineLvl w:val="2"/>
      </w:pPr>
      <w:bookmarkStart w:id="9" w:name="heading_9"/>
      <w:r>
        <w:rPr>
          <w:rFonts w:ascii="Arial" w:hAnsi="Arial" w:eastAsia="等线" w:cs="Arial"/>
          <w:b/>
          <w:sz w:val="30"/>
        </w:rPr>
        <w:t>（三）端到端协同示例（开户业务）</w:t>
      </w:r>
      <w:bookmarkEnd w:id="9"/>
    </w:p>
    <w:p w14:paraId="4C0A23F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客户通过任意渠道提交开户申请→2. 渠道接入域统一接收并转发至客户域→3. 客户域完成资质审核与信息录入→4. 跨中心协同域向产商品中心查询并锁定选配套餐→5. 用户域创建用户信息→6. 跨中心协同域向订单中心发起订单生成→7. 订单中心完成履约后触发开通请求→8. 开通中心完成资源配置与服务开通→9. 开通中心推送“已开通”领域事件→10. 用户域更新用户服务状态→11. 账户域完成客户-用户-账户绑定→12. 向客户反馈开户成功。</w:t>
      </w:r>
    </w:p>
    <w:p w14:paraId="5B578A04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四、限界上下文定义文档</w:t>
      </w:r>
      <w:bookmarkEnd w:id="10"/>
    </w:p>
    <w:p w14:paraId="47280C2E">
      <w:pPr>
        <w:spacing w:before="300" w:after="120" w:line="288" w:lineRule="auto"/>
        <w:ind w:left="0"/>
        <w:jc w:val="left"/>
        <w:outlineLvl w:val="2"/>
      </w:pPr>
      <w:bookmarkStart w:id="11" w:name="heading_11"/>
      <w:r>
        <w:rPr>
          <w:rFonts w:ascii="Arial" w:hAnsi="Arial" w:eastAsia="等线" w:cs="Arial"/>
          <w:b/>
          <w:sz w:val="30"/>
        </w:rPr>
        <w:t>（一）定义原则</w:t>
      </w:r>
      <w:bookmarkEnd w:id="11"/>
    </w:p>
    <w:p w14:paraId="54409F21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与子域一一对应，保证业务边界与能力边界一致；</w:t>
      </w:r>
    </w:p>
    <w:p w14:paraId="37CB6F0C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内聚性：上下文内领域对象、业务规则、接口高度关联；</w:t>
      </w:r>
    </w:p>
    <w:p w14:paraId="5FC07A4F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低耦合：上下文间仅通过标准化接口/领域事件交互，无直接数据依赖。</w:t>
      </w:r>
    </w:p>
    <w:p w14:paraId="352D6A45">
      <w:pPr>
        <w:spacing w:before="300" w:after="120" w:line="288" w:lineRule="auto"/>
        <w:ind w:left="0"/>
        <w:jc w:val="left"/>
        <w:outlineLvl w:val="2"/>
      </w:pPr>
      <w:bookmarkStart w:id="12" w:name="heading_12"/>
      <w:r>
        <w:rPr>
          <w:rFonts w:ascii="Arial" w:hAnsi="Arial" w:eastAsia="等线" w:cs="Arial"/>
          <w:b/>
          <w:sz w:val="30"/>
        </w:rPr>
        <w:t>（二）限界上下文详情</w:t>
      </w:r>
      <w:bookmarkEnd w:id="1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56B8575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0956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限界上下文名称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EB67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对应子域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F3327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核心职责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A90A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核心领域对象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1BE8C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对外交互边界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F9E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核心业务规则</w:t>
            </w:r>
          </w:p>
        </w:tc>
      </w:tr>
      <w:tr w14:paraId="4E0DB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2D9F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AD3C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客户域（核心）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F0BC0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三类客群开户、资料变更、销户、信息查询与同步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80FC3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客户、客户资质、客户信息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7F9B4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用户上下文、账户上下文、订单上下文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3053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开户需完成资质核验；2. 销户前需解约所有关联业务；3. 信息变更需同步至关联上下文</w:t>
            </w:r>
          </w:p>
        </w:tc>
      </w:tr>
      <w:tr w14:paraId="5B47F4C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1ACD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B4A4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用户域（核心）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D096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个人/群用户开户、状态变更、资费调整、换卡、信息查询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978D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用户、群用户、用户状态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8AAC0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客户上下文、账户上下文、产商品上下文、开通上下文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4C1A2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开户需关联有效客户；2. 资费调整需校验套餐有效性；3. 换卡保留核心信息</w:t>
            </w:r>
          </w:p>
        </w:tc>
      </w:tr>
      <w:tr w14:paraId="5395E94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8F9A8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0F5F6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账户域（核心）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F88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账户绑定/解绑、支付、账单管理、欠费追缴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B5370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账户、账单、支付记录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FF496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客户上下文、用户上下文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67260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账户需绑定至少一个有效主体；2. 账单生成与用户状态关联；3. 欠费超期限制用户服务</w:t>
            </w:r>
          </w:p>
        </w:tc>
      </w:tr>
      <w:tr w14:paraId="29FF0A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582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跨中心协同上下文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845E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跨中心协同域（支撑）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5A5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跨中心接口调用、服务编排、数据同步、异常处理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9331F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协同任务、接口日志、异常信息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8FCDF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所有核心上下文+外部三大中心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4F4A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调用需超时重试；2. 异常触发告警；3. 编排遵循端到端流程</w:t>
            </w:r>
          </w:p>
        </w:tc>
      </w:tr>
      <w:tr w14:paraId="7135329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FB2F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渠道接入上下文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B0B0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渠道接入域（支撑）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EB2C4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多渠道请求接收、转发、结果反馈、渠道鉴权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7F751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渠道请求、渠道响应、渠道日志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BFB6C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所有核心/支撑上下文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9DEC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统一请求参数标准；2. 请求需鉴权；3. 共用核心业务逻辑</w:t>
            </w:r>
          </w:p>
        </w:tc>
      </w:tr>
      <w:tr w14:paraId="064F239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19E1C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基础信息上下文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70A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基础信息域（通用）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0EAA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基础码表维护、查询、版本管理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87769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基础码表、码表版本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406D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EC2FB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码表修改需版本控制；2. 变更同步至关联上下文</w:t>
            </w:r>
          </w:p>
        </w:tc>
      </w:tr>
      <w:tr w14:paraId="008C5C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63E32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日志监控上下文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39BE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日志监控域（通用）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5571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日志记录、查询、监控告警、归档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A4E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业务日志、接口日志、告警信息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02F21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22CE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核心操作必录日志；2. 异常实时告警；3. 日志支持溯源</w:t>
            </w:r>
          </w:p>
        </w:tc>
      </w:tr>
      <w:tr w14:paraId="1F95B78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5F665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537F5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权限控制域（通用）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EEC0A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角色管理、权限分配、操作/数据鉴权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7E11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角色、权限、用户-角色关联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4D9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所有上下文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2E41B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1. 操作前先鉴权；2. 数据权限按主体维度划分；3. 权限变更实时生效</w:t>
            </w:r>
          </w:p>
        </w:tc>
      </w:tr>
    </w:tbl>
    <w:p w14:paraId="33951EC0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五、统一语言术语表（全场景覆盖）</w:t>
      </w:r>
      <w:bookmarkEnd w:id="1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206FA67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38B3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术语分类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B36A1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术语名称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3752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精准定义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BB93F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关联术语</w:t>
            </w:r>
          </w:p>
        </w:tc>
      </w:tr>
      <w:tr w14:paraId="1CCF2D2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55374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ECE8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公众客户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F6ED5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以个人为主体的通信服务使用者，对应个人用户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13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个人用户、客户ID、开户</w:t>
            </w:r>
          </w:p>
        </w:tc>
      </w:tr>
      <w:tr w14:paraId="0EC34CB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913A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35FD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4FF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以家庭为单位的客群，包含多个家庭成员，对应家庭群用户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7859E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群用户、家庭账户、开户</w:t>
            </w:r>
          </w:p>
        </w:tc>
      </w:tr>
      <w:tr w14:paraId="13BBDB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329B21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D4E14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政企客户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75FF3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企业、政府等组织类客群，以组织为主体，对应政企群用户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E24C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群用户、企业账户、资质核验</w:t>
            </w:r>
          </w:p>
        </w:tc>
      </w:tr>
      <w:tr w14:paraId="0F3CCA5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A70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8CEE8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群用户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4B06E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与家庭/政企客户绑定的计费/服务载体，支持多成员共享服务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00D77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家庭客户、政企客户、资费调整</w:t>
            </w:r>
          </w:p>
        </w:tc>
      </w:tr>
      <w:tr w14:paraId="3C20B1A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9D809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核心业务术语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B5D63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账户绑定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D0AD7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将账户与客户/用户建立关联关系，支持一对一/一对多绑定模式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BFD9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账户、客户ID、用户ID</w:t>
            </w:r>
          </w:p>
        </w:tc>
      </w:tr>
    </w:tbl>
    <w:p w14:paraId="6D08BC67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六、业务视角用例图设计（核心框架）</w:t>
      </w:r>
      <w:bookmarkEnd w:id="14"/>
    </w:p>
    <w:p w14:paraId="2F574B34">
      <w:pPr>
        <w:spacing w:before="300" w:after="120" w:line="288" w:lineRule="auto"/>
        <w:ind w:left="0"/>
        <w:jc w:val="left"/>
        <w:outlineLvl w:val="2"/>
      </w:pPr>
      <w:bookmarkStart w:id="15" w:name="heading_15"/>
      <w:r>
        <w:rPr>
          <w:rFonts w:ascii="Arial" w:hAnsi="Arial" w:eastAsia="等线" w:cs="Arial"/>
          <w:b/>
          <w:sz w:val="30"/>
        </w:rPr>
        <w:t>（一）参与者定义</w:t>
      </w:r>
      <w:bookmarkEnd w:id="15"/>
    </w:p>
    <w:p w14:paraId="0D086411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外部参与者：公众客户、家庭客户、政企客户、订单中心、产商品中心、开通中心；</w:t>
      </w:r>
    </w:p>
    <w:p w14:paraId="3DF9B2EC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内部参与者：营业厅操作员、客服人员、系统管理员。</w:t>
      </w:r>
    </w:p>
    <w:p w14:paraId="138268D2">
      <w:pPr>
        <w:spacing w:before="300" w:after="120" w:line="288" w:lineRule="auto"/>
        <w:ind w:left="0"/>
        <w:jc w:val="left"/>
        <w:outlineLvl w:val="2"/>
      </w:pPr>
      <w:bookmarkStart w:id="16" w:name="heading_16"/>
      <w:r>
        <w:rPr>
          <w:rFonts w:ascii="Arial" w:hAnsi="Arial" w:eastAsia="等线" w:cs="Arial"/>
          <w:b/>
          <w:sz w:val="30"/>
        </w:rPr>
        <w:t>（二）核心用例模块与关联</w:t>
      </w:r>
      <w:bookmarkEnd w:id="1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1C974D1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E6BBB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用例模块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426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包含用例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118BF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关联参与者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4C90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用例关系</w:t>
            </w:r>
          </w:p>
        </w:tc>
      </w:tr>
      <w:tr w14:paraId="4A8CE2B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3D09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客户管理用例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3F041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客户开户、客户资料变更、客户销户、客户信息查询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DF1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所有外部客户、营业厅操作员、客服人员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A6079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“客户开户”包含“资质核验”用例；“资料变更”扩展“信息审核”用例</w:t>
            </w:r>
          </w:p>
        </w:tc>
      </w:tr>
      <w:tr w14:paraId="20B14C2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0C8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用户管理用例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72B0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用户开户、状态变更、资费调整、换卡、用户信息查询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D424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所有外部客户、营业厅操作员、客服人员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E352A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“用户开户”包含“客户信息查询”“套餐查询”用例</w:t>
            </w:r>
          </w:p>
        </w:tc>
      </w:tr>
      <w:tr w14:paraId="40B6257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16746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账户管理用例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0DB50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账户开户、绑定/解绑、支付、账单查询、欠费追缴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B38D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所有外部客户、营业厅操作员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F059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“支付”包含“代扣”“在线支付”扩展用例</w:t>
            </w:r>
          </w:p>
        </w:tc>
      </w:tr>
      <w:tr w14:paraId="21CBA61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FE1DB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跨中心协同用例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1A938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产品查询、订单生成、服务开通请求、状态同步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5B98C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订单中心、产商品中心、开通中心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04AB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与核心用例为“包含”关系（如“用户开户”包含“订单生成”）</w:t>
            </w:r>
          </w:p>
        </w:tc>
      </w:tr>
      <w:tr w14:paraId="7506890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20FA3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渠道接入用例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4511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请求接收、鉴权、转发、结果反馈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D67C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所有外部客户、内部参与者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6126D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为所有核心用例提供“前置接入”支持</w:t>
            </w:r>
          </w:p>
        </w:tc>
      </w:tr>
    </w:tbl>
    <w:p w14:paraId="657F8B4B">
      <w:pPr>
        <w:spacing w:before="300" w:after="120" w:line="288" w:lineRule="auto"/>
        <w:ind w:left="0"/>
        <w:jc w:val="left"/>
        <w:outlineLvl w:val="2"/>
      </w:pPr>
      <w:bookmarkStart w:id="17" w:name="heading_17"/>
      <w:r>
        <w:rPr>
          <w:rFonts w:ascii="Arial" w:hAnsi="Arial" w:eastAsia="等线" w:cs="Arial"/>
          <w:b/>
          <w:sz w:val="30"/>
        </w:rPr>
        <w:t>（三）用例图绘制规范</w:t>
      </w:r>
      <w:bookmarkEnd w:id="17"/>
    </w:p>
    <w:p w14:paraId="6365B893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用例命名：统一采用“动作+对象”格式（如“客户开户”“资费调整”）；</w:t>
      </w:r>
    </w:p>
    <w:p w14:paraId="4A26E719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边界标注：用矩形框标注各限界上下文边界，用例归属于对应边界内；</w:t>
      </w:r>
    </w:p>
    <w:p w14:paraId="22D1D81E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关系标注：包含关系用“&lt;&lt;include&gt;&gt;”标注，扩展关系用“&lt;&lt;extend&gt;&gt;”标注，交互关系用带箭头实线标注，跨边界交互注明“接口调用/事件推送”。</w:t>
      </w:r>
    </w:p>
    <w:p w14:paraId="2EBEF18D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5DF8F64">
      <w:pPr>
        <w:widowControl w:val="0"/>
        <w:numPr>
          <w:numId w:val="0"/>
        </w:numPr>
        <w:spacing w:before="120" w:after="120" w:line="288" w:lineRule="auto"/>
        <w:jc w:val="left"/>
        <w:rPr>
          <w:rFonts w:ascii="Arial" w:hAnsi="Arial" w:eastAsia="等线" w:cs="Arial"/>
          <w:sz w:val="22"/>
        </w:rPr>
      </w:pPr>
    </w:p>
    <w:p w14:paraId="7CF00C3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drawing>
          <wp:inline distT="0" distB="0" distL="114300" distR="114300">
            <wp:extent cx="6007735" cy="619760"/>
            <wp:effectExtent l="0" t="0" r="12065" b="5080"/>
            <wp:docPr id="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7735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2238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688FE2A7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C02E633">
      <w:pPr>
        <w:widowControl w:val="0"/>
        <w:numPr>
          <w:numId w:val="0"/>
        </w:numPr>
        <w:spacing w:before="120" w:after="120" w:line="288" w:lineRule="auto"/>
        <w:jc w:val="left"/>
        <w:rPr>
          <w:rFonts w:hint="default" w:ascii="Arial" w:hAnsi="Arial" w:eastAsia="等线" w:cs="Arial"/>
          <w:sz w:val="22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拆分版：</w:t>
      </w:r>
    </w:p>
    <w:p w14:paraId="518E9B58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drawing>
          <wp:inline distT="0" distB="0" distL="114300" distR="114300">
            <wp:extent cx="5268595" cy="2980690"/>
            <wp:effectExtent l="0" t="0" r="4445" b="6350"/>
            <wp:docPr id="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DE3BAB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3415BCF3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F5B306E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drawing>
          <wp:inline distT="0" distB="0" distL="114300" distR="114300">
            <wp:extent cx="5267960" cy="1962785"/>
            <wp:effectExtent l="0" t="0" r="5080" b="3175"/>
            <wp:docPr id="1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96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B24E4C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0FB2F4D2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drawing>
          <wp:inline distT="0" distB="0" distL="114300" distR="114300">
            <wp:extent cx="5269865" cy="2479040"/>
            <wp:effectExtent l="0" t="0" r="3175" b="5080"/>
            <wp:docPr id="1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4E0F79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DCA1CB5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r>
        <w:drawing>
          <wp:inline distT="0" distB="0" distL="114300" distR="114300">
            <wp:extent cx="5264150" cy="1083945"/>
            <wp:effectExtent l="0" t="0" r="8890" b="13335"/>
            <wp:docPr id="13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BBA0B6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4F7BFC45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B88E149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13EB525D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2BE5937F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</w:p>
    <w:p w14:paraId="5E3DE418">
      <w:pPr>
        <w:widowControl w:val="0"/>
        <w:numPr>
          <w:numId w:val="0"/>
        </w:numPr>
        <w:spacing w:before="120" w:after="120" w:line="288" w:lineRule="auto"/>
        <w:jc w:val="left"/>
        <w:rPr>
          <w:rFonts w:hint="eastAsia" w:ascii="Arial" w:hAnsi="Arial" w:eastAsia="等线" w:cs="Arial"/>
          <w:sz w:val="22"/>
          <w:lang w:eastAsia="zh-CN"/>
        </w:rPr>
      </w:pPr>
      <w:bookmarkStart w:id="18" w:name="_GoBack"/>
      <w:bookmarkEnd w:id="18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C078F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8430C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C8879AEF"/>
    <w:multiLevelType w:val="singleLevel"/>
    <w:tmpl w:val="C8879AE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">
    <w:nsid w:val="F4B5D9F5"/>
    <w:multiLevelType w:val="singleLevel"/>
    <w:tmpl w:val="F4B5D9F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0248C179"/>
    <w:multiLevelType w:val="singleLevel"/>
    <w:tmpl w:val="0248C17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8">
    <w:nsid w:val="03D62ECE"/>
    <w:multiLevelType w:val="singleLevel"/>
    <w:tmpl w:val="03D62EC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9">
    <w:nsid w:val="25B654F3"/>
    <w:multiLevelType w:val="singleLevel"/>
    <w:tmpl w:val="25B654F3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0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4D4DC07F"/>
    <w:multiLevelType w:val="singleLevel"/>
    <w:tmpl w:val="4D4DC07F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2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3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4">
    <w:nsid w:val="72183CF9"/>
    <w:multiLevelType w:val="singleLevel"/>
    <w:tmpl w:val="72183CF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6"/>
  </w:num>
  <w:num w:numId="2">
    <w:abstractNumId w:val="4"/>
  </w:num>
  <w:num w:numId="3">
    <w:abstractNumId w:val="12"/>
  </w:num>
  <w:num w:numId="4">
    <w:abstractNumId w:val="2"/>
  </w:num>
  <w:num w:numId="5">
    <w:abstractNumId w:val="1"/>
  </w:num>
  <w:num w:numId="6">
    <w:abstractNumId w:val="8"/>
  </w:num>
  <w:num w:numId="7">
    <w:abstractNumId w:val="9"/>
  </w:num>
  <w:num w:numId="8">
    <w:abstractNumId w:val="14"/>
  </w:num>
  <w:num w:numId="9">
    <w:abstractNumId w:val="7"/>
  </w:num>
  <w:num w:numId="10">
    <w:abstractNumId w:val="0"/>
  </w:num>
  <w:num w:numId="11">
    <w:abstractNumId w:val="10"/>
  </w:num>
  <w:num w:numId="12">
    <w:abstractNumId w:val="13"/>
  </w:num>
  <w:num w:numId="13">
    <w:abstractNumId w:val="3"/>
  </w:num>
  <w:num w:numId="14">
    <w:abstractNumId w:val="11"/>
  </w:num>
  <w:num w:numId="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156C74"/>
    <w:rsid w:val="32863A70"/>
    <w:rsid w:val="427F1BDB"/>
    <w:rsid w:val="4C885B30"/>
    <w:rsid w:val="771D453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3346</Words>
  <Characters>3443</Characters>
  <TotalTime>33</TotalTime>
  <ScaleCrop>false</ScaleCrop>
  <LinksUpToDate>false</LinksUpToDate>
  <CharactersWithSpaces>3480</CharactersWithSpaces>
  <Application>WPS Office_12.1.0.23542_F1E327BC-269C-435d-A152-05C5408002CA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2026-02-11T05:54:00Z</dcterms:created>
  <dc:creator>Apache POI</dc:creator>
  <cp:lastModifiedBy>杨慧铃</cp:lastModifiedBy>
  <dcterms:modified xsi:type="dcterms:W3CDTF">2026-02-12T03:29:57Z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eyJoZGlkIjoiNTZkYjY0MTJiNGY0ODZiMDRlOGZiOGQxMzFiMWNmNjciLCJ1c2VySWQiOiIxNjYyMDIwNTUxIn0=</vt:lpwstr>
  </property>
  <property fmtid="{D5CDD505-2E9C-101B-9397-08002B2CF9AE}" pid="3" name="KSOProductBuildVer">
    <vt:lpwstr>2052-12.1.0.23542</vt:lpwstr>
  </property>
  <property fmtid="{D5CDD505-2E9C-101B-9397-08002B2CF9AE}" pid="4" name="ICV">
    <vt:lpwstr>EC863801B99941EAA3CDEE154BA85F37_13</vt:lpwstr>
  </property>
</Properties>
</file>