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CC204" w14:textId="30D6D34C" w:rsidR="00802748" w:rsidRPr="00802748" w:rsidRDefault="00802748" w:rsidP="00802748">
      <w:pPr>
        <w:widowControl w:val="0"/>
        <w:jc w:val="both"/>
        <w:rPr>
          <w:b/>
          <w:bCs/>
          <w:sz w:val="32"/>
          <w:szCs w:val="32"/>
        </w:rPr>
      </w:pPr>
      <w:r w:rsidRPr="00802748">
        <w:rPr>
          <w:b/>
          <w:bCs/>
          <w:sz w:val="32"/>
          <w:szCs w:val="32"/>
        </w:rPr>
        <w:t>电信 CRM 客户</w:t>
      </w:r>
      <w:proofErr w:type="gramStart"/>
      <w:r w:rsidRPr="00802748">
        <w:rPr>
          <w:b/>
          <w:bCs/>
          <w:sz w:val="32"/>
          <w:szCs w:val="32"/>
        </w:rPr>
        <w:t>中心跨微服务数据</w:t>
      </w:r>
      <w:proofErr w:type="gramEnd"/>
      <w:r w:rsidRPr="00802748">
        <w:rPr>
          <w:b/>
          <w:bCs/>
          <w:sz w:val="32"/>
          <w:szCs w:val="32"/>
        </w:rPr>
        <w:t>一致性方案</w:t>
      </w:r>
    </w:p>
    <w:p w14:paraId="123BF23E" w14:textId="77777777" w:rsidR="00802748" w:rsidRPr="00802748" w:rsidRDefault="00802748" w:rsidP="00802748">
      <w:pPr>
        <w:widowControl w:val="0"/>
        <w:jc w:val="both"/>
        <w:rPr>
          <w:b/>
          <w:bCs/>
        </w:rPr>
      </w:pPr>
      <w:r w:rsidRPr="00802748">
        <w:rPr>
          <w:b/>
          <w:bCs/>
        </w:rPr>
        <w:t>1. 方案概述</w:t>
      </w:r>
    </w:p>
    <w:p w14:paraId="20C8DF62" w14:textId="77777777" w:rsidR="00802748" w:rsidRPr="00802748" w:rsidRDefault="00802748" w:rsidP="00802748">
      <w:pPr>
        <w:widowControl w:val="0"/>
        <w:jc w:val="both"/>
        <w:rPr>
          <w:b/>
          <w:bCs/>
        </w:rPr>
      </w:pPr>
      <w:r w:rsidRPr="00802748">
        <w:rPr>
          <w:b/>
          <w:bCs/>
        </w:rPr>
        <w:t>1.1 设计背景</w:t>
      </w:r>
    </w:p>
    <w:p w14:paraId="75392372" w14:textId="49600CBA" w:rsidR="00802748" w:rsidRPr="00802748" w:rsidRDefault="00802748" w:rsidP="00802748">
      <w:pPr>
        <w:widowControl w:val="0"/>
        <w:jc w:val="both"/>
        <w:rPr>
          <w:rFonts w:hint="eastAsia"/>
        </w:rPr>
      </w:pPr>
      <w:r w:rsidRPr="00802748">
        <w:t xml:space="preserve">在电信 CRM </w:t>
      </w:r>
      <w:proofErr w:type="gramStart"/>
      <w:r w:rsidRPr="00802748">
        <w:t>微服务</w:t>
      </w:r>
      <w:proofErr w:type="gramEnd"/>
      <w:r w:rsidRPr="00802748">
        <w:t xml:space="preserve">架构中，由于采用了物理分库隔离（如 </w:t>
      </w:r>
      <w:proofErr w:type="spellStart"/>
      <w:r w:rsidRPr="00802748">
        <w:t>crm_customer_db</w:t>
      </w:r>
      <w:proofErr w:type="spellEnd"/>
      <w:r w:rsidRPr="00802748">
        <w:t xml:space="preserve"> 与 </w:t>
      </w:r>
      <w:proofErr w:type="spellStart"/>
      <w:r w:rsidRPr="00802748">
        <w:t>crm_user_db</w:t>
      </w:r>
      <w:proofErr w:type="spellEnd"/>
      <w:r w:rsidRPr="00802748">
        <w:t>），传统</w:t>
      </w:r>
      <w:proofErr w:type="gramStart"/>
      <w:r w:rsidRPr="00802748">
        <w:t>的跨表本地</w:t>
      </w:r>
      <w:proofErr w:type="gramEnd"/>
      <w:r w:rsidRPr="00802748">
        <w:t>事务失效。针对开户、换卡等涉及订单中心、产商品中心、开通中心的</w:t>
      </w:r>
      <w:proofErr w:type="gramStart"/>
      <w:r w:rsidRPr="00802748">
        <w:t>跨中心长业务流</w:t>
      </w:r>
      <w:proofErr w:type="gramEnd"/>
      <w:r w:rsidRPr="00802748">
        <w:t>，必须构建一套基于最终一致性的分布式处理机制 。</w:t>
      </w:r>
    </w:p>
    <w:p w14:paraId="2C11BC49" w14:textId="77777777" w:rsidR="00802748" w:rsidRPr="00802748" w:rsidRDefault="00802748" w:rsidP="00802748">
      <w:pPr>
        <w:widowControl w:val="0"/>
        <w:jc w:val="both"/>
        <w:rPr>
          <w:b/>
          <w:bCs/>
        </w:rPr>
      </w:pPr>
      <w:r w:rsidRPr="00802748">
        <w:rPr>
          <w:b/>
          <w:bCs/>
        </w:rPr>
        <w:t>1.2 核心目标</w:t>
      </w:r>
    </w:p>
    <w:p w14:paraId="6BCD8EA2" w14:textId="005E9247" w:rsidR="00802748" w:rsidRPr="00802748" w:rsidRDefault="00802748" w:rsidP="00802748">
      <w:pPr>
        <w:widowControl w:val="0"/>
        <w:numPr>
          <w:ilvl w:val="0"/>
          <w:numId w:val="1"/>
        </w:numPr>
        <w:jc w:val="both"/>
      </w:pPr>
      <w:r w:rsidRPr="00802748">
        <w:rPr>
          <w:b/>
          <w:bCs/>
        </w:rPr>
        <w:t>确保业务完整性</w:t>
      </w:r>
      <w:r w:rsidRPr="00802748">
        <w:t>：保障</w:t>
      </w:r>
      <w:proofErr w:type="gramStart"/>
      <w:r w:rsidRPr="00802748">
        <w:t>跨中心</w:t>
      </w:r>
      <w:proofErr w:type="gramEnd"/>
      <w:r w:rsidRPr="00802748">
        <w:t>流程要么全部成功，要么在失败时完成</w:t>
      </w:r>
      <w:proofErr w:type="gramStart"/>
      <w:r w:rsidRPr="00802748">
        <w:t>补偿回滚</w:t>
      </w:r>
      <w:proofErr w:type="gramEnd"/>
      <w:r w:rsidRPr="00802748">
        <w:t xml:space="preserve"> 。</w:t>
      </w:r>
    </w:p>
    <w:p w14:paraId="5544D787" w14:textId="182E5283" w:rsidR="00802748" w:rsidRPr="00802748" w:rsidRDefault="00802748" w:rsidP="00802748">
      <w:pPr>
        <w:widowControl w:val="0"/>
        <w:numPr>
          <w:ilvl w:val="0"/>
          <w:numId w:val="1"/>
        </w:numPr>
        <w:jc w:val="both"/>
      </w:pPr>
      <w:r w:rsidRPr="00802748">
        <w:rPr>
          <w:b/>
          <w:bCs/>
        </w:rPr>
        <w:t>消除数据孤岛</w:t>
      </w:r>
      <w:r w:rsidRPr="00802748">
        <w:t>：实现 CRM 与订单、产商品、开通中心间的状态实时对齐 。</w:t>
      </w:r>
    </w:p>
    <w:p w14:paraId="0CE76ECE" w14:textId="7499BA49" w:rsidR="00802748" w:rsidRPr="00802748" w:rsidRDefault="00802748" w:rsidP="00802748">
      <w:pPr>
        <w:widowControl w:val="0"/>
        <w:numPr>
          <w:ilvl w:val="0"/>
          <w:numId w:val="1"/>
        </w:numPr>
        <w:jc w:val="both"/>
      </w:pPr>
      <w:r w:rsidRPr="00802748">
        <w:rPr>
          <w:b/>
          <w:bCs/>
        </w:rPr>
        <w:t>高可靠消息保障</w:t>
      </w:r>
      <w:r w:rsidRPr="00802748">
        <w:t>：确保业务操作与异步事件触发的原子性绑定 。</w:t>
      </w:r>
    </w:p>
    <w:p w14:paraId="2592877D" w14:textId="77777777" w:rsidR="00802748" w:rsidRPr="00802748" w:rsidRDefault="00802748" w:rsidP="00802748">
      <w:pPr>
        <w:widowControl w:val="0"/>
        <w:jc w:val="both"/>
        <w:rPr>
          <w:b/>
          <w:bCs/>
        </w:rPr>
      </w:pPr>
      <w:r w:rsidRPr="00802748">
        <w:rPr>
          <w:b/>
          <w:bCs/>
        </w:rPr>
        <w:t>2. 核心技术架构</w:t>
      </w:r>
    </w:p>
    <w:p w14:paraId="01649829" w14:textId="77777777" w:rsidR="00802748" w:rsidRPr="00802748" w:rsidRDefault="00802748" w:rsidP="00802748">
      <w:pPr>
        <w:widowControl w:val="0"/>
        <w:jc w:val="both"/>
        <w:rPr>
          <w:b/>
          <w:bCs/>
        </w:rPr>
      </w:pPr>
      <w:r w:rsidRPr="00802748">
        <w:rPr>
          <w:b/>
          <w:bCs/>
        </w:rPr>
        <w:t>2.1 基于 Saga 的状态机编排 (Orchestration)</w:t>
      </w:r>
    </w:p>
    <w:p w14:paraId="0230F2F0" w14:textId="4CFAEAA0" w:rsidR="00802748" w:rsidRPr="00802748" w:rsidRDefault="00802748" w:rsidP="00802748">
      <w:pPr>
        <w:widowControl w:val="0"/>
        <w:jc w:val="both"/>
        <w:rPr>
          <w:rFonts w:hint="eastAsia"/>
        </w:rPr>
      </w:pPr>
      <w:r w:rsidRPr="00802748">
        <w:t xml:space="preserve">系统采用 </w:t>
      </w:r>
      <w:r w:rsidRPr="00802748">
        <w:rPr>
          <w:b/>
          <w:bCs/>
        </w:rPr>
        <w:t>Saga 状态机模式</w:t>
      </w:r>
      <w:r w:rsidRPr="00802748">
        <w:t xml:space="preserve"> 来管理</w:t>
      </w:r>
      <w:proofErr w:type="gramStart"/>
      <w:r w:rsidRPr="00802748">
        <w:t>跨中心长</w:t>
      </w:r>
      <w:proofErr w:type="gramEnd"/>
      <w:r w:rsidRPr="00802748">
        <w:t>事务 。</w:t>
      </w:r>
    </w:p>
    <w:p w14:paraId="1DD34340" w14:textId="16C7CD99" w:rsidR="00802748" w:rsidRPr="00802748" w:rsidRDefault="00802748" w:rsidP="00802748">
      <w:pPr>
        <w:widowControl w:val="0"/>
        <w:numPr>
          <w:ilvl w:val="0"/>
          <w:numId w:val="2"/>
        </w:numPr>
        <w:jc w:val="both"/>
      </w:pPr>
      <w:r w:rsidRPr="00802748">
        <w:rPr>
          <w:b/>
          <w:bCs/>
        </w:rPr>
        <w:t>状态维护</w:t>
      </w:r>
      <w:r w:rsidRPr="00802748">
        <w:t xml:space="preserve">：在 </w:t>
      </w:r>
      <w:proofErr w:type="spellStart"/>
      <w:r w:rsidRPr="00802748">
        <w:t>crm_integration_db.integration_process</w:t>
      </w:r>
      <w:proofErr w:type="spellEnd"/>
      <w:r w:rsidRPr="00802748">
        <w:t xml:space="preserve"> 表中记录业务 ID（如 </w:t>
      </w:r>
      <w:proofErr w:type="spellStart"/>
      <w:r w:rsidRPr="00802748">
        <w:t>orderId</w:t>
      </w:r>
      <w:proofErr w:type="spellEnd"/>
      <w:r w:rsidRPr="00802748">
        <w:t>）及其全局执行状态（INIT、PROCESSING、SUCCESS、FAIL） 。</w:t>
      </w:r>
    </w:p>
    <w:p w14:paraId="230E2D3D" w14:textId="5D7992B8" w:rsidR="00802748" w:rsidRPr="00802748" w:rsidRDefault="00802748" w:rsidP="00802748">
      <w:pPr>
        <w:widowControl w:val="0"/>
        <w:numPr>
          <w:ilvl w:val="0"/>
          <w:numId w:val="2"/>
        </w:numPr>
        <w:jc w:val="both"/>
      </w:pPr>
      <w:r w:rsidRPr="00802748">
        <w:rPr>
          <w:b/>
          <w:bCs/>
        </w:rPr>
        <w:t>正向编排</w:t>
      </w:r>
      <w:r w:rsidRPr="00802748">
        <w:t>：</w:t>
      </w:r>
      <w:proofErr w:type="gramStart"/>
      <w:r w:rsidRPr="00802748">
        <w:t>跨中心协同微服务</w:t>
      </w:r>
      <w:proofErr w:type="gramEnd"/>
      <w:r w:rsidRPr="00802748">
        <w:t>作为指挥家，根据时序图步骤顺序驱动外部中心接口 。</w:t>
      </w:r>
    </w:p>
    <w:p w14:paraId="426C76F6" w14:textId="72E6A0D4" w:rsidR="00802748" w:rsidRPr="00802748" w:rsidRDefault="00802748" w:rsidP="00802748">
      <w:pPr>
        <w:widowControl w:val="0"/>
        <w:numPr>
          <w:ilvl w:val="0"/>
          <w:numId w:val="2"/>
        </w:numPr>
        <w:jc w:val="both"/>
      </w:pPr>
      <w:r w:rsidRPr="00802748">
        <w:rPr>
          <w:b/>
          <w:bCs/>
        </w:rPr>
        <w:t>关键节点记录</w:t>
      </w:r>
      <w:r w:rsidRPr="00802748">
        <w:t xml:space="preserve">：每完成一步同步调用（如套餐校验、订单创建），均更新 </w:t>
      </w:r>
      <w:proofErr w:type="spellStart"/>
      <w:r w:rsidRPr="00802748">
        <w:t>current_step</w:t>
      </w:r>
      <w:proofErr w:type="spellEnd"/>
      <w:r w:rsidRPr="00802748">
        <w:t>，防止重复执行 。</w:t>
      </w:r>
    </w:p>
    <w:p w14:paraId="561C99B3" w14:textId="77777777" w:rsidR="00802748" w:rsidRPr="00802748" w:rsidRDefault="00802748" w:rsidP="00802748">
      <w:pPr>
        <w:widowControl w:val="0"/>
        <w:jc w:val="both"/>
        <w:rPr>
          <w:b/>
          <w:bCs/>
        </w:rPr>
      </w:pPr>
      <w:r w:rsidRPr="00802748">
        <w:rPr>
          <w:b/>
          <w:bCs/>
        </w:rPr>
        <w:t>2.2 事务性</w:t>
      </w:r>
      <w:proofErr w:type="gramStart"/>
      <w:r w:rsidRPr="00802748">
        <w:rPr>
          <w:b/>
          <w:bCs/>
        </w:rPr>
        <w:t>发件箱</w:t>
      </w:r>
      <w:proofErr w:type="gramEnd"/>
      <w:r w:rsidRPr="00802748">
        <w:rPr>
          <w:b/>
          <w:bCs/>
        </w:rPr>
        <w:t xml:space="preserve"> (Transactional Outbox Pattern)</w:t>
      </w:r>
    </w:p>
    <w:p w14:paraId="4079A5ED" w14:textId="7D5EBDC4" w:rsidR="00802748" w:rsidRPr="00802748" w:rsidRDefault="00802748" w:rsidP="00802748">
      <w:pPr>
        <w:widowControl w:val="0"/>
        <w:jc w:val="both"/>
        <w:rPr>
          <w:rFonts w:hint="eastAsia"/>
        </w:rPr>
      </w:pPr>
      <w:r w:rsidRPr="00802748">
        <w:lastRenderedPageBreak/>
        <w:t xml:space="preserve">为保障“业务数据库更新”与“Kafka 消息发送”的强一致性，采用 </w:t>
      </w:r>
      <w:r w:rsidRPr="00802748">
        <w:rPr>
          <w:b/>
          <w:bCs/>
        </w:rPr>
        <w:t>Outbox 模式</w:t>
      </w:r>
      <w:r w:rsidRPr="00802748">
        <w:t xml:space="preserve"> 。</w:t>
      </w:r>
    </w:p>
    <w:p w14:paraId="15DF59CE" w14:textId="77777777" w:rsidR="00802748" w:rsidRPr="00802748" w:rsidRDefault="00802748" w:rsidP="00802748">
      <w:pPr>
        <w:widowControl w:val="0"/>
        <w:numPr>
          <w:ilvl w:val="0"/>
          <w:numId w:val="3"/>
        </w:numPr>
        <w:jc w:val="both"/>
      </w:pPr>
      <w:r w:rsidRPr="00802748">
        <w:rPr>
          <w:b/>
          <w:bCs/>
        </w:rPr>
        <w:t>原子写入</w:t>
      </w:r>
      <w:r w:rsidRPr="00802748">
        <w:t xml:space="preserve">：在执行业务代码（如更新 customer 状态）的同一数据库事务中，向 </w:t>
      </w:r>
      <w:proofErr w:type="spellStart"/>
      <w:r w:rsidRPr="00802748">
        <w:t>integration_outbox</w:t>
      </w:r>
      <w:proofErr w:type="spellEnd"/>
      <w:r w:rsidRPr="00802748">
        <w:t xml:space="preserve"> 表写入一条待发送事件记录。</w:t>
      </w:r>
    </w:p>
    <w:p w14:paraId="3484EC1C" w14:textId="77777777" w:rsidR="00802748" w:rsidRPr="00802748" w:rsidRDefault="00802748" w:rsidP="00802748">
      <w:pPr>
        <w:widowControl w:val="0"/>
        <w:numPr>
          <w:ilvl w:val="0"/>
          <w:numId w:val="3"/>
        </w:numPr>
        <w:jc w:val="both"/>
      </w:pPr>
      <w:r w:rsidRPr="00802748">
        <w:rPr>
          <w:b/>
          <w:bCs/>
        </w:rPr>
        <w:t>可靠投递</w:t>
      </w:r>
      <w:r w:rsidRPr="00802748">
        <w:t>：独立组件实时扫描 READY 状态记录，发送至 Kafka 后更新为 SENT。</w:t>
      </w:r>
    </w:p>
    <w:p w14:paraId="673EB3B0" w14:textId="797CCF1E" w:rsidR="00802748" w:rsidRPr="00802748" w:rsidRDefault="00802748" w:rsidP="00802748">
      <w:pPr>
        <w:widowControl w:val="0"/>
        <w:numPr>
          <w:ilvl w:val="0"/>
          <w:numId w:val="3"/>
        </w:numPr>
        <w:jc w:val="both"/>
      </w:pPr>
      <w:r w:rsidRPr="00802748">
        <w:rPr>
          <w:b/>
          <w:bCs/>
        </w:rPr>
        <w:t>重试保证</w:t>
      </w:r>
      <w:r w:rsidRPr="00802748">
        <w:t>：若消息发送失败，扫描组件将根据退避策略重复投递，确保“至少一次投递” 。</w:t>
      </w:r>
    </w:p>
    <w:p w14:paraId="6B804D23" w14:textId="77777777" w:rsidR="00802748" w:rsidRPr="00802748" w:rsidRDefault="00802748" w:rsidP="00802748">
      <w:pPr>
        <w:widowControl w:val="0"/>
        <w:jc w:val="both"/>
        <w:rPr>
          <w:b/>
          <w:bCs/>
        </w:rPr>
      </w:pPr>
      <w:r w:rsidRPr="00802748">
        <w:rPr>
          <w:b/>
          <w:bCs/>
        </w:rPr>
        <w:t xml:space="preserve">3. </w:t>
      </w:r>
      <w:proofErr w:type="gramStart"/>
      <w:r w:rsidRPr="00802748">
        <w:rPr>
          <w:b/>
          <w:bCs/>
        </w:rPr>
        <w:t>幂</w:t>
      </w:r>
      <w:proofErr w:type="gramEnd"/>
      <w:r w:rsidRPr="00802748">
        <w:rPr>
          <w:b/>
          <w:bCs/>
        </w:rPr>
        <w:t>等性与冲突控制</w:t>
      </w:r>
    </w:p>
    <w:p w14:paraId="341C2EA1" w14:textId="77777777" w:rsidR="00802748" w:rsidRPr="00802748" w:rsidRDefault="00802748" w:rsidP="00802748">
      <w:pPr>
        <w:widowControl w:val="0"/>
        <w:jc w:val="both"/>
        <w:rPr>
          <w:b/>
          <w:bCs/>
        </w:rPr>
      </w:pPr>
      <w:r w:rsidRPr="00802748">
        <w:rPr>
          <w:b/>
          <w:bCs/>
        </w:rPr>
        <w:t>3.1 全局</w:t>
      </w:r>
      <w:proofErr w:type="gramStart"/>
      <w:r w:rsidRPr="00802748">
        <w:rPr>
          <w:b/>
          <w:bCs/>
        </w:rPr>
        <w:t>幂等锁</w:t>
      </w:r>
      <w:proofErr w:type="gramEnd"/>
      <w:r w:rsidRPr="00802748">
        <w:rPr>
          <w:b/>
          <w:bCs/>
        </w:rPr>
        <w:t>设计</w:t>
      </w:r>
    </w:p>
    <w:p w14:paraId="7A8188D0" w14:textId="4D78B42D" w:rsidR="00802748" w:rsidRPr="00802748" w:rsidRDefault="00802748" w:rsidP="00802748">
      <w:pPr>
        <w:widowControl w:val="0"/>
        <w:numPr>
          <w:ilvl w:val="0"/>
          <w:numId w:val="4"/>
        </w:numPr>
        <w:jc w:val="both"/>
      </w:pPr>
      <w:proofErr w:type="gramStart"/>
      <w:r w:rsidRPr="00802748">
        <w:rPr>
          <w:b/>
          <w:bCs/>
        </w:rPr>
        <w:t>幂</w:t>
      </w:r>
      <w:proofErr w:type="gramEnd"/>
      <w:r w:rsidRPr="00802748">
        <w:rPr>
          <w:b/>
          <w:bCs/>
        </w:rPr>
        <w:t>等键定义</w:t>
      </w:r>
      <w:r w:rsidRPr="00802748">
        <w:t>：统一使用请求头中的 Idempotent-Key（如 CUST-XXX 或 ORD-XXX） 。</w:t>
      </w:r>
    </w:p>
    <w:p w14:paraId="4E218113" w14:textId="55B9E401" w:rsidR="00802748" w:rsidRPr="00802748" w:rsidRDefault="00802748" w:rsidP="00802748">
      <w:pPr>
        <w:widowControl w:val="0"/>
        <w:numPr>
          <w:ilvl w:val="0"/>
          <w:numId w:val="4"/>
        </w:numPr>
        <w:jc w:val="both"/>
      </w:pPr>
      <w:r w:rsidRPr="00802748">
        <w:rPr>
          <w:b/>
          <w:bCs/>
        </w:rPr>
        <w:t>数据库强制约束</w:t>
      </w:r>
      <w:r w:rsidRPr="00802748">
        <w:t xml:space="preserve">：在流水表（如 </w:t>
      </w:r>
      <w:proofErr w:type="spellStart"/>
      <w:r w:rsidRPr="00802748">
        <w:t>account_transaction</w:t>
      </w:r>
      <w:proofErr w:type="spellEnd"/>
      <w:r w:rsidRPr="00802748">
        <w:t>）和集成流程表中使用业务 ID 作为唯一索引（UNIQUE KEY），从物理层拦截重复请求 。</w:t>
      </w:r>
    </w:p>
    <w:p w14:paraId="76619C67" w14:textId="77777777" w:rsidR="00802748" w:rsidRPr="00802748" w:rsidRDefault="00802748" w:rsidP="00802748">
      <w:pPr>
        <w:widowControl w:val="0"/>
        <w:jc w:val="both"/>
        <w:rPr>
          <w:b/>
          <w:bCs/>
        </w:rPr>
      </w:pPr>
      <w:r w:rsidRPr="00802748">
        <w:rPr>
          <w:b/>
          <w:bCs/>
        </w:rPr>
        <w:t>3.2 并发冲突处理</w:t>
      </w:r>
    </w:p>
    <w:p w14:paraId="19BA07D8" w14:textId="77777777" w:rsidR="00802748" w:rsidRPr="00802748" w:rsidRDefault="00802748" w:rsidP="00802748">
      <w:pPr>
        <w:widowControl w:val="0"/>
        <w:numPr>
          <w:ilvl w:val="0"/>
          <w:numId w:val="5"/>
        </w:numPr>
        <w:jc w:val="both"/>
      </w:pPr>
      <w:r w:rsidRPr="00802748">
        <w:rPr>
          <w:b/>
          <w:bCs/>
        </w:rPr>
        <w:t>乐观锁版本控制</w:t>
      </w:r>
      <w:r w:rsidRPr="00802748">
        <w:t xml:space="preserve">：在 customer 和 user 主表中使用 version 字段 。每次更新时执行 SET version = version + 1 WHERE version = </w:t>
      </w:r>
      <w:proofErr w:type="spellStart"/>
      <w:r w:rsidRPr="00802748">
        <w:t>old_version</w:t>
      </w:r>
      <w:proofErr w:type="spellEnd"/>
      <w:r w:rsidRPr="00802748">
        <w:t>，防止脏写。</w:t>
      </w:r>
    </w:p>
    <w:p w14:paraId="10CB96A7" w14:textId="77777777" w:rsidR="00802748" w:rsidRPr="00802748" w:rsidRDefault="00802748" w:rsidP="00802748">
      <w:pPr>
        <w:widowControl w:val="0"/>
        <w:jc w:val="both"/>
        <w:rPr>
          <w:b/>
          <w:bCs/>
        </w:rPr>
      </w:pPr>
      <w:r w:rsidRPr="00802748">
        <w:rPr>
          <w:b/>
          <w:bCs/>
        </w:rPr>
        <w:t>4. 补偿与异常恢复</w:t>
      </w:r>
    </w:p>
    <w:p w14:paraId="7C04B210" w14:textId="45A659EF" w:rsidR="00802748" w:rsidRPr="00802748" w:rsidRDefault="00802748" w:rsidP="00802748">
      <w:pPr>
        <w:widowControl w:val="0"/>
        <w:numPr>
          <w:ilvl w:val="0"/>
          <w:numId w:val="6"/>
        </w:numPr>
        <w:jc w:val="both"/>
      </w:pPr>
      <w:r w:rsidRPr="00802748">
        <w:rPr>
          <w:b/>
          <w:bCs/>
        </w:rPr>
        <w:t>自动补偿</w:t>
      </w:r>
      <w:r w:rsidRPr="00802748">
        <w:t xml:space="preserve">：当开通中心反馈 </w:t>
      </w:r>
      <w:proofErr w:type="spellStart"/>
      <w:r w:rsidRPr="00802748">
        <w:t>activation.failed</w:t>
      </w:r>
      <w:proofErr w:type="spellEnd"/>
      <w:r w:rsidRPr="00802748">
        <w:t xml:space="preserve"> 事件时，系统</w:t>
      </w:r>
      <w:proofErr w:type="gramStart"/>
      <w:r w:rsidRPr="00802748">
        <w:t>自动触发回滚流程</w:t>
      </w:r>
      <w:proofErr w:type="gramEnd"/>
      <w:r w:rsidRPr="00802748">
        <w:t>（如订单撤销、资源释放） 。</w:t>
      </w:r>
    </w:p>
    <w:p w14:paraId="2CD33DB4" w14:textId="69D02617" w:rsidR="00A94FDC" w:rsidRPr="00802748" w:rsidRDefault="00802748" w:rsidP="00802748">
      <w:pPr>
        <w:widowControl w:val="0"/>
        <w:numPr>
          <w:ilvl w:val="0"/>
          <w:numId w:val="6"/>
        </w:numPr>
        <w:jc w:val="both"/>
        <w:rPr>
          <w:rFonts w:hint="eastAsia"/>
        </w:rPr>
      </w:pPr>
      <w:r w:rsidRPr="00802748">
        <w:rPr>
          <w:b/>
          <w:bCs/>
        </w:rPr>
        <w:t>定时对账修复</w:t>
      </w:r>
      <w:r w:rsidRPr="00802748">
        <w:t>：对于资料变更（</w:t>
      </w:r>
      <w:proofErr w:type="spellStart"/>
      <w:r w:rsidRPr="00802748">
        <w:t>InfoChange</w:t>
      </w:r>
      <w:proofErr w:type="spellEnd"/>
      <w:r w:rsidRPr="00802748">
        <w:t>）场景，由于不涉及资金风险，采用定时对账任务发现并修复 CRM 与外部中心的数据差异 。</w:t>
      </w:r>
    </w:p>
    <w:sectPr w:rsidR="00A94FDC" w:rsidRPr="008027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EE7CC" w14:textId="77777777" w:rsidR="00397360" w:rsidRDefault="00397360" w:rsidP="00802748">
      <w:pPr>
        <w:rPr>
          <w:rFonts w:hint="eastAsia"/>
        </w:rPr>
      </w:pPr>
      <w:r>
        <w:separator/>
      </w:r>
    </w:p>
  </w:endnote>
  <w:endnote w:type="continuationSeparator" w:id="0">
    <w:p w14:paraId="1996CBE9" w14:textId="77777777" w:rsidR="00397360" w:rsidRDefault="00397360" w:rsidP="0080274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53814" w14:textId="77777777" w:rsidR="00397360" w:rsidRDefault="00397360" w:rsidP="00802748">
      <w:pPr>
        <w:rPr>
          <w:rFonts w:hint="eastAsia"/>
        </w:rPr>
      </w:pPr>
      <w:r>
        <w:separator/>
      </w:r>
    </w:p>
  </w:footnote>
  <w:footnote w:type="continuationSeparator" w:id="0">
    <w:p w14:paraId="3C95E88F" w14:textId="77777777" w:rsidR="00397360" w:rsidRDefault="00397360" w:rsidP="0080274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E7FE0"/>
    <w:multiLevelType w:val="multilevel"/>
    <w:tmpl w:val="3692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C6BCB"/>
    <w:multiLevelType w:val="multilevel"/>
    <w:tmpl w:val="1188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555FC"/>
    <w:multiLevelType w:val="multilevel"/>
    <w:tmpl w:val="E2BE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F75ED"/>
    <w:multiLevelType w:val="multilevel"/>
    <w:tmpl w:val="90AE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556634"/>
    <w:multiLevelType w:val="multilevel"/>
    <w:tmpl w:val="3D64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1424C3"/>
    <w:multiLevelType w:val="multilevel"/>
    <w:tmpl w:val="0ED0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1636">
    <w:abstractNumId w:val="4"/>
  </w:num>
  <w:num w:numId="2" w16cid:durableId="442773924">
    <w:abstractNumId w:val="5"/>
  </w:num>
  <w:num w:numId="3" w16cid:durableId="654067613">
    <w:abstractNumId w:val="1"/>
  </w:num>
  <w:num w:numId="4" w16cid:durableId="239603253">
    <w:abstractNumId w:val="0"/>
  </w:num>
  <w:num w:numId="5" w16cid:durableId="780031539">
    <w:abstractNumId w:val="2"/>
  </w:num>
  <w:num w:numId="6" w16cid:durableId="7728669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75C"/>
    <w:rsid w:val="00397360"/>
    <w:rsid w:val="00802748"/>
    <w:rsid w:val="008161BC"/>
    <w:rsid w:val="0098344C"/>
    <w:rsid w:val="00A94FDC"/>
    <w:rsid w:val="00C03145"/>
    <w:rsid w:val="00C72343"/>
    <w:rsid w:val="00E44443"/>
    <w:rsid w:val="00EE2EF2"/>
    <w:rsid w:val="00F20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7D8150"/>
  <w15:chartTrackingRefBased/>
  <w15:docId w15:val="{87602D6A-3745-42DD-9EAE-A3EB38798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2748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802748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2748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2748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2748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2748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2748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2748"/>
    <w:pPr>
      <w:spacing w:before="240" w:after="60"/>
      <w:outlineLvl w:val="6"/>
    </w:pPr>
    <w:rPr>
      <w:rFonts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2748"/>
    <w:pPr>
      <w:spacing w:before="240" w:after="60"/>
      <w:outlineLvl w:val="7"/>
    </w:pPr>
    <w:rPr>
      <w:rFonts w:cstheme="majorBidi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2748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02748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802748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802748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标题 4 字符"/>
    <w:basedOn w:val="a0"/>
    <w:link w:val="4"/>
    <w:uiPriority w:val="9"/>
    <w:semiHidden/>
    <w:rsid w:val="00802748"/>
    <w:rPr>
      <w:rFonts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2748"/>
    <w:rPr>
      <w:rFonts w:cstheme="majorBidi"/>
      <w:b/>
      <w:bCs/>
      <w:i/>
      <w:iCs/>
      <w:sz w:val="26"/>
      <w:szCs w:val="26"/>
    </w:rPr>
  </w:style>
  <w:style w:type="character" w:customStyle="1" w:styleId="60">
    <w:name w:val="标题 6 字符"/>
    <w:basedOn w:val="a0"/>
    <w:link w:val="6"/>
    <w:uiPriority w:val="9"/>
    <w:semiHidden/>
    <w:rsid w:val="00802748"/>
    <w:rPr>
      <w:rFonts w:cstheme="majorBidi"/>
      <w:b/>
      <w:bCs/>
    </w:rPr>
  </w:style>
  <w:style w:type="character" w:customStyle="1" w:styleId="70">
    <w:name w:val="标题 7 字符"/>
    <w:basedOn w:val="a0"/>
    <w:link w:val="7"/>
    <w:uiPriority w:val="9"/>
    <w:semiHidden/>
    <w:rsid w:val="00802748"/>
    <w:rPr>
      <w:rFonts w:cstheme="majorBidi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802748"/>
    <w:rPr>
      <w:rFonts w:cstheme="majorBidi"/>
      <w:i/>
      <w:iCs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802748"/>
    <w:rPr>
      <w:rFonts w:asciiTheme="majorHAnsi" w:eastAsiaTheme="majorEastAsia" w:hAnsiTheme="majorHAnsi" w:cstheme="majorBidi"/>
    </w:rPr>
  </w:style>
  <w:style w:type="paragraph" w:styleId="a3">
    <w:name w:val="Title"/>
    <w:basedOn w:val="a"/>
    <w:next w:val="a"/>
    <w:link w:val="a4"/>
    <w:uiPriority w:val="10"/>
    <w:qFormat/>
    <w:rsid w:val="0080274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802748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802748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a6">
    <w:name w:val="副标题 字符"/>
    <w:basedOn w:val="a0"/>
    <w:link w:val="a5"/>
    <w:uiPriority w:val="11"/>
    <w:rsid w:val="00802748"/>
    <w:rPr>
      <w:rFonts w:asciiTheme="majorHAnsi" w:eastAsiaTheme="majorEastAsia" w:hAnsiTheme="majorHAnsi" w:cstheme="majorBidi"/>
      <w:sz w:val="24"/>
      <w:szCs w:val="24"/>
    </w:rPr>
  </w:style>
  <w:style w:type="paragraph" w:styleId="a7">
    <w:name w:val="Quote"/>
    <w:basedOn w:val="a"/>
    <w:next w:val="a"/>
    <w:link w:val="a8"/>
    <w:uiPriority w:val="29"/>
    <w:qFormat/>
    <w:rsid w:val="00802748"/>
    <w:rPr>
      <w:i/>
    </w:rPr>
  </w:style>
  <w:style w:type="character" w:customStyle="1" w:styleId="a8">
    <w:name w:val="引用 字符"/>
    <w:basedOn w:val="a0"/>
    <w:link w:val="a7"/>
    <w:uiPriority w:val="29"/>
    <w:rsid w:val="00802748"/>
    <w:rPr>
      <w:i/>
      <w:sz w:val="24"/>
      <w:szCs w:val="24"/>
    </w:rPr>
  </w:style>
  <w:style w:type="paragraph" w:styleId="a9">
    <w:name w:val="List Paragraph"/>
    <w:basedOn w:val="a"/>
    <w:uiPriority w:val="34"/>
    <w:qFormat/>
    <w:rsid w:val="008027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2748"/>
    <w:rPr>
      <w:b/>
      <w:i/>
      <w:sz w:val="24"/>
      <w:szCs w:val="24"/>
      <w:u w:val="single"/>
    </w:rPr>
  </w:style>
  <w:style w:type="paragraph" w:styleId="ab">
    <w:name w:val="Intense Quote"/>
    <w:basedOn w:val="a"/>
    <w:next w:val="a"/>
    <w:link w:val="ac"/>
    <w:uiPriority w:val="30"/>
    <w:qFormat/>
    <w:rsid w:val="00802748"/>
    <w:pPr>
      <w:ind w:left="720" w:right="720"/>
    </w:pPr>
    <w:rPr>
      <w:b/>
      <w:i/>
      <w:szCs w:val="22"/>
    </w:rPr>
  </w:style>
  <w:style w:type="character" w:customStyle="1" w:styleId="ac">
    <w:name w:val="明显引用 字符"/>
    <w:basedOn w:val="a0"/>
    <w:link w:val="ab"/>
    <w:uiPriority w:val="30"/>
    <w:rsid w:val="00802748"/>
    <w:rPr>
      <w:b/>
      <w:i/>
      <w:sz w:val="24"/>
    </w:rPr>
  </w:style>
  <w:style w:type="character" w:styleId="ad">
    <w:name w:val="Intense Reference"/>
    <w:basedOn w:val="a0"/>
    <w:uiPriority w:val="32"/>
    <w:qFormat/>
    <w:rsid w:val="00802748"/>
    <w:rPr>
      <w:b/>
      <w:sz w:val="24"/>
      <w:u w:val="single"/>
    </w:rPr>
  </w:style>
  <w:style w:type="paragraph" w:styleId="ae">
    <w:name w:val="header"/>
    <w:basedOn w:val="a"/>
    <w:link w:val="af"/>
    <w:uiPriority w:val="99"/>
    <w:unhideWhenUsed/>
    <w:rsid w:val="0080274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0274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0274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02748"/>
    <w:rPr>
      <w:sz w:val="18"/>
      <w:szCs w:val="18"/>
    </w:rPr>
  </w:style>
  <w:style w:type="character" w:styleId="af2">
    <w:name w:val="Strong"/>
    <w:basedOn w:val="a0"/>
    <w:uiPriority w:val="22"/>
    <w:qFormat/>
    <w:rsid w:val="00802748"/>
    <w:rPr>
      <w:b/>
      <w:bCs/>
    </w:rPr>
  </w:style>
  <w:style w:type="character" w:styleId="af3">
    <w:name w:val="Emphasis"/>
    <w:basedOn w:val="a0"/>
    <w:uiPriority w:val="20"/>
    <w:qFormat/>
    <w:rsid w:val="00802748"/>
    <w:rPr>
      <w:rFonts w:asciiTheme="minorHAnsi" w:hAnsiTheme="minorHAnsi"/>
      <w:b/>
      <w:i/>
      <w:iCs/>
    </w:rPr>
  </w:style>
  <w:style w:type="paragraph" w:styleId="af4">
    <w:name w:val="No Spacing"/>
    <w:basedOn w:val="a"/>
    <w:uiPriority w:val="1"/>
    <w:qFormat/>
    <w:rsid w:val="00802748"/>
    <w:rPr>
      <w:szCs w:val="32"/>
    </w:rPr>
  </w:style>
  <w:style w:type="character" w:styleId="af5">
    <w:name w:val="Subtle Emphasis"/>
    <w:uiPriority w:val="19"/>
    <w:qFormat/>
    <w:rsid w:val="00802748"/>
    <w:rPr>
      <w:i/>
      <w:color w:val="5A5A5A" w:themeColor="text1" w:themeTint="A5"/>
    </w:rPr>
  </w:style>
  <w:style w:type="character" w:styleId="af6">
    <w:name w:val="Subtle Reference"/>
    <w:basedOn w:val="a0"/>
    <w:uiPriority w:val="31"/>
    <w:qFormat/>
    <w:rsid w:val="00802748"/>
    <w:rPr>
      <w:sz w:val="24"/>
      <w:szCs w:val="24"/>
      <w:u w:val="single"/>
    </w:rPr>
  </w:style>
  <w:style w:type="character" w:styleId="af7">
    <w:name w:val="Book Title"/>
    <w:basedOn w:val="a0"/>
    <w:uiPriority w:val="33"/>
    <w:qFormat/>
    <w:rsid w:val="00802748"/>
    <w:rPr>
      <w:rFonts w:asciiTheme="majorHAnsi" w:eastAsiaTheme="majorEastAsia" w:hAnsiTheme="majorHAnsi"/>
      <w:b/>
      <w:i/>
      <w:sz w:val="24"/>
      <w:szCs w:val="24"/>
    </w:rPr>
  </w:style>
  <w:style w:type="paragraph" w:styleId="TOC">
    <w:name w:val="TOC Heading"/>
    <w:basedOn w:val="1"/>
    <w:next w:val="a"/>
    <w:uiPriority w:val="39"/>
    <w:semiHidden/>
    <w:unhideWhenUsed/>
    <w:qFormat/>
    <w:rsid w:val="00802748"/>
    <w:pPr>
      <w:outlineLvl w:val="9"/>
    </w:pPr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guangyao hu</dc:creator>
  <cp:keywords/>
  <dc:description/>
  <cp:lastModifiedBy>guangyao hu</cp:lastModifiedBy>
  <cp:revision>2</cp:revision>
  <dcterms:created xsi:type="dcterms:W3CDTF">2026-02-16T04:05:00Z</dcterms:created>
  <dcterms:modified xsi:type="dcterms:W3CDTF">2026-02-16T04:12:00Z</dcterms:modified>
</cp:coreProperties>
</file>