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7C648" w14:textId="77777777" w:rsidR="006A225B" w:rsidRPr="006A225B" w:rsidRDefault="006A225B" w:rsidP="006A225B">
      <w:pPr>
        <w:spacing w:before="100" w:beforeAutospacing="1" w:after="100" w:afterAutospacing="1" w:line="240" w:lineRule="auto"/>
        <w:rPr>
          <w:rFonts w:ascii="Arial" w:eastAsia="Times New Roman" w:hAnsi="Arial" w:cs="Arial"/>
          <w:color w:val="444444"/>
          <w:sz w:val="21"/>
          <w:szCs w:val="21"/>
        </w:rPr>
      </w:pPr>
      <w:r w:rsidRPr="006A225B">
        <w:rPr>
          <w:rFonts w:ascii="Arial" w:eastAsia="Times New Roman" w:hAnsi="Arial" w:cs="Arial"/>
          <w:color w:val="444444"/>
          <w:sz w:val="21"/>
          <w:szCs w:val="21"/>
        </w:rPr>
        <w:t>Positives:</w:t>
      </w:r>
      <w:r w:rsidRPr="006A225B">
        <w:rPr>
          <w:rFonts w:ascii="Arial" w:eastAsia="Times New Roman" w:hAnsi="Arial" w:cs="Arial"/>
          <w:color w:val="444444"/>
          <w:sz w:val="21"/>
          <w:szCs w:val="21"/>
        </w:rPr>
        <w:br/>
        <w:t xml:space="preserve">•    Thorough analysis of the toothpaste category within </w:t>
      </w:r>
      <w:proofErr w:type="spellStart"/>
      <w:r w:rsidRPr="006A225B">
        <w:rPr>
          <w:rFonts w:ascii="Arial" w:eastAsia="Times New Roman" w:hAnsi="Arial" w:cs="Arial"/>
          <w:color w:val="444444"/>
          <w:sz w:val="21"/>
          <w:szCs w:val="21"/>
        </w:rPr>
        <w:t>Pernalonga</w:t>
      </w:r>
      <w:proofErr w:type="spellEnd"/>
      <w:r w:rsidRPr="006A225B">
        <w:rPr>
          <w:rFonts w:ascii="Arial" w:eastAsia="Times New Roman" w:hAnsi="Arial" w:cs="Arial"/>
          <w:color w:val="444444"/>
          <w:sz w:val="21"/>
          <w:szCs w:val="21"/>
        </w:rPr>
        <w:t>.</w:t>
      </w:r>
      <w:r w:rsidRPr="006A225B">
        <w:rPr>
          <w:rFonts w:ascii="Arial" w:eastAsia="Times New Roman" w:hAnsi="Arial" w:cs="Arial"/>
          <w:color w:val="444444"/>
          <w:sz w:val="21"/>
          <w:szCs w:val="21"/>
        </w:rPr>
        <w:br/>
        <w:t>•    Segmented customers generally and with respect to the toothpaste category identifying Colgate-Loyal customers, Cherry Pickers, etc.</w:t>
      </w:r>
      <w:r w:rsidRPr="006A225B">
        <w:rPr>
          <w:rFonts w:ascii="Arial" w:eastAsia="Times New Roman" w:hAnsi="Arial" w:cs="Arial"/>
          <w:color w:val="444444"/>
          <w:sz w:val="21"/>
          <w:szCs w:val="21"/>
        </w:rPr>
        <w:br/>
        <w:t>•    Identified substitutes; excluded banana as a complement.</w:t>
      </w:r>
      <w:r w:rsidRPr="006A225B">
        <w:rPr>
          <w:rFonts w:ascii="Arial" w:eastAsia="Times New Roman" w:hAnsi="Arial" w:cs="Arial"/>
          <w:color w:val="444444"/>
          <w:sz w:val="21"/>
          <w:szCs w:val="21"/>
        </w:rPr>
        <w:br/>
        <w:t>•    Computed estimated incremental sales from customers expected to switch to Colgate.</w:t>
      </w:r>
      <w:r w:rsidRPr="006A225B">
        <w:rPr>
          <w:rFonts w:ascii="Arial" w:eastAsia="Times New Roman" w:hAnsi="Arial" w:cs="Arial"/>
          <w:color w:val="444444"/>
          <w:sz w:val="21"/>
          <w:szCs w:val="21"/>
        </w:rPr>
        <w:br/>
        <w:t>•    Computed expected probability of customers switching to Colgate with reasonable justification.</w:t>
      </w:r>
      <w:r w:rsidRPr="006A225B">
        <w:rPr>
          <w:rFonts w:ascii="Arial" w:eastAsia="Times New Roman" w:hAnsi="Arial" w:cs="Arial"/>
          <w:color w:val="444444"/>
          <w:sz w:val="21"/>
          <w:szCs w:val="21"/>
        </w:rPr>
        <w:br/>
        <w:t>•    Code is generally well-commented.</w:t>
      </w:r>
      <w:r w:rsidRPr="006A225B">
        <w:rPr>
          <w:rFonts w:ascii="Arial" w:eastAsia="Times New Roman" w:hAnsi="Arial" w:cs="Arial"/>
          <w:color w:val="444444"/>
          <w:sz w:val="21"/>
          <w:szCs w:val="21"/>
        </w:rPr>
        <w:br/>
        <w:t>Improvements:</w:t>
      </w:r>
      <w:r w:rsidRPr="006A225B">
        <w:rPr>
          <w:rFonts w:ascii="Arial" w:eastAsia="Times New Roman" w:hAnsi="Arial" w:cs="Arial"/>
          <w:color w:val="444444"/>
          <w:sz w:val="21"/>
          <w:szCs w:val="21"/>
        </w:rPr>
        <w:br/>
        <w:t xml:space="preserve">•    How does Colgate’s sales share in the toothpaste category at </w:t>
      </w:r>
      <w:proofErr w:type="spellStart"/>
      <w:r w:rsidRPr="006A225B">
        <w:rPr>
          <w:rFonts w:ascii="Arial" w:eastAsia="Times New Roman" w:hAnsi="Arial" w:cs="Arial"/>
          <w:color w:val="444444"/>
          <w:sz w:val="21"/>
          <w:szCs w:val="21"/>
        </w:rPr>
        <w:t>Pernalonga</w:t>
      </w:r>
      <w:proofErr w:type="spellEnd"/>
      <w:r w:rsidRPr="006A225B">
        <w:rPr>
          <w:rFonts w:ascii="Arial" w:eastAsia="Times New Roman" w:hAnsi="Arial" w:cs="Arial"/>
          <w:color w:val="444444"/>
          <w:sz w:val="21"/>
          <w:szCs w:val="21"/>
        </w:rPr>
        <w:t xml:space="preserve"> compare to the overall share in </w:t>
      </w:r>
      <w:proofErr w:type="spellStart"/>
      <w:r w:rsidRPr="006A225B">
        <w:rPr>
          <w:rFonts w:ascii="Arial" w:eastAsia="Times New Roman" w:hAnsi="Arial" w:cs="Arial"/>
          <w:color w:val="444444"/>
          <w:sz w:val="21"/>
          <w:szCs w:val="21"/>
        </w:rPr>
        <w:t>Pernalonga’s</w:t>
      </w:r>
      <w:proofErr w:type="spellEnd"/>
      <w:r w:rsidRPr="006A225B">
        <w:rPr>
          <w:rFonts w:ascii="Arial" w:eastAsia="Times New Roman" w:hAnsi="Arial" w:cs="Arial"/>
          <w:color w:val="444444"/>
          <w:sz w:val="21"/>
          <w:szCs w:val="21"/>
        </w:rPr>
        <w:t xml:space="preserve"> market?</w:t>
      </w:r>
      <w:r w:rsidRPr="006A225B">
        <w:rPr>
          <w:rFonts w:ascii="Arial" w:eastAsia="Times New Roman" w:hAnsi="Arial" w:cs="Arial"/>
          <w:color w:val="444444"/>
          <w:sz w:val="21"/>
          <w:szCs w:val="21"/>
        </w:rPr>
        <w:br/>
        <w:t>•    Profit computation assumes a fix margin (Base - Min) for each transaction which lack justification.</w:t>
      </w:r>
      <w:r w:rsidRPr="006A225B">
        <w:rPr>
          <w:rFonts w:ascii="Arial" w:eastAsia="Times New Roman" w:hAnsi="Arial" w:cs="Arial"/>
          <w:color w:val="444444"/>
          <w:sz w:val="21"/>
          <w:szCs w:val="21"/>
        </w:rPr>
        <w:br/>
        <w:t>•    Unrelated/unnecessary info on products sold in KG units.</w:t>
      </w:r>
      <w:r w:rsidRPr="006A225B">
        <w:rPr>
          <w:rFonts w:ascii="Arial" w:eastAsia="Times New Roman" w:hAnsi="Arial" w:cs="Arial"/>
          <w:color w:val="444444"/>
          <w:sz w:val="21"/>
          <w:szCs w:val="21"/>
        </w:rPr>
        <w:br/>
        <w:t>•    Failed to identify customers who are likely to buy any brand of toothpaste when discounted.</w:t>
      </w:r>
      <w:r w:rsidRPr="006A225B">
        <w:rPr>
          <w:rFonts w:ascii="Arial" w:eastAsia="Times New Roman" w:hAnsi="Arial" w:cs="Arial"/>
          <w:color w:val="444444"/>
          <w:sz w:val="21"/>
          <w:szCs w:val="21"/>
        </w:rPr>
        <w:br/>
        <w:t>•    Should have analyzed and concluded that the “infant” product should be recommended to customers who buy other baby/toddler products.</w:t>
      </w:r>
      <w:r w:rsidRPr="006A225B">
        <w:rPr>
          <w:rFonts w:ascii="Arial" w:eastAsia="Times New Roman" w:hAnsi="Arial" w:cs="Arial"/>
          <w:color w:val="444444"/>
          <w:sz w:val="21"/>
          <w:szCs w:val="21"/>
        </w:rPr>
        <w:br/>
        <w:t>•    Complement product analysis missed the important question of “What other products (e.g., toothbrush, dental floss, mouthwash, etc.) sell when toothpaste (Colgate) is promoted?”.  This is needed to estimate incremental revenue and profits from the other products.</w:t>
      </w:r>
      <w:r w:rsidRPr="006A225B">
        <w:rPr>
          <w:rFonts w:ascii="Arial" w:eastAsia="Times New Roman" w:hAnsi="Arial" w:cs="Arial"/>
          <w:color w:val="444444"/>
          <w:sz w:val="21"/>
          <w:szCs w:val="21"/>
        </w:rPr>
        <w:br/>
        <w:t>•    Water and iced tea as top complements should be scrutinized further like what you did with bananas.</w:t>
      </w:r>
      <w:r w:rsidRPr="006A225B">
        <w:rPr>
          <w:rFonts w:ascii="Arial" w:eastAsia="Times New Roman" w:hAnsi="Arial" w:cs="Arial"/>
          <w:color w:val="444444"/>
          <w:sz w:val="21"/>
          <w:szCs w:val="21"/>
        </w:rPr>
        <w:br/>
        <w:t>•    Did not mention/justify the features (frequency of co-occurrence categories?) used in similarity computation.</w:t>
      </w:r>
      <w:r w:rsidRPr="006A225B">
        <w:rPr>
          <w:rFonts w:ascii="Arial" w:eastAsia="Times New Roman" w:hAnsi="Arial" w:cs="Arial"/>
          <w:color w:val="444444"/>
          <w:sz w:val="21"/>
          <w:szCs w:val="21"/>
        </w:rPr>
        <w:br/>
        <w:t>•    Proposed A/B testing on stores instead of customer groups.  The campaign is personalized, so less to do with stores than customers with similar profiles.</w:t>
      </w:r>
      <w:r w:rsidRPr="006A225B">
        <w:rPr>
          <w:rFonts w:ascii="Arial" w:eastAsia="Times New Roman" w:hAnsi="Arial" w:cs="Arial"/>
          <w:color w:val="444444"/>
          <w:sz w:val="21"/>
          <w:szCs w:val="21"/>
        </w:rPr>
        <w:br/>
        <w:t>•    No justification for the 10% discount rate.</w:t>
      </w:r>
      <w:r w:rsidRPr="006A225B">
        <w:rPr>
          <w:rFonts w:ascii="Arial" w:eastAsia="Times New Roman" w:hAnsi="Arial" w:cs="Arial"/>
          <w:color w:val="444444"/>
          <w:sz w:val="21"/>
          <w:szCs w:val="21"/>
        </w:rPr>
        <w:br/>
        <w:t>•    Identified customers to target (in the code) but not the products to offer each customer.</w:t>
      </w:r>
      <w:r w:rsidRPr="006A225B">
        <w:rPr>
          <w:rFonts w:ascii="Arial" w:eastAsia="Times New Roman" w:hAnsi="Arial" w:cs="Arial"/>
          <w:color w:val="444444"/>
          <w:sz w:val="21"/>
          <w:szCs w:val="21"/>
        </w:rPr>
        <w:br/>
        <w:t>•    Did not consider cost (related to discount offers) of the campaign.</w:t>
      </w:r>
      <w:r w:rsidRPr="006A225B">
        <w:rPr>
          <w:rFonts w:ascii="Arial" w:eastAsia="Times New Roman" w:hAnsi="Arial" w:cs="Arial"/>
          <w:color w:val="444444"/>
          <w:sz w:val="21"/>
          <w:szCs w:val="21"/>
        </w:rPr>
        <w:br/>
        <w:t xml:space="preserve">•    Did not consider the expected net increase/decrease to </w:t>
      </w:r>
      <w:proofErr w:type="spellStart"/>
      <w:r w:rsidRPr="006A225B">
        <w:rPr>
          <w:rFonts w:ascii="Arial" w:eastAsia="Times New Roman" w:hAnsi="Arial" w:cs="Arial"/>
          <w:color w:val="444444"/>
          <w:sz w:val="21"/>
          <w:szCs w:val="21"/>
        </w:rPr>
        <w:t>Pernalonga</w:t>
      </w:r>
      <w:proofErr w:type="spellEnd"/>
      <w:r w:rsidRPr="006A225B">
        <w:rPr>
          <w:rFonts w:ascii="Arial" w:eastAsia="Times New Roman" w:hAnsi="Arial" w:cs="Arial"/>
          <w:color w:val="444444"/>
          <w:sz w:val="21"/>
          <w:szCs w:val="21"/>
        </w:rPr>
        <w:t xml:space="preserve"> sales/profits when targeting customers buying non-Colgate toothpaste.</w:t>
      </w:r>
      <w:r w:rsidRPr="006A225B">
        <w:rPr>
          <w:rFonts w:ascii="Arial" w:eastAsia="Times New Roman" w:hAnsi="Arial" w:cs="Arial"/>
          <w:color w:val="444444"/>
          <w:sz w:val="21"/>
          <w:szCs w:val="21"/>
        </w:rPr>
        <w:br/>
        <w:t>•    Did not compute expected net incremental profits from toothpaste and complement products.</w:t>
      </w:r>
      <w:r w:rsidRPr="006A225B">
        <w:rPr>
          <w:rFonts w:ascii="Arial" w:eastAsia="Times New Roman" w:hAnsi="Arial" w:cs="Arial"/>
          <w:color w:val="444444"/>
          <w:sz w:val="21"/>
          <w:szCs w:val="21"/>
        </w:rPr>
        <w:br/>
        <w:t>•    Computing total quantities and unit prices across brands and products do not make much sense.</w:t>
      </w:r>
      <w:r w:rsidRPr="006A225B">
        <w:rPr>
          <w:rFonts w:ascii="Arial" w:eastAsia="Times New Roman" w:hAnsi="Arial" w:cs="Arial"/>
          <w:color w:val="444444"/>
          <w:sz w:val="21"/>
          <w:szCs w:val="21"/>
        </w:rPr>
        <w:br/>
        <w:t>•    Complements were based on top co-occurrence in transaction rather than support and confidence.</w:t>
      </w:r>
      <w:r w:rsidRPr="006A225B">
        <w:rPr>
          <w:rFonts w:ascii="Arial" w:eastAsia="Times New Roman" w:hAnsi="Arial" w:cs="Arial"/>
          <w:color w:val="444444"/>
          <w:sz w:val="21"/>
          <w:szCs w:val="21"/>
        </w:rPr>
        <w:br/>
        <w:t>•    Improve organization and flow of report, e.g., profit margin was mentioned before definition/assumptions about it were presented.</w:t>
      </w:r>
      <w:r w:rsidRPr="006A225B">
        <w:rPr>
          <w:rFonts w:ascii="Arial" w:eastAsia="Times New Roman" w:hAnsi="Arial" w:cs="Arial"/>
          <w:color w:val="444444"/>
          <w:sz w:val="21"/>
          <w:szCs w:val="21"/>
        </w:rPr>
        <w:br/>
        <w:t>•    There are some typos and grammatical errors in the report.</w:t>
      </w:r>
      <w:r w:rsidRPr="006A225B">
        <w:rPr>
          <w:rFonts w:ascii="Arial" w:eastAsia="Times New Roman" w:hAnsi="Arial" w:cs="Arial"/>
          <w:color w:val="444444"/>
          <w:sz w:val="21"/>
          <w:szCs w:val="21"/>
        </w:rPr>
        <w:br/>
        <w:t>•    </w:t>
      </w:r>
      <w:proofErr w:type="gramStart"/>
      <w:r w:rsidRPr="006A225B">
        <w:rPr>
          <w:rFonts w:ascii="Arial" w:eastAsia="Times New Roman" w:hAnsi="Arial" w:cs="Arial"/>
          <w:color w:val="444444"/>
          <w:sz w:val="21"/>
          <w:szCs w:val="21"/>
        </w:rPr>
        <w:t>Hard-coding</w:t>
      </w:r>
      <w:proofErr w:type="gramEnd"/>
      <w:r w:rsidRPr="006A225B">
        <w:rPr>
          <w:rFonts w:ascii="Arial" w:eastAsia="Times New Roman" w:hAnsi="Arial" w:cs="Arial"/>
          <w:color w:val="444444"/>
          <w:sz w:val="21"/>
          <w:szCs w:val="21"/>
        </w:rPr>
        <w:t xml:space="preserve"> of toothpaste brands and other parameters within the code.</w:t>
      </w:r>
      <w:r w:rsidRPr="006A225B">
        <w:rPr>
          <w:rFonts w:ascii="Arial" w:eastAsia="Times New Roman" w:hAnsi="Arial" w:cs="Arial"/>
          <w:color w:val="444444"/>
          <w:sz w:val="21"/>
          <w:szCs w:val="21"/>
        </w:rPr>
        <w:br/>
        <w:t>•    Comments do not provide justification of computations or chosen methods.</w:t>
      </w:r>
      <w:r w:rsidRPr="006A225B">
        <w:rPr>
          <w:rFonts w:ascii="Arial" w:eastAsia="Times New Roman" w:hAnsi="Arial" w:cs="Arial"/>
          <w:color w:val="444444"/>
          <w:sz w:val="21"/>
          <w:szCs w:val="21"/>
        </w:rPr>
        <w:br/>
        <w:t>Grading:</w:t>
      </w:r>
      <w:r w:rsidRPr="006A225B">
        <w:rPr>
          <w:rFonts w:ascii="Arial" w:eastAsia="Times New Roman" w:hAnsi="Arial" w:cs="Arial"/>
          <w:color w:val="444444"/>
          <w:sz w:val="21"/>
          <w:szCs w:val="21"/>
        </w:rPr>
        <w:br/>
        <w:t>•    Integration of domain knowledge/practicality into solution (17/20%)</w:t>
      </w:r>
      <w:r w:rsidRPr="006A225B">
        <w:rPr>
          <w:rFonts w:ascii="Arial" w:eastAsia="Times New Roman" w:hAnsi="Arial" w:cs="Arial"/>
          <w:color w:val="444444"/>
          <w:sz w:val="21"/>
          <w:szCs w:val="21"/>
        </w:rPr>
        <w:br/>
        <w:t>•    Creativity and mathematically sound application/execution of chosen technique/model (22/25%)</w:t>
      </w:r>
      <w:r w:rsidRPr="006A225B">
        <w:rPr>
          <w:rFonts w:ascii="Arial" w:eastAsia="Times New Roman" w:hAnsi="Arial" w:cs="Arial"/>
          <w:color w:val="444444"/>
          <w:sz w:val="21"/>
          <w:szCs w:val="21"/>
        </w:rPr>
        <w:br/>
        <w:t>•    Robustness and efficiency of solution/code (20/25%)</w:t>
      </w:r>
      <w:r w:rsidRPr="006A225B">
        <w:rPr>
          <w:rFonts w:ascii="Arial" w:eastAsia="Times New Roman" w:hAnsi="Arial" w:cs="Arial"/>
          <w:color w:val="444444"/>
          <w:sz w:val="21"/>
          <w:szCs w:val="21"/>
        </w:rPr>
        <w:br/>
        <w:t>•    Report and presentation flow (16/20%)</w:t>
      </w:r>
      <w:r w:rsidRPr="006A225B">
        <w:rPr>
          <w:rFonts w:ascii="Arial" w:eastAsia="Times New Roman" w:hAnsi="Arial" w:cs="Arial"/>
          <w:color w:val="444444"/>
          <w:sz w:val="21"/>
          <w:szCs w:val="21"/>
        </w:rPr>
        <w:br/>
        <w:t>•    Bonus (2/10%)</w:t>
      </w:r>
    </w:p>
    <w:p w14:paraId="4D54A1A8" w14:textId="77777777" w:rsidR="006C5808" w:rsidRDefault="006C5808"/>
    <w:sectPr w:rsidR="006C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00"/>
    <w:rsid w:val="006A225B"/>
    <w:rsid w:val="006C5808"/>
    <w:rsid w:val="00C9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6384"/>
  <w15:chartTrackingRefBased/>
  <w15:docId w15:val="{C0130252-BF20-45C5-A9D7-7FCF2E85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60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 Wang</dc:creator>
  <cp:keywords/>
  <dc:description/>
  <cp:lastModifiedBy>Qiyu Wang</cp:lastModifiedBy>
  <cp:revision>2</cp:revision>
  <dcterms:created xsi:type="dcterms:W3CDTF">2021-03-10T02:54:00Z</dcterms:created>
  <dcterms:modified xsi:type="dcterms:W3CDTF">2021-03-10T02:54:00Z</dcterms:modified>
</cp:coreProperties>
</file>