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37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firstLine="0"/>
        <w:jc w:val="center"/>
        <w:rPr>
          <w:rFonts w:ascii="黑体" w:hAnsi="宋体" w:eastAsia="黑体" w:cs="黑体"/>
          <w:b/>
          <w:bCs/>
          <w:i w:val="0"/>
          <w:iCs w:val="0"/>
          <w:caps w:val="0"/>
          <w:color w:val="333333"/>
          <w:spacing w:val="0"/>
          <w:sz w:val="27"/>
          <w:szCs w:val="27"/>
        </w:rPr>
      </w:pPr>
      <w:r>
        <w:rPr>
          <w:rFonts w:hint="eastAsia" w:ascii="黑体" w:hAnsi="宋体" w:eastAsia="黑体" w:cs="黑体"/>
          <w:b/>
          <w:bCs/>
          <w:i w:val="0"/>
          <w:iCs w:val="0"/>
          <w:caps w:val="0"/>
          <w:color w:val="333333"/>
          <w:spacing w:val="0"/>
          <w:sz w:val="27"/>
          <w:szCs w:val="27"/>
          <w:bdr w:val="none" w:color="auto" w:sz="0" w:space="0"/>
        </w:rPr>
        <w:t>魏县退役军人事务局权责事项办事指南和流程图（22）</w:t>
      </w:r>
    </w:p>
    <w:p w14:paraId="1A350EB9">
      <w:pPr>
        <w:pStyle w:val="3"/>
        <w:keepNext w:val="0"/>
        <w:keepLines w:val="0"/>
        <w:widowControl/>
        <w:suppressLineNumbers w:val="0"/>
        <w:pBdr>
          <w:top w:val="none" w:color="auto" w:sz="0" w:space="0"/>
          <w:left w:val="none" w:color="auto" w:sz="0" w:space="0"/>
          <w:bottom w:val="single" w:color="EFEFEF" w:sz="4" w:space="0"/>
          <w:right w:val="none" w:color="auto" w:sz="0" w:space="0"/>
        </w:pBdr>
        <w:spacing w:before="0" w:beforeAutospacing="0" w:after="0" w:afterAutospacing="0" w:line="240" w:lineRule="atLeast"/>
        <w:ind w:left="0" w:right="0" w:firstLine="0"/>
        <w:jc w:val="center"/>
        <w:rPr>
          <w:rFonts w:hint="eastAsia" w:ascii="宋体" w:hAnsi="宋体" w:eastAsia="宋体" w:cs="宋体"/>
          <w:b w:val="0"/>
          <w:bCs w:val="0"/>
          <w:i w:val="0"/>
          <w:iCs w:val="0"/>
          <w:caps w:val="0"/>
          <w:color w:val="666666"/>
          <w:spacing w:val="0"/>
          <w:sz w:val="18"/>
          <w:szCs w:val="18"/>
        </w:rPr>
      </w:pPr>
      <w:r>
        <w:rPr>
          <w:rFonts w:hint="eastAsia" w:ascii="宋体" w:hAnsi="宋体" w:eastAsia="宋体" w:cs="宋体"/>
          <w:b w:val="0"/>
          <w:bCs w:val="0"/>
          <w:i w:val="0"/>
          <w:iCs w:val="0"/>
          <w:caps w:val="0"/>
          <w:color w:val="666666"/>
          <w:spacing w:val="0"/>
          <w:sz w:val="18"/>
          <w:szCs w:val="18"/>
          <w:bdr w:val="none" w:color="auto" w:sz="0" w:space="0"/>
        </w:rPr>
        <w:t>发布时间： </w:t>
      </w:r>
      <w:r>
        <w:rPr>
          <w:rFonts w:hint="eastAsia" w:ascii="宋体" w:hAnsi="宋体" w:eastAsia="宋体" w:cs="宋体"/>
          <w:b w:val="0"/>
          <w:bCs w:val="0"/>
          <w:i w:val="0"/>
          <w:iCs w:val="0"/>
          <w:caps w:val="0"/>
          <w:color w:val="333333"/>
          <w:spacing w:val="0"/>
          <w:sz w:val="18"/>
          <w:szCs w:val="18"/>
          <w:u w:val="none"/>
          <w:bdr w:val="none" w:color="auto" w:sz="0" w:space="0"/>
        </w:rPr>
        <w:fldChar w:fldCharType="begin"/>
      </w:r>
      <w:r>
        <w:rPr>
          <w:rFonts w:hint="eastAsia" w:ascii="宋体" w:hAnsi="宋体" w:eastAsia="宋体" w:cs="宋体"/>
          <w:b w:val="0"/>
          <w:bCs w:val="0"/>
          <w:i w:val="0"/>
          <w:iCs w:val="0"/>
          <w:caps w:val="0"/>
          <w:color w:val="333333"/>
          <w:spacing w:val="0"/>
          <w:sz w:val="18"/>
          <w:szCs w:val="18"/>
          <w:u w:val="none"/>
          <w:bdr w:val="none" w:color="auto" w:sz="0" w:space="0"/>
        </w:rPr>
        <w:instrText xml:space="preserve"> HYPERLINK "https://hd.hebjgbz.gov.cn/hdweixian/xzspzdgg/101628081705191.html" \o "魏县退役军人事务局权责事项办事指南和流程图（22）" </w:instrText>
      </w:r>
      <w:r>
        <w:rPr>
          <w:rFonts w:hint="eastAsia" w:ascii="宋体" w:hAnsi="宋体" w:eastAsia="宋体" w:cs="宋体"/>
          <w:b w:val="0"/>
          <w:bCs w:val="0"/>
          <w:i w:val="0"/>
          <w:iCs w:val="0"/>
          <w:caps w:val="0"/>
          <w:color w:val="333333"/>
          <w:spacing w:val="0"/>
          <w:sz w:val="18"/>
          <w:szCs w:val="18"/>
          <w:u w:val="none"/>
          <w:bdr w:val="none" w:color="auto" w:sz="0" w:space="0"/>
        </w:rPr>
        <w:fldChar w:fldCharType="separate"/>
      </w:r>
      <w:r>
        <w:rPr>
          <w:rStyle w:val="7"/>
          <w:rFonts w:hint="eastAsia" w:ascii="宋体" w:hAnsi="宋体" w:eastAsia="宋体" w:cs="宋体"/>
          <w:b w:val="0"/>
          <w:bCs w:val="0"/>
          <w:i w:val="0"/>
          <w:iCs w:val="0"/>
          <w:caps w:val="0"/>
          <w:color w:val="333333"/>
          <w:spacing w:val="0"/>
          <w:sz w:val="18"/>
          <w:szCs w:val="18"/>
          <w:u w:val="none"/>
          <w:bdr w:val="none" w:color="auto" w:sz="0" w:space="0"/>
        </w:rPr>
        <w:t>2021-12-17</w:t>
      </w:r>
      <w:r>
        <w:rPr>
          <w:rFonts w:hint="eastAsia" w:ascii="宋体" w:hAnsi="宋体" w:eastAsia="宋体" w:cs="宋体"/>
          <w:b w:val="0"/>
          <w:bCs w:val="0"/>
          <w:i w:val="0"/>
          <w:iCs w:val="0"/>
          <w:caps w:val="0"/>
          <w:color w:val="333333"/>
          <w:spacing w:val="0"/>
          <w:sz w:val="18"/>
          <w:szCs w:val="18"/>
          <w:u w:val="none"/>
          <w:bdr w:val="none" w:color="auto" w:sz="0" w:space="0"/>
        </w:rPr>
        <w:fldChar w:fldCharType="end"/>
      </w:r>
      <w:r>
        <w:rPr>
          <w:rFonts w:hint="eastAsia" w:ascii="宋体" w:hAnsi="宋体" w:eastAsia="宋体" w:cs="宋体"/>
          <w:b w:val="0"/>
          <w:bCs w:val="0"/>
          <w:i w:val="0"/>
          <w:iCs w:val="0"/>
          <w:caps w:val="0"/>
          <w:color w:val="666666"/>
          <w:spacing w:val="0"/>
          <w:sz w:val="18"/>
          <w:szCs w:val="18"/>
          <w:bdr w:val="none" w:color="auto" w:sz="0" w:space="0"/>
        </w:rPr>
        <w:t> 点击次数：1337 </w:t>
      </w:r>
    </w:p>
    <w:p w14:paraId="7A112633">
      <w:pPr>
        <w:keepNext w:val="0"/>
        <w:keepLines w:val="0"/>
        <w:widowControl/>
        <w:suppressLineNumbers w:val="0"/>
        <w:pBdr>
          <w:top w:val="none" w:color="auto" w:sz="0" w:space="0"/>
          <w:left w:val="none" w:color="auto" w:sz="0" w:space="0"/>
          <w:bottom w:val="single" w:color="EFEFEF" w:sz="4" w:space="0"/>
          <w:right w:val="none" w:color="auto" w:sz="0" w:space="0"/>
        </w:pBdr>
        <w:spacing w:before="0" w:beforeAutospacing="0" w:after="0" w:afterAutospacing="0" w:line="240" w:lineRule="atLeast"/>
        <w:ind w:left="0" w:right="0" w:firstLine="0"/>
        <w:jc w:val="center"/>
        <w:rPr>
          <w:rFonts w:hint="eastAsia" w:ascii="宋体" w:hAnsi="宋体" w:eastAsia="宋体" w:cs="宋体"/>
          <w:b w:val="0"/>
          <w:bCs w:val="0"/>
          <w:i w:val="0"/>
          <w:iCs w:val="0"/>
          <w:caps w:val="0"/>
          <w:color w:val="666666"/>
          <w:spacing w:val="0"/>
          <w:sz w:val="18"/>
          <w:szCs w:val="18"/>
        </w:rPr>
      </w:pPr>
      <w:r>
        <w:rPr>
          <w:rFonts w:hint="eastAsia" w:ascii="宋体" w:hAnsi="宋体" w:eastAsia="宋体" w:cs="宋体"/>
          <w:b w:val="0"/>
          <w:bCs w:val="0"/>
          <w:i w:val="0"/>
          <w:iCs w:val="0"/>
          <w:caps w:val="0"/>
          <w:color w:val="666666"/>
          <w:spacing w:val="0"/>
          <w:kern w:val="0"/>
          <w:sz w:val="18"/>
          <w:szCs w:val="18"/>
          <w:bdr w:val="none" w:color="auto" w:sz="0" w:space="0"/>
          <w:lang w:val="en-US" w:eastAsia="zh-CN" w:bidi="ar"/>
        </w:rPr>
        <w:t>【字体： </w: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begin"/>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instrText xml:space="preserve"> HYPERLINK "javascript:;" \o "大" </w:instrTex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separate"/>
      </w:r>
      <w:r>
        <w:rPr>
          <w:rStyle w:val="7"/>
          <w:rFonts w:hint="eastAsia" w:ascii="宋体" w:hAnsi="宋体" w:eastAsia="宋体" w:cs="宋体"/>
          <w:b w:val="0"/>
          <w:bCs w:val="0"/>
          <w:i w:val="0"/>
          <w:iCs w:val="0"/>
          <w:caps w:val="0"/>
          <w:color w:val="333333"/>
          <w:spacing w:val="0"/>
          <w:sz w:val="18"/>
          <w:szCs w:val="18"/>
          <w:u w:val="none"/>
          <w:bdr w:val="none" w:color="auto" w:sz="0" w:space="0"/>
        </w:rPr>
        <w:t>大 </w: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end"/>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begin"/>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instrText xml:space="preserve"> HYPERLINK "javascript:;" \o "中" </w:instrTex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separate"/>
      </w:r>
      <w:r>
        <w:rPr>
          <w:rStyle w:val="7"/>
          <w:rFonts w:hint="eastAsia" w:ascii="宋体" w:hAnsi="宋体" w:eastAsia="宋体" w:cs="宋体"/>
          <w:b w:val="0"/>
          <w:bCs w:val="0"/>
          <w:i w:val="0"/>
          <w:iCs w:val="0"/>
          <w:caps w:val="0"/>
          <w:color w:val="333333"/>
          <w:spacing w:val="0"/>
          <w:sz w:val="18"/>
          <w:szCs w:val="18"/>
          <w:u w:val="none"/>
          <w:bdr w:val="none" w:color="auto" w:sz="0" w:space="0"/>
        </w:rPr>
        <w:t>中 </w: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end"/>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begin"/>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instrText xml:space="preserve"> HYPERLINK "javascript:;" \o "小" </w:instrTex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separate"/>
      </w:r>
      <w:r>
        <w:rPr>
          <w:rStyle w:val="7"/>
          <w:rFonts w:hint="eastAsia" w:ascii="宋体" w:hAnsi="宋体" w:eastAsia="宋体" w:cs="宋体"/>
          <w:b w:val="0"/>
          <w:bCs w:val="0"/>
          <w:i w:val="0"/>
          <w:iCs w:val="0"/>
          <w:caps w:val="0"/>
          <w:color w:val="333333"/>
          <w:spacing w:val="0"/>
          <w:sz w:val="18"/>
          <w:szCs w:val="18"/>
          <w:u w:val="none"/>
          <w:bdr w:val="none" w:color="auto" w:sz="0" w:space="0"/>
        </w:rPr>
        <w:t>小 </w:t>
      </w:r>
      <w:r>
        <w:rPr>
          <w:rFonts w:hint="eastAsia" w:ascii="宋体" w:hAnsi="宋体" w:eastAsia="宋体" w:cs="宋体"/>
          <w:b w:val="0"/>
          <w:bCs w:val="0"/>
          <w:i w:val="0"/>
          <w:iCs w:val="0"/>
          <w:caps w:val="0"/>
          <w:color w:val="333333"/>
          <w:spacing w:val="0"/>
          <w:kern w:val="0"/>
          <w:sz w:val="18"/>
          <w:szCs w:val="18"/>
          <w:u w:val="none"/>
          <w:bdr w:val="none" w:color="auto" w:sz="0" w:space="0"/>
          <w:lang w:val="en-US" w:eastAsia="zh-CN" w:bidi="ar"/>
        </w:rPr>
        <w:fldChar w:fldCharType="end"/>
      </w:r>
      <w:r>
        <w:rPr>
          <w:rFonts w:hint="eastAsia" w:ascii="宋体" w:hAnsi="宋体" w:eastAsia="宋体" w:cs="宋体"/>
          <w:b w:val="0"/>
          <w:bCs w:val="0"/>
          <w:i w:val="0"/>
          <w:iCs w:val="0"/>
          <w:caps w:val="0"/>
          <w:color w:val="666666"/>
          <w:spacing w:val="0"/>
          <w:kern w:val="0"/>
          <w:sz w:val="18"/>
          <w:szCs w:val="18"/>
          <w:bdr w:val="none" w:color="auto" w:sz="0" w:space="0"/>
          <w:lang w:val="en-US" w:eastAsia="zh-CN" w:bidi="ar"/>
        </w:rPr>
        <w:t>】</w:t>
      </w:r>
    </w:p>
    <w:p w14:paraId="2BFA2C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ascii="Calibri" w:hAnsi="Calibri" w:cs="Calibri"/>
          <w:sz w:val="21"/>
          <w:szCs w:val="21"/>
        </w:rPr>
      </w:pPr>
      <w:r>
        <w:rPr>
          <w:rFonts w:hint="eastAsia" w:ascii="宋体" w:hAnsi="宋体" w:eastAsia="宋体" w:cs="宋体"/>
          <w:i w:val="0"/>
          <w:iCs w:val="0"/>
          <w:caps w:val="0"/>
          <w:color w:val="333333"/>
          <w:spacing w:val="0"/>
          <w:sz w:val="44"/>
          <w:szCs w:val="44"/>
          <w:bdr w:val="none" w:color="auto" w:sz="0" w:space="0"/>
        </w:rPr>
        <w:t>易地安置退役士兵、纳入政府安排工作范围退役义务兵身份认定复核事项服务指南</w:t>
      </w:r>
    </w:p>
    <w:p w14:paraId="3B0EF2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eastAsia" w:ascii="宋体" w:hAnsi="宋体" w:eastAsia="宋体" w:cs="宋体"/>
          <w:i w:val="0"/>
          <w:iCs w:val="0"/>
          <w:caps w:val="0"/>
          <w:color w:val="333333"/>
          <w:spacing w:val="0"/>
          <w:sz w:val="44"/>
          <w:szCs w:val="44"/>
          <w:bdr w:val="none" w:color="auto" w:sz="0" w:space="0"/>
        </w:rPr>
        <w:t> </w:t>
      </w:r>
    </w:p>
    <w:p w14:paraId="45EA86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一、事项名称</w:t>
      </w:r>
    </w:p>
    <w:p w14:paraId="4E0969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ascii="仿宋" w:hAnsi="仿宋" w:eastAsia="仿宋" w:cs="仿宋"/>
          <w:i w:val="0"/>
          <w:iCs w:val="0"/>
          <w:caps w:val="0"/>
          <w:color w:val="333333"/>
          <w:spacing w:val="0"/>
          <w:sz w:val="32"/>
          <w:szCs w:val="32"/>
          <w:bdr w:val="none" w:color="auto" w:sz="0" w:space="0"/>
        </w:rPr>
        <w:t>易地安置退役士兵、纳入政府安排工作范围退役义务兵身份认定</w:t>
      </w:r>
    </w:p>
    <w:p w14:paraId="3BA4D1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二、事项类别</w:t>
      </w:r>
    </w:p>
    <w:p w14:paraId="0F3248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行政确认</w:t>
      </w:r>
    </w:p>
    <w:p w14:paraId="209EE7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三、服务对象</w:t>
      </w:r>
    </w:p>
    <w:p w14:paraId="19E54B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易地安置退役士兵、纳入政府安排工作范围退役义务兵</w:t>
      </w:r>
    </w:p>
    <w:p w14:paraId="1D30C1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四、办理依据</w:t>
      </w:r>
    </w:p>
    <w:p w14:paraId="0E3DD7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638" w:right="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法律法规名称：《退役士兵安置条例》</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依据文号：第608号</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条款号：第十一条</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退役士兵有下列情形之一的，可以易地安置：（一）服现役期间父母户口所在地变更的，可以在父母现户口所在地安置；（二）符合军队有关现役士兵结婚规定且结婚满2年的，可以在配偶或者配偶父母户口所在地安置；（三）因其他特殊情况，由部队师（旅）级单位出具证明，经省级以上人民政府退役士兵安置工作主管部门批准易地安置的。易地安置的退役士兵享受与安置地退役士兵同等安置待遇。</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法律法规名称：《关于印发&lt;退役士兵档案移交审核工作规程（试行）&gt;的通知》</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依据文号：参务〔2013〕360号</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法律法规名称：退役士兵安置条例</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依据文号：第608号</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条款号：第二十九号</w:t>
      </w:r>
      <w:r>
        <w:rPr>
          <w:rFonts w:hint="eastAsia" w:ascii="仿宋" w:hAnsi="仿宋" w:eastAsia="仿宋" w:cs="仿宋"/>
          <w:i w:val="0"/>
          <w:iCs w:val="0"/>
          <w:caps w:val="0"/>
          <w:color w:val="333333"/>
          <w:spacing w:val="0"/>
          <w:sz w:val="32"/>
          <w:szCs w:val="32"/>
          <w:bdr w:val="none" w:color="auto" w:sz="0" w:space="0"/>
        </w:rPr>
        <w:br w:type="textWrapping"/>
      </w:r>
      <w:r>
        <w:rPr>
          <w:rFonts w:hint="eastAsia" w:ascii="仿宋" w:hAnsi="仿宋" w:eastAsia="仿宋" w:cs="仿宋"/>
          <w:i w:val="0"/>
          <w:iCs w:val="0"/>
          <w:caps w:val="0"/>
          <w:color w:val="333333"/>
          <w:spacing w:val="0"/>
          <w:sz w:val="32"/>
          <w:szCs w:val="32"/>
          <w:bdr w:val="none" w:color="auto" w:sz="0" w:space="0"/>
        </w:rPr>
        <w:t>退役士兵符合下列条件之一的，由人民政府安排工作：（一）士官服现役满12年的；（二）服现役期间平时荣获二等功以上奖励或者战时荣获三等功以上奖励的；（三）因战致残被评定为5级至8级残疾等级的；（四）是烈士子女的。符合前款规定条件的退役士兵在艰苦地区和特殊岗位服现役的，优先安排工作；因精神障碍基本丧失工作能力的，予以妥善安置。符合安排工作条件的退役士兵，退役时自愿选择自主就业的，依照本条例第三章第一节的规定办理</w:t>
      </w:r>
    </w:p>
    <w:p w14:paraId="5A09D3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五、提供材料</w:t>
      </w:r>
    </w:p>
    <w:p w14:paraId="0C7C50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身份证、退伍证及复印件、行政介绍信、配偶或父母或配偶父母的户籍证明</w:t>
      </w:r>
    </w:p>
    <w:p w14:paraId="1016B7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六、办理程序</w:t>
      </w:r>
    </w:p>
    <w:p w14:paraId="6788F2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凡符合条件的人员，到退役军人事务局移交安置股进行报到，经审核，确认无误后，县退役军人事务局移交安置股对退役士兵档案进行审核，确认无误后报请主管局长审核。主管局长审核后，报请局长审批，批准后予以发放。</w:t>
      </w:r>
    </w:p>
    <w:p w14:paraId="07939E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七、办理时限</w:t>
      </w:r>
    </w:p>
    <w:p w14:paraId="040672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法定时限：</w:t>
      </w:r>
    </w:p>
    <w:p w14:paraId="7B9F95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承诺时限：每年6月份、9月、12月</w:t>
      </w:r>
    </w:p>
    <w:p w14:paraId="0A5150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八、收费标准</w:t>
      </w:r>
    </w:p>
    <w:p w14:paraId="5E0489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无</w:t>
      </w:r>
    </w:p>
    <w:p w14:paraId="66432C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640"/>
        <w:jc w:val="left"/>
        <w:rPr>
          <w:rFonts w:hint="default" w:ascii="Calibri" w:hAnsi="Calibri" w:cs="Calibri"/>
          <w:sz w:val="21"/>
          <w:szCs w:val="21"/>
        </w:rPr>
      </w:pPr>
      <w:r>
        <w:rPr>
          <w:rFonts w:hint="eastAsia" w:ascii="黑体" w:hAnsi="宋体" w:eastAsia="黑体" w:cs="黑体"/>
          <w:i w:val="0"/>
          <w:iCs w:val="0"/>
          <w:caps w:val="0"/>
          <w:color w:val="333333"/>
          <w:spacing w:val="0"/>
          <w:sz w:val="32"/>
          <w:szCs w:val="32"/>
          <w:bdr w:val="none" w:color="auto" w:sz="0" w:space="0"/>
        </w:rPr>
        <w:t>九、流程图</w:t>
      </w:r>
    </w:p>
    <w:p w14:paraId="510CCF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 </w:t>
      </w:r>
    </w:p>
    <w:tbl>
      <w:tblPr>
        <w:tblW w:w="8220" w:type="dxa"/>
        <w:tblInd w:w="25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8220"/>
      </w:tblGrid>
      <w:tr w14:paraId="2FB219B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15" w:hRule="atLeast"/>
        </w:trPr>
        <w:tc>
          <w:tcPr>
            <w:tcW w:w="822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14:paraId="071322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eastAsia" w:ascii="仿宋" w:hAnsi="仿宋" w:eastAsia="仿宋" w:cs="仿宋"/>
                <w:sz w:val="28"/>
                <w:szCs w:val="28"/>
                <w:bdr w:val="none" w:color="auto" w:sz="0" w:space="0"/>
              </w:rPr>
              <w:t>带个人身份证、退伍证、行政介绍信、所需安置方的配偶、父母或配偶父母的户籍证明到移交安置股进行报到</w:t>
            </w:r>
          </w:p>
        </w:tc>
      </w:tr>
    </w:tbl>
    <w:p w14:paraId="43801F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ascii="Calibri" w:hAnsi="Calibri" w:cs="Calibri"/>
          <w:sz w:val="21"/>
          <w:szCs w:val="21"/>
        </w:rPr>
      </w:pPr>
      <w:r>
        <w:rPr>
          <w:rFonts w:hint="default" w:ascii="Calibri" w:hAnsi="Calibri" w:eastAsia="宋体" w:cs="Calibri"/>
          <w:i w:val="0"/>
          <w:iCs w:val="0"/>
          <w:caps w:val="0"/>
          <w:color w:val="333333"/>
          <w:spacing w:val="0"/>
          <w:sz w:val="21"/>
          <w:szCs w:val="21"/>
        </w:rPr>
        <w:drawing>
          <wp:inline distT="0" distB="0" distL="114300" distR="114300">
            <wp:extent cx="114300" cy="323850"/>
            <wp:effectExtent l="0" t="0" r="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14300" cy="323850"/>
                    </a:xfrm>
                    <a:prstGeom prst="rect">
                      <a:avLst/>
                    </a:prstGeom>
                    <a:noFill/>
                    <a:ln w="9525">
                      <a:noFill/>
                    </a:ln>
                  </pic:spPr>
                </pic:pic>
              </a:graphicData>
            </a:graphic>
          </wp:inline>
        </w:drawing>
      </w:r>
    </w:p>
    <w:tbl>
      <w:tblPr>
        <w:tblW w:w="8220" w:type="dxa"/>
        <w:tblInd w:w="25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8220"/>
      </w:tblGrid>
      <w:tr w14:paraId="5349398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1629" w:hRule="atLeast"/>
        </w:trPr>
        <w:tc>
          <w:tcPr>
            <w:tcW w:w="822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14:paraId="5D899C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eastAsia" w:ascii="仿宋" w:hAnsi="仿宋" w:eastAsia="仿宋" w:cs="仿宋"/>
                <w:sz w:val="28"/>
                <w:szCs w:val="28"/>
                <w:bdr w:val="none" w:color="auto" w:sz="0" w:space="0"/>
              </w:rPr>
              <w:t>县退役军人事务局移交安置股对其个人的档案进行审核，确认无误后报请主管局长审核</w:t>
            </w:r>
          </w:p>
        </w:tc>
      </w:tr>
    </w:tbl>
    <w:p w14:paraId="14E91E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default" w:ascii="Calibri" w:hAnsi="Calibri" w:eastAsia="宋体" w:cs="Calibri"/>
          <w:i w:val="0"/>
          <w:iCs w:val="0"/>
          <w:caps w:val="0"/>
          <w:color w:val="333333"/>
          <w:spacing w:val="0"/>
          <w:sz w:val="21"/>
          <w:szCs w:val="21"/>
        </w:rPr>
        <w:drawing>
          <wp:inline distT="0" distB="0" distL="114300" distR="114300">
            <wp:extent cx="114300" cy="3333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14300" cy="333375"/>
                    </a:xfrm>
                    <a:prstGeom prst="rect">
                      <a:avLst/>
                    </a:prstGeom>
                    <a:noFill/>
                    <a:ln w="9525">
                      <a:noFill/>
                    </a:ln>
                  </pic:spPr>
                </pic:pic>
              </a:graphicData>
            </a:graphic>
          </wp:inline>
        </w:drawing>
      </w:r>
    </w:p>
    <w:tbl>
      <w:tblPr>
        <w:tblW w:w="8220" w:type="dxa"/>
        <w:tblInd w:w="25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8220"/>
      </w:tblGrid>
      <w:tr w14:paraId="196B20E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1629" w:hRule="atLeast"/>
        </w:trPr>
        <w:tc>
          <w:tcPr>
            <w:tcW w:w="822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14:paraId="41B6EF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eastAsia" w:ascii="仿宋" w:hAnsi="仿宋" w:eastAsia="仿宋" w:cs="仿宋"/>
                <w:sz w:val="28"/>
                <w:szCs w:val="28"/>
                <w:bdr w:val="none" w:color="auto" w:sz="0" w:space="0"/>
              </w:rPr>
              <w:t> </w:t>
            </w:r>
          </w:p>
          <w:p w14:paraId="3EF733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eastAsia" w:ascii="仿宋" w:hAnsi="仿宋" w:eastAsia="仿宋" w:cs="仿宋"/>
                <w:sz w:val="28"/>
                <w:szCs w:val="28"/>
                <w:bdr w:val="none" w:color="auto" w:sz="0" w:space="0"/>
              </w:rPr>
              <w:t>主管局长审核后，报请局长审批，批准后办理落户及相关待遇落实，易地安置的退役士兵享受与安置地退役士兵同等安置待遇。</w:t>
            </w:r>
          </w:p>
        </w:tc>
      </w:tr>
    </w:tbl>
    <w:p w14:paraId="6B0EE7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rFonts w:hint="default" w:ascii="Calibri" w:hAnsi="Calibri" w:cs="Calibri"/>
          <w:sz w:val="21"/>
          <w:szCs w:val="21"/>
        </w:rPr>
      </w:pPr>
      <w:r>
        <w:rPr>
          <w:rFonts w:hint="default" w:ascii="Calibri" w:hAnsi="Calibri" w:eastAsia="宋体" w:cs="Calibri"/>
          <w:i w:val="0"/>
          <w:iCs w:val="0"/>
          <w:caps w:val="0"/>
          <w:color w:val="333333"/>
          <w:spacing w:val="0"/>
          <w:sz w:val="21"/>
          <w:szCs w:val="21"/>
          <w:bdr w:val="none" w:color="auto" w:sz="0" w:space="0"/>
        </w:rPr>
        <w:t> </w:t>
      </w:r>
    </w:p>
    <w:p w14:paraId="344D44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left"/>
        <w:rPr>
          <w:rFonts w:hint="default" w:ascii="Calibri" w:hAnsi="Calibri" w:cs="Calibri"/>
          <w:sz w:val="21"/>
          <w:szCs w:val="21"/>
        </w:rPr>
      </w:pPr>
      <w:r>
        <w:rPr>
          <w:rFonts w:hint="eastAsia" w:ascii="仿宋" w:hAnsi="仿宋" w:eastAsia="仿宋" w:cs="仿宋"/>
          <w:i w:val="0"/>
          <w:iCs w:val="0"/>
          <w:caps w:val="0"/>
          <w:color w:val="333333"/>
          <w:spacing w:val="0"/>
          <w:sz w:val="32"/>
          <w:szCs w:val="32"/>
          <w:bdr w:val="none" w:color="auto" w:sz="0" w:space="0"/>
        </w:rPr>
        <w:t> </w:t>
      </w:r>
    </w:p>
    <w:p w14:paraId="1C87C973">
      <w:pPr>
        <w:keepNext w:val="0"/>
        <w:keepLines w:val="0"/>
        <w:widowControl/>
        <w:suppressLineNumbers w:val="0"/>
        <w:pBdr>
          <w:top w:val="none" w:color="auto" w:sz="0" w:space="0"/>
          <w:bottom w:val="single" w:color="EFEFEF" w:sz="4" w:space="0"/>
        </w:pBdr>
        <w:spacing w:after="100" w:afterAutospacing="0" w:line="240" w:lineRule="atLeast"/>
        <w:ind w:left="200" w:right="200" w:firstLine="0"/>
        <w:jc w:val="center"/>
        <w:rPr>
          <w:rFonts w:hint="eastAsia" w:ascii="宋体" w:hAnsi="宋体" w:eastAsia="宋体" w:cs="宋体"/>
          <w:i w:val="0"/>
          <w:iCs w:val="0"/>
          <w:caps w:val="0"/>
          <w:color w:val="666666"/>
          <w:spacing w:val="0"/>
          <w:sz w:val="18"/>
          <w:szCs w:val="18"/>
        </w:rPr>
      </w:pPr>
      <w:r>
        <w:rPr>
          <w:rFonts w:hint="eastAsia" w:ascii="宋体" w:hAnsi="宋体" w:eastAsia="宋体" w:cs="宋体"/>
          <w:i w:val="0"/>
          <w:iCs w:val="0"/>
          <w:caps w:val="0"/>
          <w:color w:val="666666"/>
          <w:spacing w:val="0"/>
          <w:kern w:val="0"/>
          <w:sz w:val="18"/>
          <w:szCs w:val="18"/>
          <w:lang w:val="en-US" w:eastAsia="zh-CN" w:bidi="ar"/>
        </w:rPr>
        <w:t>来源：魏县退役军人事务局</w:t>
      </w:r>
    </w:p>
    <w:p w14:paraId="2266A3B7">
      <w:pPr>
        <w:keepNext w:val="0"/>
        <w:keepLines w:val="0"/>
        <w:widowControl/>
        <w:suppressLineNumbers w:val="0"/>
        <w:pBdr>
          <w:top w:val="none" w:color="auto" w:sz="0" w:space="0"/>
          <w:bottom w:val="single" w:color="EFEFEF" w:sz="4" w:space="0"/>
        </w:pBdr>
        <w:spacing w:after="100" w:afterAutospacing="0" w:line="240" w:lineRule="atLeast"/>
        <w:ind w:left="200" w:right="200" w:firstLine="0"/>
        <w:jc w:val="center"/>
        <w:rPr>
          <w:rFonts w:hint="eastAsia" w:ascii="宋体" w:hAnsi="宋体" w:eastAsia="宋体" w:cs="宋体"/>
          <w:i w:val="0"/>
          <w:iCs w:val="0"/>
          <w:caps w:val="0"/>
          <w:color w:val="666666"/>
          <w:spacing w:val="0"/>
          <w:sz w:val="18"/>
          <w:szCs w:val="18"/>
        </w:rPr>
      </w:pPr>
      <w:r>
        <w:rPr>
          <w:rFonts w:hint="eastAsia" w:ascii="宋体" w:hAnsi="宋体" w:eastAsia="宋体" w:cs="宋体"/>
          <w:i w:val="0"/>
          <w:iCs w:val="0"/>
          <w:caps w:val="0"/>
          <w:color w:val="666666"/>
          <w:spacing w:val="0"/>
          <w:kern w:val="0"/>
          <w:sz w:val="18"/>
          <w:szCs w:val="18"/>
          <w:lang w:val="en-US" w:eastAsia="zh-CN" w:bidi="ar"/>
        </w:rPr>
        <w:t>责任编辑：魏县县委编办</w:t>
      </w:r>
    </w:p>
    <w:p w14:paraId="076A862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A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2026-08-30T09:24:16Z</dcterms:created>
  <dc:creator>fansa</dc:creator>
  <cp:lastModifiedBy>活在回忆里</cp:lastModifiedBy>
  <dcterms:modified xsi:type="dcterms:W3CDTF">2026-08-30T09:24:26Z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16576DB9870F4E098701ED411A3D7086_12</vt:lpwstr>
  </property>
</Properties>
</file>