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before="600" w:after="180" w:line="250" w:lineRule="auto"/>
      </w:pPr>
      <w:r>
        <w:rPr>
          <w:b/>
          <w:sz w:val="38"/>
          <w:szCs w:val="38"/>
        </w:rPr>
        <w:t xml:space="preserve">FACE DETECTION &amp; RECOGNITION APP</w:t>
      </w:r>
    </w:p>
    <w:p>
      <w:pPr>
        <w:jc w:val="center"/>
        <w:spacing w:before="0" w:after="300" w:line="250" w:lineRule="auto"/>
      </w:pPr>
      <w:r>
        <w:rPr>
          <w:b/>
          <w:sz w:val="28"/>
          <w:szCs w:val="28"/>
        </w:rPr>
        <w:t xml:space="preserve">Rapport de projet final</w:t>
      </w:r>
    </w:p>
    <w:p>
      <w:pPr>
        <w:jc w:val="center"/>
        <w:spacing w:before="0" w:after="60" w:line="250" w:lineRule="auto"/>
      </w:pPr>
      <w:r>
        <w:rPr>
          <w:sz w:val="22"/>
          <w:szCs w:val="22"/>
        </w:rPr>
        <w:t xml:space="preserve">Étudiant : Qiyun Ge</w:t>
      </w:r>
    </w:p>
    <w:p>
      <w:pPr>
        <w:jc w:val="center"/>
        <w:spacing w:before="0" w:after="60" w:line="250" w:lineRule="auto"/>
      </w:pPr>
      <w:r>
        <w:rPr>
          <w:sz w:val="22"/>
          <w:szCs w:val="22"/>
        </w:rPr>
        <w:t xml:space="preserve">Numéro d’étudiant : [INSÉRER LE NUMÉRO D’ÉTUDIANT]</w:t>
      </w:r>
    </w:p>
    <w:p>
      <w:pPr>
        <w:jc w:val="center"/>
        <w:spacing w:before="0" w:after="60" w:line="250" w:lineRule="auto"/>
      </w:pPr>
      <w:r>
        <w:rPr>
          <w:sz w:val="22"/>
          <w:szCs w:val="22"/>
        </w:rPr>
        <w:t xml:space="preserve">Cours : [INSÉRER LE NOM ET LE CODE DU COURS]</w:t>
      </w:r>
    </w:p>
    <w:p>
      <w:pPr>
        <w:jc w:val="center"/>
        <w:spacing w:before="0" w:after="60" w:line="250" w:lineRule="auto"/>
      </w:pPr>
      <w:r>
        <w:rPr>
          <w:sz w:val="22"/>
          <w:szCs w:val="22"/>
        </w:rPr>
        <w:t xml:space="preserve">Enseignant : [INSÉRER LE NOM DE L’ENSEIGNANT]</w:t>
      </w:r>
    </w:p>
    <w:p>
      <w:pPr>
        <w:jc w:val="center"/>
        <w:spacing w:before="0" w:after="260" w:line="250" w:lineRule="auto"/>
      </w:pPr>
      <w:r>
        <w:rPr>
          <w:sz w:val="22"/>
          <w:szCs w:val="22"/>
        </w:rPr>
        <w:t xml:space="preserve">Date de remise : [INSÉRER LA DATE]</w:t>
      </w:r>
    </w:p>
    <w:p>
      <w:pPr>
        <w:pStyle w:val="Heading1"/>
        <w:spacing w:before="0" w:after="70" w:line="240" w:lineRule="auto"/>
        <w:keepNext/>
      </w:pPr>
      <w:r>
        <w:rPr>
          <w:b/>
          <w:sz w:val="30"/>
          <w:szCs w:val="30"/>
        </w:rPr>
        <w:t xml:space="preserve">Résumé</w:t>
      </w:r>
    </w:p>
    <w:p>
      <w:pPr>
        <w:spacing w:before="0" w:after="110" w:line="235" w:lineRule="auto"/>
      </w:pPr>
      <w:r>
        <w:rPr>
          <w:sz w:val="20"/>
          <w:szCs w:val="20"/>
        </w:rPr>
        <w:t xml:space="preserve">Ce projet met en œuvre une application complète de reconnaissance faciale en temps réel. Il comprend la collecte d’un jeu de données équilibré à deux classes, la détection et le recadrage des visages, la standardisation des images, l’entraînement d’un réseau de neurones artificiels (RNA) et l’intégration de la reconnaissance dans OpenCV ainsi que dans une interface Web FastAPI. Le jeu de données final contient 200 images brutes : 100 images de l’auteur et 100 images, prises avec consentement, regroupées dans la classe des autres personnes. Un classificateur perceptron multicouche (MLP) a été sélectionné par validation croisée aléatoire à cinq plis. La meilleure exactitude en validation croisée est de 97,14 %, tandis que le jeu de test indépendant de 30 images atteint 100 %. Ces résultats démontrent le bon fonctionnement du pipeline dans les conditions échantillonnées, sans toutefois garantir une généralisation à toutes les situations réelles.</w:t>
      </w:r>
    </w:p>
    <w:p>
      <w:pPr>
        <w:spacing w:before="0" w:after="80" w:line="250" w:lineRule="auto"/>
      </w:pPr>
      <w:r>
        <w:rPr>
          <w:i/>
          <w:sz w:val="19"/>
          <w:szCs w:val="19"/>
        </w:rPr>
        <w:t xml:space="preserve">Mots-clés : détection faciale, reconnaissance faciale, RNA, MLP, OpenCV, FastAPI</w:t>
      </w:r>
    </w:p>
    <w:p>
      <w:r>
        <w:br w:type="page"/>
      </w:r>
    </w:p>
    <w:p>
      <w:pPr>
        <w:pStyle w:val="Heading1"/>
        <w:spacing w:before="0" w:after="70" w:line="240" w:lineRule="auto"/>
        <w:keepNext/>
      </w:pPr>
      <w:r>
        <w:rPr>
          <w:b/>
          <w:sz w:val="30"/>
          <w:szCs w:val="30"/>
        </w:rPr>
        <w:t xml:space="preserve">1. Collecte et préparation du jeu de données</w:t>
      </w:r>
    </w:p>
    <w:p>
      <w:pPr>
        <w:pStyle w:val="Heading2"/>
        <w:spacing w:before="130" w:after="70" w:line="240" w:lineRule="auto"/>
        <w:keepNext/>
      </w:pPr>
      <w:r>
        <w:rPr>
          <w:b/>
          <w:sz w:val="25"/>
          <w:szCs w:val="25"/>
        </w:rPr>
        <w:t xml:space="preserve">1.1 Méthode de collecte</w:t>
      </w:r>
    </w:p>
    <w:p>
      <w:pPr>
        <w:spacing w:before="0" w:after="80" w:line="250" w:lineRule="auto"/>
      </w:pPr>
      <w:r>
        <w:rPr>
          <w:sz w:val="20"/>
          <w:szCs w:val="20"/>
        </w:rPr>
        <w:t xml:space="preserve">Le jeu de données brut a été créé spécialement pour ce projet au moyen d’une caméra. Il contient 200 images réparties également entre l’identité cible, « qiyun ge », et la classe « others ». Cette quantité dépasse le minimum de 40 images exigé et respecte la proportion demandée de 50 % d’images du visage de l’étudiant. Les images ont été prises en variant la pose frontale et non frontale, l’expression faciale, l’angle de vue, la distance et l’éclairage. Toutes les autres personnes photographiées doivent avoir donné leur consentement avant la collecte; une confirmation écrite devrait être conservée séparément si l’enseignant l’exige.</w:t>
      </w:r>
    </w:p>
    <w:tbl>
      <w:tblPr>
        <w:tblW w:w="9000" w:type="dxa"/>
        <w:tblBorders>
          <w:top w:val="single" w:sz="4" w:color="808080"/>
          <w:left w:val="single" w:sz="4" w:color="808080"/>
          <w:bottom w:val="single" w:sz="4" w:color="808080"/>
          <w:right w:val="single" w:sz="4" w:color="808080"/>
          <w:insideH w:val="single" w:sz="4" w:color="B0B0B0"/>
          <w:insideV w:val="single" w:sz="4" w:color="B0B0B0"/>
        </w:tblBorders>
      </w:tblPr>
      <w:tblGrid>
        <w:gridCol w:w="2000"/>
        <w:gridCol w:w="1500"/>
        <w:gridCol w:w="1200"/>
        <w:gridCol w:w="4300"/>
      </w:tblGrid>
      <w:tr>
        <w:tc>
          <w:tcPr>
            <w:tcW w:w="2000" w:type="dxa"/>
            <w:shd w:fill="D9EAF7"/>
          </w:tcPr>
          <w:p>
            <w:pPr>
              <w:spacing w:before="0" w:after="30" w:line="220" w:lineRule="auto"/>
            </w:pPr>
            <w:r>
              <w:rPr>
                <w:b/>
                <w:sz w:val="19"/>
                <w:szCs w:val="19"/>
              </w:rPr>
              <w:t xml:space="preserve">Classe</w:t>
            </w:r>
          </w:p>
        </w:tc>
        <w:tc>
          <w:tcPr>
            <w:tcW w:w="1500" w:type="dxa"/>
            <w:shd w:fill="D9EAF7"/>
          </w:tcPr>
          <w:p>
            <w:pPr>
              <w:spacing w:before="0" w:after="30" w:line="220" w:lineRule="auto"/>
            </w:pPr>
            <w:r>
              <w:rPr>
                <w:b/>
                <w:sz w:val="19"/>
                <w:szCs w:val="19"/>
              </w:rPr>
              <w:t xml:space="preserve">Images brutes</w:t>
            </w:r>
          </w:p>
        </w:tc>
        <w:tc>
          <w:tcPr>
            <w:tcW w:w="1200" w:type="dxa"/>
            <w:shd w:fill="D9EAF7"/>
          </w:tcPr>
          <w:p>
            <w:pPr>
              <w:spacing w:before="0" w:after="30" w:line="220" w:lineRule="auto"/>
            </w:pPr>
            <w:r>
              <w:rPr>
                <w:b/>
                <w:sz w:val="19"/>
                <w:szCs w:val="19"/>
              </w:rPr>
              <w:t xml:space="preserve">Proportion</w:t>
            </w:r>
          </w:p>
        </w:tc>
        <w:tc>
          <w:tcPr>
            <w:tcW w:w="4300" w:type="dxa"/>
            <w:shd w:fill="D9EAF7"/>
          </w:tcPr>
          <w:p>
            <w:pPr>
              <w:spacing w:before="0" w:after="30" w:line="220" w:lineRule="auto"/>
            </w:pPr>
            <w:r>
              <w:rPr>
                <w:b/>
                <w:sz w:val="19"/>
                <w:szCs w:val="19"/>
              </w:rPr>
              <w:t xml:space="preserve">Rôle</w:t>
            </w:r>
          </w:p>
        </w:tc>
      </w:tr>
      <w:tr>
        <w:tc>
          <w:tcPr>
            <w:tcW w:w="2000" w:type="dxa"/>
          </w:tcPr>
          <w:p>
            <w:pPr>
              <w:spacing w:before="0" w:after="30" w:line="220" w:lineRule="auto"/>
            </w:pPr>
            <w:r>
              <w:rPr>
                <w:sz w:val="19"/>
                <w:szCs w:val="19"/>
              </w:rPr>
              <w:t xml:space="preserve">qiyun ge</w:t>
            </w:r>
          </w:p>
        </w:tc>
        <w:tc>
          <w:tcPr>
            <w:tcW w:w="1500" w:type="dxa"/>
          </w:tcPr>
          <w:p>
            <w:pPr>
              <w:spacing w:before="0" w:after="30" w:line="220" w:lineRule="auto"/>
            </w:pPr>
            <w:r>
              <w:rPr>
                <w:sz w:val="19"/>
                <w:szCs w:val="19"/>
              </w:rPr>
              <w:t xml:space="preserve">100</w:t>
            </w:r>
          </w:p>
        </w:tc>
        <w:tc>
          <w:tcPr>
            <w:tcW w:w="1200" w:type="dxa"/>
          </w:tcPr>
          <w:p>
            <w:pPr>
              <w:spacing w:before="0" w:after="30" w:line="220" w:lineRule="auto"/>
            </w:pPr>
            <w:r>
              <w:rPr>
                <w:sz w:val="19"/>
                <w:szCs w:val="19"/>
              </w:rPr>
              <w:t xml:space="preserve">50%</w:t>
            </w:r>
          </w:p>
        </w:tc>
        <w:tc>
          <w:tcPr>
            <w:tcW w:w="4300" w:type="dxa"/>
          </w:tcPr>
          <w:p>
            <w:pPr>
              <w:spacing w:before="0" w:after="30" w:line="220" w:lineRule="auto"/>
            </w:pPr>
            <w:r>
              <w:rPr>
                <w:sz w:val="19"/>
                <w:szCs w:val="19"/>
              </w:rPr>
              <w:t xml:space="preserve">Identité cible connue</w:t>
            </w:r>
          </w:p>
        </w:tc>
      </w:tr>
      <w:tr>
        <w:tc>
          <w:tcPr>
            <w:tcW w:w="2000" w:type="dxa"/>
          </w:tcPr>
          <w:p>
            <w:pPr>
              <w:spacing w:before="0" w:after="30" w:line="220" w:lineRule="auto"/>
            </w:pPr>
            <w:r>
              <w:rPr>
                <w:sz w:val="19"/>
                <w:szCs w:val="19"/>
              </w:rPr>
              <w:t xml:space="preserve">others</w:t>
            </w:r>
          </w:p>
        </w:tc>
        <w:tc>
          <w:tcPr>
            <w:tcW w:w="1500" w:type="dxa"/>
          </w:tcPr>
          <w:p>
            <w:pPr>
              <w:spacing w:before="0" w:after="30" w:line="220" w:lineRule="auto"/>
            </w:pPr>
            <w:r>
              <w:rPr>
                <w:sz w:val="19"/>
                <w:szCs w:val="19"/>
              </w:rPr>
              <w:t xml:space="preserve">100</w:t>
            </w:r>
          </w:p>
        </w:tc>
        <w:tc>
          <w:tcPr>
            <w:tcW w:w="1200" w:type="dxa"/>
          </w:tcPr>
          <w:p>
            <w:pPr>
              <w:spacing w:before="0" w:after="30" w:line="220" w:lineRule="auto"/>
            </w:pPr>
            <w:r>
              <w:rPr>
                <w:sz w:val="19"/>
                <w:szCs w:val="19"/>
              </w:rPr>
              <w:t xml:space="preserve">50%</w:t>
            </w:r>
          </w:p>
        </w:tc>
        <w:tc>
          <w:tcPr>
            <w:tcW w:w="4300" w:type="dxa"/>
          </w:tcPr>
          <w:p>
            <w:pPr>
              <w:spacing w:before="0" w:after="30" w:line="220" w:lineRule="auto"/>
            </w:pPr>
            <w:r>
              <w:rPr>
                <w:sz w:val="19"/>
                <w:szCs w:val="19"/>
              </w:rPr>
              <w:t xml:space="preserve">Exemples non ciblés</w:t>
            </w:r>
          </w:p>
        </w:tc>
      </w:tr>
    </w:tbl>
    <w:p>
      <w:pPr>
        <w:pStyle w:val="Heading2"/>
        <w:spacing w:before="130" w:after="70" w:line="240" w:lineRule="auto"/>
        <w:keepNext/>
      </w:pPr>
      <w:r>
        <w:rPr>
          <w:b/>
          <w:sz w:val="25"/>
          <w:szCs w:val="25"/>
        </w:rPr>
        <w:t xml:space="preserve">1.2 Prétraitement des visages</w:t>
      </w:r>
    </w:p>
    <w:p>
      <w:pPr>
        <w:spacing w:before="0" w:after="80" w:line="250" w:lineRule="auto"/>
      </w:pPr>
      <w:r>
        <w:rPr>
          <w:sz w:val="20"/>
          <w:szCs w:val="20"/>
        </w:rPr>
        <w:t xml:space="preserve">Chaque image est lue avec OpenCV et traitée par la même fonction de prétraitement que celle utilisée pendant l’inférence. Le pipeline détecte un visage, recadre la région détectée avec une marge configurable, redimensionne l’image à une taille d’entrée fixe, la convertit au besoin en niveaux de gris et ramène les pixels de l’intervalle 0–255 à l’intervalle 0–1. Les noms des classes proviennent des noms de dossiers, ce qui rend les étiquettes reproductibles et évite l’utilisation d’un fichier d’annotation distinct.</w:t>
      </w:r>
    </w:p>
    <w:p>
      <w:pPr>
        <w:pStyle w:val="Heading2"/>
        <w:spacing w:before="130" w:after="70" w:line="240" w:lineRule="auto"/>
        <w:keepNext/>
      </w:pPr>
      <w:r>
        <w:rPr>
          <w:b/>
          <w:sz w:val="25"/>
          <w:szCs w:val="25"/>
        </w:rPr>
        <w:t xml:space="preserve">1.3 Augmentation et division des données</w:t>
      </w:r>
    </w:p>
    <w:p>
      <w:pPr>
        <w:spacing w:before="0" w:after="80" w:line="250" w:lineRule="auto"/>
      </w:pPr>
      <w:r>
        <w:rPr>
          <w:sz w:val="20"/>
          <w:szCs w:val="20"/>
        </w:rPr>
        <w:t xml:space="preserve">Une augmentation modérée améliore la robustesse sans modifier sensiblement l’identité. L’implémentation permet une réflexion horizontale avec une probabilité de 0,5, une rotation de ±10 degrés et une variation de luminosité de 0,85 à 1,15. Une graine déterministe de 42 assure la reproductibilité. Les données sont divisées par classe selon un ratio 70/15/15, soit 140 images d’entraînement, 30 de validation et 30 de test lorsque les 200 images sont utilisées.</w:t>
      </w:r>
    </w:p>
    <w:tbl>
      <w:tblPr>
        <w:tblW w:w="9000" w:type="dxa"/>
        <w:tblBorders>
          <w:top w:val="single" w:sz="4" w:color="808080"/>
          <w:left w:val="single" w:sz="4" w:color="808080"/>
          <w:bottom w:val="single" w:sz="4" w:color="808080"/>
          <w:right w:val="single" w:sz="4" w:color="808080"/>
          <w:insideH w:val="single" w:sz="4" w:color="B0B0B0"/>
          <w:insideV w:val="single" w:sz="4" w:color="B0B0B0"/>
        </w:tblBorders>
      </w:tblPr>
      <w:tblGrid>
        <w:gridCol w:w="1900"/>
        <w:gridCol w:w="1200"/>
        <w:gridCol w:w="1400"/>
        <w:gridCol w:w="4500"/>
      </w:tblGrid>
      <w:tr>
        <w:tc>
          <w:tcPr>
            <w:tcW w:w="1900" w:type="dxa"/>
            <w:shd w:fill="D9EAF7"/>
          </w:tcPr>
          <w:p>
            <w:pPr>
              <w:spacing w:before="0" w:after="30" w:line="220" w:lineRule="auto"/>
            </w:pPr>
            <w:r>
              <w:rPr>
                <w:b/>
                <w:sz w:val="19"/>
                <w:szCs w:val="19"/>
              </w:rPr>
              <w:t xml:space="preserve">Ensemble</w:t>
            </w:r>
          </w:p>
        </w:tc>
        <w:tc>
          <w:tcPr>
            <w:tcW w:w="1200" w:type="dxa"/>
            <w:shd w:fill="D9EAF7"/>
          </w:tcPr>
          <w:p>
            <w:pPr>
              <w:spacing w:before="0" w:after="30" w:line="220" w:lineRule="auto"/>
            </w:pPr>
            <w:r>
              <w:rPr>
                <w:b/>
                <w:sz w:val="19"/>
                <w:szCs w:val="19"/>
              </w:rPr>
              <w:t xml:space="preserve">Ratio</w:t>
            </w:r>
          </w:p>
        </w:tc>
        <w:tc>
          <w:tcPr>
            <w:tcW w:w="1400" w:type="dxa"/>
            <w:shd w:fill="D9EAF7"/>
          </w:tcPr>
          <w:p>
            <w:pPr>
              <w:spacing w:before="0" w:after="30" w:line="220" w:lineRule="auto"/>
            </w:pPr>
            <w:r>
              <w:rPr>
                <w:b/>
                <w:sz w:val="19"/>
                <w:szCs w:val="19"/>
              </w:rPr>
              <w:t xml:space="preserve">Images</w:t>
            </w:r>
          </w:p>
        </w:tc>
        <w:tc>
          <w:tcPr>
            <w:tcW w:w="4500" w:type="dxa"/>
            <w:shd w:fill="D9EAF7"/>
          </w:tcPr>
          <w:p>
            <w:pPr>
              <w:spacing w:before="0" w:after="30" w:line="220" w:lineRule="auto"/>
            </w:pPr>
            <w:r>
              <w:rPr>
                <w:b/>
                <w:sz w:val="19"/>
                <w:szCs w:val="19"/>
              </w:rPr>
              <w:t xml:space="preserve">Utilisation</w:t>
            </w:r>
          </w:p>
        </w:tc>
      </w:tr>
      <w:tr>
        <w:tc>
          <w:tcPr>
            <w:tcW w:w="1900" w:type="dxa"/>
          </w:tcPr>
          <w:p>
            <w:pPr>
              <w:spacing w:before="0" w:after="30" w:line="220" w:lineRule="auto"/>
            </w:pPr>
            <w:r>
              <w:rPr>
                <w:sz w:val="19"/>
                <w:szCs w:val="19"/>
              </w:rPr>
              <w:t xml:space="preserve">Entraînement</w:t>
            </w:r>
          </w:p>
        </w:tc>
        <w:tc>
          <w:tcPr>
            <w:tcW w:w="1200" w:type="dxa"/>
          </w:tcPr>
          <w:p>
            <w:pPr>
              <w:spacing w:before="0" w:after="30" w:line="220" w:lineRule="auto"/>
            </w:pPr>
            <w:r>
              <w:rPr>
                <w:sz w:val="19"/>
                <w:szCs w:val="19"/>
              </w:rPr>
              <w:t xml:space="preserve">70%</w:t>
            </w:r>
          </w:p>
        </w:tc>
        <w:tc>
          <w:tcPr>
            <w:tcW w:w="1400" w:type="dxa"/>
          </w:tcPr>
          <w:p>
            <w:pPr>
              <w:spacing w:before="0" w:after="30" w:line="220" w:lineRule="auto"/>
            </w:pPr>
            <w:r>
              <w:rPr>
                <w:sz w:val="19"/>
                <w:szCs w:val="19"/>
              </w:rPr>
              <w:t xml:space="preserve">140</w:t>
            </w:r>
          </w:p>
        </w:tc>
        <w:tc>
          <w:tcPr>
            <w:tcW w:w="4500" w:type="dxa"/>
          </w:tcPr>
          <w:p>
            <w:pPr>
              <w:spacing w:before="0" w:after="30" w:line="220" w:lineRule="auto"/>
            </w:pPr>
            <w:r>
              <w:rPr>
                <w:sz w:val="19"/>
                <w:szCs w:val="19"/>
              </w:rPr>
              <w:t xml:space="preserve">Ajustement du RNA et validation croisée</w:t>
            </w:r>
          </w:p>
        </w:tc>
      </w:tr>
      <w:tr>
        <w:tc>
          <w:tcPr>
            <w:tcW w:w="1900" w:type="dxa"/>
          </w:tcPr>
          <w:p>
            <w:pPr>
              <w:spacing w:before="0" w:after="30" w:line="220" w:lineRule="auto"/>
            </w:pPr>
            <w:r>
              <w:rPr>
                <w:sz w:val="19"/>
                <w:szCs w:val="19"/>
              </w:rPr>
              <w:t xml:space="preserve">Validation</w:t>
            </w:r>
          </w:p>
        </w:tc>
        <w:tc>
          <w:tcPr>
            <w:tcW w:w="1200" w:type="dxa"/>
          </w:tcPr>
          <w:p>
            <w:pPr>
              <w:spacing w:before="0" w:after="30" w:line="220" w:lineRule="auto"/>
            </w:pPr>
            <w:r>
              <w:rPr>
                <w:sz w:val="19"/>
                <w:szCs w:val="19"/>
              </w:rPr>
              <w:t xml:space="preserve">15%</w:t>
            </w:r>
          </w:p>
        </w:tc>
        <w:tc>
          <w:tcPr>
            <w:tcW w:w="1400" w:type="dxa"/>
          </w:tcPr>
          <w:p>
            <w:pPr>
              <w:spacing w:before="0" w:after="30" w:line="220" w:lineRule="auto"/>
            </w:pPr>
            <w:r>
              <w:rPr>
                <w:sz w:val="19"/>
                <w:szCs w:val="19"/>
              </w:rPr>
              <w:t xml:space="preserve">30</w:t>
            </w:r>
          </w:p>
        </w:tc>
        <w:tc>
          <w:tcPr>
            <w:tcW w:w="4500" w:type="dxa"/>
          </w:tcPr>
          <w:p>
            <w:pPr>
              <w:spacing w:before="0" w:after="30" w:line="220" w:lineRule="auto"/>
            </w:pPr>
            <w:r>
              <w:rPr>
                <w:sz w:val="19"/>
                <w:szCs w:val="19"/>
              </w:rPr>
              <w:t xml:space="preserve">Vérification du modèle</w:t>
            </w:r>
          </w:p>
        </w:tc>
      </w:tr>
      <w:tr>
        <w:tc>
          <w:tcPr>
            <w:tcW w:w="1900" w:type="dxa"/>
          </w:tcPr>
          <w:p>
            <w:pPr>
              <w:spacing w:before="0" w:after="30" w:line="220" w:lineRule="auto"/>
            </w:pPr>
            <w:r>
              <w:rPr>
                <w:sz w:val="19"/>
                <w:szCs w:val="19"/>
              </w:rPr>
              <w:t xml:space="preserve">Test</w:t>
            </w:r>
          </w:p>
        </w:tc>
        <w:tc>
          <w:tcPr>
            <w:tcW w:w="1200" w:type="dxa"/>
          </w:tcPr>
          <w:p>
            <w:pPr>
              <w:spacing w:before="0" w:after="30" w:line="220" w:lineRule="auto"/>
            </w:pPr>
            <w:r>
              <w:rPr>
                <w:sz w:val="19"/>
                <w:szCs w:val="19"/>
              </w:rPr>
              <w:t xml:space="preserve">15%</w:t>
            </w:r>
          </w:p>
        </w:tc>
        <w:tc>
          <w:tcPr>
            <w:tcW w:w="1400" w:type="dxa"/>
          </w:tcPr>
          <w:p>
            <w:pPr>
              <w:spacing w:before="0" w:after="30" w:line="220" w:lineRule="auto"/>
            </w:pPr>
            <w:r>
              <w:rPr>
                <w:sz w:val="19"/>
                <w:szCs w:val="19"/>
              </w:rPr>
              <w:t xml:space="preserve">30</w:t>
            </w:r>
          </w:p>
        </w:tc>
        <w:tc>
          <w:tcPr>
            <w:tcW w:w="4500" w:type="dxa"/>
          </w:tcPr>
          <w:p>
            <w:pPr>
              <w:spacing w:before="0" w:after="30" w:line="220" w:lineRule="auto"/>
            </w:pPr>
            <w:r>
              <w:rPr>
                <w:sz w:val="19"/>
                <w:szCs w:val="19"/>
              </w:rPr>
              <w:t xml:space="preserve">Évaluation indépendante finale</w:t>
            </w:r>
          </w:p>
        </w:tc>
      </w:tr>
    </w:tbl>
    <w:p>
      <w:r>
        <w:br w:type="page"/>
      </w:r>
    </w:p>
    <w:p>
      <w:pPr>
        <w:pStyle w:val="Heading1"/>
        <w:spacing w:before="0" w:after="70" w:line="240" w:lineRule="auto"/>
        <w:keepNext/>
      </w:pPr>
      <w:r>
        <w:rPr>
          <w:b/>
          <w:sz w:val="30"/>
          <w:szCs w:val="30"/>
        </w:rPr>
        <w:t xml:space="preserve">2. Modèle de reconnaissance et entraînement</w:t>
      </w:r>
    </w:p>
    <w:p>
      <w:pPr>
        <w:pStyle w:val="Heading2"/>
        <w:spacing w:before="130" w:after="70" w:line="240" w:lineRule="auto"/>
        <w:keepNext/>
      </w:pPr>
      <w:r>
        <w:rPr>
          <w:b/>
          <w:sz w:val="25"/>
          <w:szCs w:val="25"/>
        </w:rPr>
        <w:t xml:space="preserve">2.1 Pipeline de détection et de caractéristiques</w:t>
      </w:r>
    </w:p>
    <w:p>
      <w:pPr>
        <w:spacing w:before="0" w:after="80" w:line="250" w:lineRule="auto"/>
      </w:pPr>
      <w:r>
        <w:rPr>
          <w:sz w:val="20"/>
          <w:szCs w:val="20"/>
        </w:rPr>
        <w:t xml:space="preserve">L’application prend en charge trois détecteurs de visages : la cascade de Haar d’OpenCV, YuNet d’OpenCV et, en option, un détecteur facial YOLOv8. YuNet est utilisé par défaut puisqu’il offre un bon compromis entre la vitesse sur processeur et la robustesse. Pour chaque détection, la boîte englobante est limitée aux dimensions de l’image, le visage est recadré, puis converti dans la même représentation normalisée que durant l’entraînement. Le vecteur de pixels aplati est ensuite transmis au classificateur.</w:t>
      </w:r>
    </w:p>
    <w:p>
      <w:pPr>
        <w:pStyle w:val="Heading2"/>
        <w:spacing w:before="130" w:after="70" w:line="240" w:lineRule="auto"/>
        <w:keepNext/>
      </w:pPr>
      <w:r>
        <w:rPr>
          <w:b/>
          <w:sz w:val="25"/>
          <w:szCs w:val="25"/>
        </w:rPr>
        <w:t xml:space="preserve">2.2 Architecture du RNA</w:t>
      </w:r>
    </w:p>
    <w:p>
      <w:pPr>
        <w:spacing w:before="0" w:after="80" w:line="250" w:lineRule="auto"/>
      </w:pPr>
      <w:r>
        <w:rPr>
          <w:sz w:val="20"/>
          <w:szCs w:val="20"/>
        </w:rPr>
        <w:t xml:space="preserve">Le système de reconnaissance repose sur un Pipeline scikit-learn composé de StandardScaler suivi de MLPClassifier. La standardisation réduit les différences d’échelle entre les caractéristiques d’entrée. Le réseau sélectionné possède une couche cachée de 64 neurones avec une activation ReLU. La couche de sortie représente les deux classes apprises et predict_proba fournit le score de confiance. La régularisation L2 (alpha) réduit le surapprentissage, tandis que le taux d’apprentissage initial contrôle l’amplitude des mises à jour du gradient.</w:t>
      </w:r>
    </w:p>
    <w:tbl>
      <w:tblPr>
        <w:tblW w:w="9000" w:type="dxa"/>
        <w:tblBorders>
          <w:top w:val="single" w:sz="4" w:color="808080"/>
          <w:left w:val="single" w:sz="4" w:color="808080"/>
          <w:bottom w:val="single" w:sz="4" w:color="808080"/>
          <w:right w:val="single" w:sz="4" w:color="808080"/>
          <w:insideH w:val="single" w:sz="4" w:color="B0B0B0"/>
          <w:insideV w:val="single" w:sz="4" w:color="B0B0B0"/>
        </w:tblBorders>
      </w:tblPr>
      <w:tblGrid>
        <w:gridCol w:w="3200"/>
        <w:gridCol w:w="5800"/>
      </w:tblGrid>
      <w:tr>
        <w:tc>
          <w:tcPr>
            <w:tcW w:w="3200" w:type="dxa"/>
            <w:shd w:fill="D9EAF7"/>
          </w:tcPr>
          <w:p>
            <w:pPr>
              <w:spacing w:before="0" w:after="30" w:line="220" w:lineRule="auto"/>
            </w:pPr>
            <w:r>
              <w:rPr>
                <w:b/>
                <w:sz w:val="19"/>
                <w:szCs w:val="19"/>
              </w:rPr>
              <w:t xml:space="preserve">Composant</w:t>
            </w:r>
          </w:p>
        </w:tc>
        <w:tc>
          <w:tcPr>
            <w:tcW w:w="5800" w:type="dxa"/>
            <w:shd w:fill="D9EAF7"/>
          </w:tcPr>
          <w:p>
            <w:pPr>
              <w:spacing w:before="0" w:after="30" w:line="220" w:lineRule="auto"/>
            </w:pPr>
            <w:r>
              <w:rPr>
                <w:b/>
                <w:sz w:val="19"/>
                <w:szCs w:val="19"/>
              </w:rPr>
              <w:t xml:space="preserve">Paramètre retenu</w:t>
            </w:r>
          </w:p>
        </w:tc>
      </w:tr>
      <w:tr>
        <w:tc>
          <w:tcPr>
            <w:tcW w:w="3200" w:type="dxa"/>
          </w:tcPr>
          <w:p>
            <w:pPr>
              <w:spacing w:before="0" w:after="30" w:line="220" w:lineRule="auto"/>
            </w:pPr>
            <w:r>
              <w:rPr>
                <w:sz w:val="19"/>
                <w:szCs w:val="19"/>
              </w:rPr>
              <w:t xml:space="preserve">Entrée</w:t>
            </w:r>
          </w:p>
        </w:tc>
        <w:tc>
          <w:tcPr>
            <w:tcW w:w="5800" w:type="dxa"/>
          </w:tcPr>
          <w:p>
            <w:pPr>
              <w:spacing w:before="0" w:after="30" w:line="220" w:lineRule="auto"/>
            </w:pPr>
            <w:r>
              <w:rPr>
                <w:sz w:val="19"/>
                <w:szCs w:val="19"/>
              </w:rPr>
              <w:t xml:space="preserve">Pixels normalisés du visage, aplatis</w:t>
            </w:r>
          </w:p>
        </w:tc>
      </w:tr>
      <w:tr>
        <w:tc>
          <w:tcPr>
            <w:tcW w:w="3200" w:type="dxa"/>
          </w:tcPr>
          <w:p>
            <w:pPr>
              <w:spacing w:before="0" w:after="30" w:line="220" w:lineRule="auto"/>
            </w:pPr>
            <w:r>
              <w:rPr>
                <w:sz w:val="19"/>
                <w:szCs w:val="19"/>
              </w:rPr>
              <w:t xml:space="preserve">Mise à l’échelle</w:t>
            </w:r>
          </w:p>
        </w:tc>
        <w:tc>
          <w:tcPr>
            <w:tcW w:w="5800" w:type="dxa"/>
          </w:tcPr>
          <w:p>
            <w:pPr>
              <w:spacing w:before="0" w:after="30" w:line="220" w:lineRule="auto"/>
            </w:pPr>
            <w:r>
              <w:rPr>
                <w:sz w:val="19"/>
                <w:szCs w:val="19"/>
              </w:rPr>
              <w:t xml:space="preserve">StandardScaler</w:t>
            </w:r>
          </w:p>
        </w:tc>
      </w:tr>
      <w:tr>
        <w:tc>
          <w:tcPr>
            <w:tcW w:w="3200" w:type="dxa"/>
          </w:tcPr>
          <w:p>
            <w:pPr>
              <w:spacing w:before="0" w:after="30" w:line="220" w:lineRule="auto"/>
            </w:pPr>
            <w:r>
              <w:rPr>
                <w:sz w:val="19"/>
                <w:szCs w:val="19"/>
              </w:rPr>
              <w:t xml:space="preserve">Couches cachées</w:t>
            </w:r>
          </w:p>
        </w:tc>
        <w:tc>
          <w:tcPr>
            <w:tcW w:w="5800" w:type="dxa"/>
          </w:tcPr>
          <w:p>
            <w:pPr>
              <w:spacing w:before="0" w:after="30" w:line="220" w:lineRule="auto"/>
            </w:pPr>
            <w:r>
              <w:rPr>
                <w:sz w:val="19"/>
                <w:szCs w:val="19"/>
              </w:rPr>
              <w:t xml:space="preserve">[64]</w:t>
            </w:r>
          </w:p>
        </w:tc>
      </w:tr>
      <w:tr>
        <w:tc>
          <w:tcPr>
            <w:tcW w:w="3200" w:type="dxa"/>
          </w:tcPr>
          <w:p>
            <w:pPr>
              <w:spacing w:before="0" w:after="30" w:line="220" w:lineRule="auto"/>
            </w:pPr>
            <w:r>
              <w:rPr>
                <w:sz w:val="19"/>
                <w:szCs w:val="19"/>
              </w:rPr>
              <w:t xml:space="preserve">Activation</w:t>
            </w:r>
          </w:p>
        </w:tc>
        <w:tc>
          <w:tcPr>
            <w:tcW w:w="5800" w:type="dxa"/>
          </w:tcPr>
          <w:p>
            <w:pPr>
              <w:spacing w:before="0" w:after="30" w:line="220" w:lineRule="auto"/>
            </w:pPr>
            <w:r>
              <w:rPr>
                <w:sz w:val="19"/>
                <w:szCs w:val="19"/>
              </w:rPr>
              <w:t xml:space="preserve">relu</w:t>
            </w:r>
          </w:p>
        </w:tc>
      </w:tr>
      <w:tr>
        <w:tc>
          <w:tcPr>
            <w:tcW w:w="3200" w:type="dxa"/>
          </w:tcPr>
          <w:p>
            <w:pPr>
              <w:spacing w:before="0" w:after="30" w:line="220" w:lineRule="auto"/>
            </w:pPr>
            <w:r>
              <w:rPr>
                <w:sz w:val="19"/>
                <w:szCs w:val="19"/>
              </w:rPr>
              <w:t xml:space="preserve">Alpha L2</w:t>
            </w:r>
          </w:p>
        </w:tc>
        <w:tc>
          <w:tcPr>
            <w:tcW w:w="5800" w:type="dxa"/>
          </w:tcPr>
          <w:p>
            <w:pPr>
              <w:spacing w:before="0" w:after="30" w:line="220" w:lineRule="auto"/>
            </w:pPr>
            <w:r>
              <w:rPr>
                <w:sz w:val="19"/>
                <w:szCs w:val="19"/>
              </w:rPr>
              <w:t xml:space="preserve">0.01</w:t>
            </w:r>
          </w:p>
        </w:tc>
      </w:tr>
      <w:tr>
        <w:tc>
          <w:tcPr>
            <w:tcW w:w="3200" w:type="dxa"/>
          </w:tcPr>
          <w:p>
            <w:pPr>
              <w:spacing w:before="0" w:after="30" w:line="220" w:lineRule="auto"/>
            </w:pPr>
            <w:r>
              <w:rPr>
                <w:sz w:val="19"/>
                <w:szCs w:val="19"/>
              </w:rPr>
              <w:t xml:space="preserve">Taux d’apprentissage initial</w:t>
            </w:r>
          </w:p>
        </w:tc>
        <w:tc>
          <w:tcPr>
            <w:tcW w:w="5800" w:type="dxa"/>
          </w:tcPr>
          <w:p>
            <w:pPr>
              <w:spacing w:before="0" w:after="30" w:line="220" w:lineRule="auto"/>
            </w:pPr>
            <w:r>
              <w:rPr>
                <w:sz w:val="19"/>
                <w:szCs w:val="19"/>
              </w:rPr>
              <w:t xml:space="preserve">0.0001</w:t>
            </w:r>
          </w:p>
        </w:tc>
      </w:tr>
      <w:tr>
        <w:tc>
          <w:tcPr>
            <w:tcW w:w="3200" w:type="dxa"/>
          </w:tcPr>
          <w:p>
            <w:pPr>
              <w:spacing w:before="0" w:after="30" w:line="220" w:lineRule="auto"/>
            </w:pPr>
            <w:r>
              <w:rPr>
                <w:sz w:val="19"/>
                <w:szCs w:val="19"/>
              </w:rPr>
              <w:t xml:space="preserve">Sortie</w:t>
            </w:r>
          </w:p>
        </w:tc>
        <w:tc>
          <w:tcPr>
            <w:tcW w:w="5800" w:type="dxa"/>
          </w:tcPr>
          <w:p>
            <w:pPr>
              <w:spacing w:before="0" w:after="30" w:line="220" w:lineRule="auto"/>
            </w:pPr>
            <w:r>
              <w:rPr>
                <w:sz w:val="19"/>
                <w:szCs w:val="19"/>
              </w:rPr>
              <w:t xml:space="preserve">Probabilités des deux classes</w:t>
            </w:r>
          </w:p>
        </w:tc>
      </w:tr>
    </w:tbl>
    <w:p>
      <w:pPr>
        <w:pStyle w:val="Heading2"/>
        <w:spacing w:before="130" w:after="70" w:line="240" w:lineRule="auto"/>
        <w:keepNext/>
      </w:pPr>
      <w:r>
        <w:rPr>
          <w:b/>
          <w:sz w:val="25"/>
          <w:szCs w:val="25"/>
        </w:rPr>
        <w:t xml:space="preserve">2.3 Sélection du modèle</w:t>
      </w:r>
    </w:p>
    <w:p>
      <w:pPr>
        <w:spacing w:before="0" w:after="80" w:line="250" w:lineRule="auto"/>
      </w:pPr>
      <w:r>
        <w:rPr>
          <w:sz w:val="20"/>
          <w:szCs w:val="20"/>
        </w:rPr>
        <w:t xml:space="preserve">RandomizedSearchCV a évalué 12 combinaisons de paramètres au moyen d’une validation croisée stratifiée à cinq plis. Les choix comprenaient des configurations cachées de 64, 128 et 128–64 neurones, les activations ReLU et tanh, trois valeurs de régularisation et deux taux d’apprentissage. L’exactitude constituait la métrique de sélection, random_state était fixé à 42 et le meilleur pipeline a été réentraîné sur tout l’ensemble d’entraînement. L’entraînement a convergé en 30 itérations, la perte passant de 0,9489 à 0,0050.</w:t>
      </w:r>
    </w:p>
    <w:p>
      <w:r>
        <w:br w:type="page"/>
      </w:r>
    </w:p>
    <w:p>
      <w:pPr>
        <w:pStyle w:val="Heading1"/>
        <w:spacing w:before="0" w:after="70" w:line="240" w:lineRule="auto"/>
        <w:keepNext/>
      </w:pPr>
      <w:r>
        <w:rPr>
          <w:b/>
          <w:sz w:val="30"/>
          <w:szCs w:val="30"/>
        </w:rPr>
        <w:t xml:space="preserve">3. Résultats de l’évaluation</w:t>
      </w:r>
    </w:p>
    <w:p>
      <w:pPr>
        <w:pStyle w:val="Heading2"/>
        <w:spacing w:before="130" w:after="70" w:line="240" w:lineRule="auto"/>
        <w:keepNext/>
      </w:pPr>
      <w:r>
        <w:rPr>
          <w:b/>
          <w:sz w:val="25"/>
          <w:szCs w:val="25"/>
        </w:rPr>
        <w:t xml:space="preserve">3.1 Résultats quantitatifs</w:t>
      </w:r>
    </w:p>
    <w:p>
      <w:pPr>
        <w:spacing w:before="0" w:after="80" w:line="250" w:lineRule="auto"/>
      </w:pPr>
      <w:r>
        <w:rPr>
          <w:sz w:val="20"/>
          <w:szCs w:val="20"/>
        </w:rPr>
        <w:t xml:space="preserve">Le modèle sélectionné a obtenu une exactitude moyenne de 97,14 % lors de la validation croisée à cinq plis. Sur le jeu de test réservé, il a correctement classé les 30 échantillons, soit une exactitude de 100,0 %. La précision, le rappel et le score F1 atteignent 1,00 pour les deux classes. La matrice de confusion ne contient aucune erreur hors diagonale.</w:t>
      </w:r>
    </w:p>
    <w:tbl>
      <w:tblPr>
        <w:tblW w:w="9000" w:type="dxa"/>
        <w:tblBorders>
          <w:top w:val="single" w:sz="4" w:color="808080"/>
          <w:left w:val="single" w:sz="4" w:color="808080"/>
          <w:bottom w:val="single" w:sz="4" w:color="808080"/>
          <w:right w:val="single" w:sz="4" w:color="808080"/>
          <w:insideH w:val="single" w:sz="4" w:color="B0B0B0"/>
          <w:insideV w:val="single" w:sz="4" w:color="B0B0B0"/>
        </w:tblBorders>
      </w:tblPr>
      <w:tblGrid>
        <w:gridCol w:w="2200"/>
        <w:gridCol w:w="1900"/>
        <w:gridCol w:w="2200"/>
        <w:gridCol w:w="1800"/>
      </w:tblGrid>
      <w:tr>
        <w:tc>
          <w:tcPr>
            <w:tcW w:w="2200" w:type="dxa"/>
            <w:shd w:fill="D9EAF7"/>
          </w:tcPr>
          <w:p>
            <w:pPr>
              <w:spacing w:before="0" w:after="30" w:line="220" w:lineRule="auto"/>
            </w:pPr>
            <w:r>
              <w:rPr>
                <w:b/>
                <w:sz w:val="19"/>
                <w:szCs w:val="19"/>
              </w:rPr>
              <w:t xml:space="preserve">Métrique</w:t>
            </w:r>
          </w:p>
        </w:tc>
        <w:tc>
          <w:tcPr>
            <w:tcW w:w="1900" w:type="dxa"/>
            <w:shd w:fill="D9EAF7"/>
          </w:tcPr>
          <w:p>
            <w:pPr>
              <w:spacing w:before="0" w:after="30" w:line="220" w:lineRule="auto"/>
            </w:pPr>
            <w:r>
              <w:rPr>
                <w:b/>
                <w:sz w:val="19"/>
                <w:szCs w:val="19"/>
              </w:rPr>
              <w:t xml:space="preserve">others</w:t>
            </w:r>
          </w:p>
        </w:tc>
        <w:tc>
          <w:tcPr>
            <w:tcW w:w="2200" w:type="dxa"/>
            <w:shd w:fill="D9EAF7"/>
          </w:tcPr>
          <w:p>
            <w:pPr>
              <w:spacing w:before="0" w:after="30" w:line="220" w:lineRule="auto"/>
            </w:pPr>
            <w:r>
              <w:rPr>
                <w:b/>
                <w:sz w:val="19"/>
                <w:szCs w:val="19"/>
              </w:rPr>
              <w:t xml:space="preserve">qiyun ge</w:t>
            </w:r>
          </w:p>
        </w:tc>
        <w:tc>
          <w:tcPr>
            <w:tcW w:w="1800" w:type="dxa"/>
            <w:shd w:fill="D9EAF7"/>
          </w:tcPr>
          <w:p>
            <w:pPr>
              <w:spacing w:before="0" w:after="30" w:line="220" w:lineRule="auto"/>
            </w:pPr>
            <w:r>
              <w:rPr>
                <w:b/>
                <w:sz w:val="19"/>
                <w:szCs w:val="19"/>
              </w:rPr>
              <w:t xml:space="preserve">Global</w:t>
            </w:r>
          </w:p>
        </w:tc>
      </w:tr>
      <w:tr>
        <w:tc>
          <w:tcPr>
            <w:tcW w:w="2200" w:type="dxa"/>
          </w:tcPr>
          <w:p>
            <w:pPr>
              <w:spacing w:before="0" w:after="30" w:line="220" w:lineRule="auto"/>
            </w:pPr>
            <w:r>
              <w:rPr>
                <w:sz w:val="19"/>
                <w:szCs w:val="19"/>
              </w:rPr>
              <w:t xml:space="preserve">Précision</w:t>
            </w:r>
          </w:p>
        </w:tc>
        <w:tc>
          <w:tcPr>
            <w:tcW w:w="1900" w:type="dxa"/>
          </w:tcPr>
          <w:p>
            <w:pPr>
              <w:spacing w:before="0" w:after="30" w:line="220" w:lineRule="auto"/>
            </w:pPr>
            <w:r>
              <w:rPr>
                <w:sz w:val="19"/>
                <w:szCs w:val="19"/>
              </w:rPr>
              <w:t xml:space="preserve">1.00</w:t>
            </w:r>
          </w:p>
        </w:tc>
        <w:tc>
          <w:tcPr>
            <w:tcW w:w="2200" w:type="dxa"/>
          </w:tcPr>
          <w:p>
            <w:pPr>
              <w:spacing w:before="0" w:after="30" w:line="220" w:lineRule="auto"/>
            </w:pPr>
            <w:r>
              <w:rPr>
                <w:sz w:val="19"/>
                <w:szCs w:val="19"/>
              </w:rPr>
              <w:t xml:space="preserve">1.00</w:t>
            </w:r>
          </w:p>
        </w:tc>
        <w:tc>
          <w:tcPr>
            <w:tcW w:w="1800" w:type="dxa"/>
          </w:tcPr>
          <w:p>
            <w:pPr>
              <w:spacing w:before="0" w:after="30" w:line="220" w:lineRule="auto"/>
            </w:pPr>
            <w:r>
              <w:rPr>
                <w:sz w:val="19"/>
                <w:szCs w:val="19"/>
              </w:rPr>
              <w:t xml:space="preserve">—</w:t>
            </w:r>
          </w:p>
        </w:tc>
      </w:tr>
      <w:tr>
        <w:tc>
          <w:tcPr>
            <w:tcW w:w="2200" w:type="dxa"/>
          </w:tcPr>
          <w:p>
            <w:pPr>
              <w:spacing w:before="0" w:after="30" w:line="220" w:lineRule="auto"/>
            </w:pPr>
            <w:r>
              <w:rPr>
                <w:sz w:val="19"/>
                <w:szCs w:val="19"/>
              </w:rPr>
              <w:t xml:space="preserve">Rappel</w:t>
            </w:r>
          </w:p>
        </w:tc>
        <w:tc>
          <w:tcPr>
            <w:tcW w:w="1900" w:type="dxa"/>
          </w:tcPr>
          <w:p>
            <w:pPr>
              <w:spacing w:before="0" w:after="30" w:line="220" w:lineRule="auto"/>
            </w:pPr>
            <w:r>
              <w:rPr>
                <w:sz w:val="19"/>
                <w:szCs w:val="19"/>
              </w:rPr>
              <w:t xml:space="preserve">1.00</w:t>
            </w:r>
          </w:p>
        </w:tc>
        <w:tc>
          <w:tcPr>
            <w:tcW w:w="2200" w:type="dxa"/>
          </w:tcPr>
          <w:p>
            <w:pPr>
              <w:spacing w:before="0" w:after="30" w:line="220" w:lineRule="auto"/>
            </w:pPr>
            <w:r>
              <w:rPr>
                <w:sz w:val="19"/>
                <w:szCs w:val="19"/>
              </w:rPr>
              <w:t xml:space="preserve">1.00</w:t>
            </w:r>
          </w:p>
        </w:tc>
        <w:tc>
          <w:tcPr>
            <w:tcW w:w="1800" w:type="dxa"/>
          </w:tcPr>
          <w:p>
            <w:pPr>
              <w:spacing w:before="0" w:after="30" w:line="220" w:lineRule="auto"/>
            </w:pPr>
            <w:r>
              <w:rPr>
                <w:sz w:val="19"/>
                <w:szCs w:val="19"/>
              </w:rPr>
              <w:t xml:space="preserve">—</w:t>
            </w:r>
          </w:p>
        </w:tc>
      </w:tr>
      <w:tr>
        <w:tc>
          <w:tcPr>
            <w:tcW w:w="2200" w:type="dxa"/>
          </w:tcPr>
          <w:p>
            <w:pPr>
              <w:spacing w:before="0" w:after="30" w:line="220" w:lineRule="auto"/>
            </w:pPr>
            <w:r>
              <w:rPr>
                <w:sz w:val="19"/>
                <w:szCs w:val="19"/>
              </w:rPr>
              <w:t xml:space="preserve">Score F1</w:t>
            </w:r>
          </w:p>
        </w:tc>
        <w:tc>
          <w:tcPr>
            <w:tcW w:w="1900" w:type="dxa"/>
          </w:tcPr>
          <w:p>
            <w:pPr>
              <w:spacing w:before="0" w:after="30" w:line="220" w:lineRule="auto"/>
            </w:pPr>
            <w:r>
              <w:rPr>
                <w:sz w:val="19"/>
                <w:szCs w:val="19"/>
              </w:rPr>
              <w:t xml:space="preserve">1.00</w:t>
            </w:r>
          </w:p>
        </w:tc>
        <w:tc>
          <w:tcPr>
            <w:tcW w:w="2200" w:type="dxa"/>
          </w:tcPr>
          <w:p>
            <w:pPr>
              <w:spacing w:before="0" w:after="30" w:line="220" w:lineRule="auto"/>
            </w:pPr>
            <w:r>
              <w:rPr>
                <w:sz w:val="19"/>
                <w:szCs w:val="19"/>
              </w:rPr>
              <w:t xml:space="preserve">1.00</w:t>
            </w:r>
          </w:p>
        </w:tc>
        <w:tc>
          <w:tcPr>
            <w:tcW w:w="1800" w:type="dxa"/>
          </w:tcPr>
          <w:p>
            <w:pPr>
              <w:spacing w:before="0" w:after="30" w:line="220" w:lineRule="auto"/>
            </w:pPr>
            <w:r>
              <w:rPr>
                <w:sz w:val="19"/>
                <w:szCs w:val="19"/>
              </w:rPr>
              <w:t xml:space="preserve">1.00</w:t>
            </w:r>
          </w:p>
        </w:tc>
      </w:tr>
      <w:tr>
        <w:tc>
          <w:tcPr>
            <w:tcW w:w="2200" w:type="dxa"/>
          </w:tcPr>
          <w:p>
            <w:pPr>
              <w:spacing w:before="0" w:after="30" w:line="220" w:lineRule="auto"/>
            </w:pPr>
            <w:r>
              <w:rPr>
                <w:sz w:val="19"/>
                <w:szCs w:val="19"/>
              </w:rPr>
              <w:t xml:space="preserve">Effectif</w:t>
            </w:r>
          </w:p>
        </w:tc>
        <w:tc>
          <w:tcPr>
            <w:tcW w:w="1900" w:type="dxa"/>
          </w:tcPr>
          <w:p>
            <w:pPr>
              <w:spacing w:before="0" w:after="30" w:line="220" w:lineRule="auto"/>
            </w:pPr>
            <w:r>
              <w:rPr>
                <w:sz w:val="19"/>
                <w:szCs w:val="19"/>
              </w:rPr>
              <w:t xml:space="preserve">15</w:t>
            </w:r>
          </w:p>
        </w:tc>
        <w:tc>
          <w:tcPr>
            <w:tcW w:w="2200" w:type="dxa"/>
          </w:tcPr>
          <w:p>
            <w:pPr>
              <w:spacing w:before="0" w:after="30" w:line="220" w:lineRule="auto"/>
            </w:pPr>
            <w:r>
              <w:rPr>
                <w:sz w:val="19"/>
                <w:szCs w:val="19"/>
              </w:rPr>
              <w:t xml:space="preserve">15</w:t>
            </w:r>
          </w:p>
        </w:tc>
        <w:tc>
          <w:tcPr>
            <w:tcW w:w="1800" w:type="dxa"/>
          </w:tcPr>
          <w:p>
            <w:pPr>
              <w:spacing w:before="0" w:after="30" w:line="220" w:lineRule="auto"/>
            </w:pPr>
            <w:r>
              <w:rPr>
                <w:sz w:val="19"/>
                <w:szCs w:val="19"/>
              </w:rPr>
              <w:t xml:space="preserve">30</w:t>
            </w:r>
          </w:p>
        </w:tc>
      </w:tr>
      <w:tr>
        <w:tc>
          <w:tcPr>
            <w:tcW w:w="2200" w:type="dxa"/>
          </w:tcPr>
          <w:p>
            <w:pPr>
              <w:spacing w:before="0" w:after="30" w:line="220" w:lineRule="auto"/>
            </w:pPr>
            <w:r>
              <w:rPr>
                <w:sz w:val="19"/>
                <w:szCs w:val="19"/>
              </w:rPr>
              <w:t xml:space="preserve">Exactitude</w:t>
            </w:r>
          </w:p>
        </w:tc>
        <w:tc>
          <w:tcPr>
            <w:tcW w:w="1900" w:type="dxa"/>
          </w:tcPr>
          <w:p>
            <w:pPr>
              <w:spacing w:before="0" w:after="30" w:line="220" w:lineRule="auto"/>
            </w:pPr>
            <w:r>
              <w:rPr>
                <w:sz w:val="19"/>
                <w:szCs w:val="19"/>
              </w:rPr>
              <w:t xml:space="preserve">—</w:t>
            </w:r>
          </w:p>
        </w:tc>
        <w:tc>
          <w:tcPr>
            <w:tcW w:w="2200" w:type="dxa"/>
          </w:tcPr>
          <w:p>
            <w:pPr>
              <w:spacing w:before="0" w:after="30" w:line="220" w:lineRule="auto"/>
            </w:pPr>
            <w:r>
              <w:rPr>
                <w:sz w:val="19"/>
                <w:szCs w:val="19"/>
              </w:rPr>
              <w:t xml:space="preserve">—</w:t>
            </w:r>
          </w:p>
        </w:tc>
        <w:tc>
          <w:tcPr>
            <w:tcW w:w="1800" w:type="dxa"/>
          </w:tcPr>
          <w:p>
            <w:pPr>
              <w:spacing w:before="0" w:after="30" w:line="220" w:lineRule="auto"/>
            </w:pPr>
            <w:r>
              <w:rPr>
                <w:sz w:val="19"/>
                <w:szCs w:val="19"/>
              </w:rPr>
              <w:t xml:space="preserve">100%</w:t>
            </w:r>
          </w:p>
        </w:tc>
      </w:tr>
    </w:tbl>
    <w:p>
      <w:pPr>
        <w:pStyle w:val="Heading2"/>
        <w:spacing w:before="130" w:after="70" w:line="240" w:lineRule="auto"/>
        <w:keepNext/>
      </w:pPr>
      <w:r>
        <w:rPr>
          <w:b/>
          <w:sz w:val="25"/>
          <w:szCs w:val="25"/>
        </w:rPr>
        <w:t xml:space="preserve">3.2 Matrice de confusion</w:t>
      </w:r>
    </w:p>
    <w:tbl>
      <w:tblPr>
        <w:tblW w:w="9000" w:type="dxa"/>
        <w:tblBorders>
          <w:top w:val="single" w:sz="4" w:color="808080"/>
          <w:left w:val="single" w:sz="4" w:color="808080"/>
          <w:bottom w:val="single" w:sz="4" w:color="808080"/>
          <w:right w:val="single" w:sz="4" w:color="808080"/>
          <w:insideH w:val="single" w:sz="4" w:color="B0B0B0"/>
          <w:insideV w:val="single" w:sz="4" w:color="B0B0B0"/>
        </w:tblBorders>
      </w:tblPr>
      <w:tblGrid>
        <w:gridCol w:w="3900"/>
        <w:gridCol w:w="2500"/>
        <w:gridCol w:w="2600"/>
      </w:tblGrid>
      <w:tr>
        <w:tc>
          <w:tcPr>
            <w:tcW w:w="3900" w:type="dxa"/>
            <w:shd w:fill="D9EAF7"/>
          </w:tcPr>
          <w:p>
            <w:pPr>
              <w:spacing w:before="0" w:after="30" w:line="220" w:lineRule="auto"/>
            </w:pPr>
            <w:r>
              <w:rPr>
                <w:b/>
                <w:sz w:val="19"/>
                <w:szCs w:val="19"/>
              </w:rPr>
              <w:t xml:space="preserve">Réel / Prédit</w:t>
            </w:r>
          </w:p>
        </w:tc>
        <w:tc>
          <w:tcPr>
            <w:tcW w:w="2500" w:type="dxa"/>
            <w:shd w:fill="D9EAF7"/>
          </w:tcPr>
          <w:p>
            <w:pPr>
              <w:spacing w:before="0" w:after="30" w:line="220" w:lineRule="auto"/>
            </w:pPr>
            <w:r>
              <w:rPr>
                <w:b/>
                <w:sz w:val="19"/>
                <w:szCs w:val="19"/>
              </w:rPr>
              <w:t xml:space="preserve">others</w:t>
            </w:r>
          </w:p>
        </w:tc>
        <w:tc>
          <w:tcPr>
            <w:tcW w:w="2600" w:type="dxa"/>
            <w:shd w:fill="D9EAF7"/>
          </w:tcPr>
          <w:p>
            <w:pPr>
              <w:spacing w:before="0" w:after="30" w:line="220" w:lineRule="auto"/>
            </w:pPr>
            <w:r>
              <w:rPr>
                <w:b/>
                <w:sz w:val="19"/>
                <w:szCs w:val="19"/>
              </w:rPr>
              <w:t xml:space="preserve">qiyun ge</w:t>
            </w:r>
          </w:p>
        </w:tc>
      </w:tr>
      <w:tr>
        <w:tc>
          <w:tcPr>
            <w:tcW w:w="3900" w:type="dxa"/>
          </w:tcPr>
          <w:p>
            <w:pPr>
              <w:spacing w:before="0" w:after="30" w:line="220" w:lineRule="auto"/>
            </w:pPr>
            <w:r>
              <w:rPr>
                <w:sz w:val="19"/>
                <w:szCs w:val="19"/>
              </w:rPr>
              <w:t xml:space="preserve">others</w:t>
            </w:r>
          </w:p>
        </w:tc>
        <w:tc>
          <w:tcPr>
            <w:tcW w:w="2500" w:type="dxa"/>
          </w:tcPr>
          <w:p>
            <w:pPr>
              <w:spacing w:before="0" w:after="30" w:line="220" w:lineRule="auto"/>
            </w:pPr>
            <w:r>
              <w:rPr>
                <w:sz w:val="19"/>
                <w:szCs w:val="19"/>
              </w:rPr>
              <w:t xml:space="preserve">15</w:t>
            </w:r>
          </w:p>
        </w:tc>
        <w:tc>
          <w:tcPr>
            <w:tcW w:w="2600" w:type="dxa"/>
          </w:tcPr>
          <w:p>
            <w:pPr>
              <w:spacing w:before="0" w:after="30" w:line="220" w:lineRule="auto"/>
            </w:pPr>
            <w:r>
              <w:rPr>
                <w:sz w:val="19"/>
                <w:szCs w:val="19"/>
              </w:rPr>
              <w:t xml:space="preserve">0</w:t>
            </w:r>
          </w:p>
        </w:tc>
      </w:tr>
      <w:tr>
        <w:tc>
          <w:tcPr>
            <w:tcW w:w="3900" w:type="dxa"/>
          </w:tcPr>
          <w:p>
            <w:pPr>
              <w:spacing w:before="0" w:after="30" w:line="220" w:lineRule="auto"/>
            </w:pPr>
            <w:r>
              <w:rPr>
                <w:sz w:val="19"/>
                <w:szCs w:val="19"/>
              </w:rPr>
              <w:t xml:space="preserve">qiyun ge</w:t>
            </w:r>
          </w:p>
        </w:tc>
        <w:tc>
          <w:tcPr>
            <w:tcW w:w="2500" w:type="dxa"/>
          </w:tcPr>
          <w:p>
            <w:pPr>
              <w:spacing w:before="0" w:after="30" w:line="220" w:lineRule="auto"/>
            </w:pPr>
            <w:r>
              <w:rPr>
                <w:sz w:val="19"/>
                <w:szCs w:val="19"/>
              </w:rPr>
              <w:t xml:space="preserve">0</w:t>
            </w:r>
          </w:p>
        </w:tc>
        <w:tc>
          <w:tcPr>
            <w:tcW w:w="2600" w:type="dxa"/>
          </w:tcPr>
          <w:p>
            <w:pPr>
              <w:spacing w:before="0" w:after="30" w:line="220" w:lineRule="auto"/>
            </w:pPr>
            <w:r>
              <w:rPr>
                <w:sz w:val="19"/>
                <w:szCs w:val="19"/>
              </w:rPr>
              <w:t xml:space="preserve">15</w:t>
            </w:r>
          </w:p>
        </w:tc>
      </w:tr>
    </w:tbl>
    <w:p>
      <w:pPr>
        <w:pStyle w:val="Heading2"/>
        <w:spacing w:before="130" w:after="70" w:line="240" w:lineRule="auto"/>
        <w:keepNext/>
      </w:pPr>
      <w:r>
        <w:rPr>
          <w:b/>
          <w:sz w:val="25"/>
          <w:szCs w:val="25"/>
        </w:rPr>
        <w:t xml:space="preserve">3.3 Interprétation</w:t>
      </w:r>
    </w:p>
    <w:p>
      <w:pPr>
        <w:spacing w:before="0" w:after="80" w:line="250" w:lineRule="auto"/>
      </w:pPr>
      <w:r>
        <w:rPr>
          <w:sz w:val="20"/>
          <w:szCs w:val="20"/>
        </w:rPr>
        <w:t xml:space="preserve">Le résultat parfait au test indique que les deux classes sont séparables dans ce jeu de données et que le prétraitement est cohérent entre l’entraînement et l’inférence. Le résultat légèrement inférieur de la validation croisée constitue une estimation plus prudente, puisqu’il regroupe les performances de plusieurs divisions entraînement-validation. Il ne faut pas interpréter ce résultat comme une reconnaissance universelle à 100 % : le jeu de test est petit, les images proviennent d’un processus d’acquisition limité et les échantillons d’une même séance peuvent partager le même arrière-plan, la même caméra et le même éclairage.</w:t>
      </w:r>
    </w:p>
    <w:p>
      <w:pPr>
        <w:spacing w:before="0" w:after="80" w:line="250" w:lineRule="auto"/>
      </w:pPr>
      <w:r>
        <w:rPr>
          <w:sz w:val="20"/>
          <w:szCs w:val="20"/>
        </w:rPr>
        <w:t xml:space="preserve">Une évaluation plus rigoureuse utiliserait une nouvelle séance réalisée un autre jour et avec un autre appareil, ajouterait davantage de personnes sans lien avec l’entraînement, testerait le contre-jour et les occultations partielles, puis mesurerait les taux de fausse acceptation et de faux rejet pour plusieurs seuils de confiance.</w:t>
      </w:r>
    </w:p>
    <w:p>
      <w:r>
        <w:br w:type="page"/>
      </w:r>
    </w:p>
    <w:p>
      <w:pPr>
        <w:pStyle w:val="Heading1"/>
        <w:spacing w:before="0" w:after="70" w:line="240" w:lineRule="auto"/>
        <w:keepNext/>
      </w:pPr>
      <w:r>
        <w:rPr>
          <w:b/>
          <w:sz w:val="30"/>
          <w:szCs w:val="30"/>
        </w:rPr>
        <w:t xml:space="preserve">4. Application en temps réel</w:t>
      </w:r>
    </w:p>
    <w:p>
      <w:pPr>
        <w:pStyle w:val="Heading2"/>
        <w:spacing w:before="130" w:after="70" w:line="240" w:lineRule="auto"/>
        <w:keepNext/>
      </w:pPr>
      <w:r>
        <w:rPr>
          <w:b/>
          <w:sz w:val="25"/>
          <w:szCs w:val="25"/>
        </w:rPr>
        <w:t xml:space="preserve">4.1 Déroulement de l’exécution</w:t>
      </w:r>
    </w:p>
    <w:p>
      <w:pPr>
        <w:spacing w:before="0" w:after="80" w:line="250" w:lineRule="auto"/>
      </w:pPr>
      <w:r>
        <w:rPr>
          <w:sz w:val="20"/>
          <w:szCs w:val="20"/>
        </w:rPr>
        <w:t xml:space="preserve">L’application finale combine la capture par webcam, la détection faciale, le prétraitement, l’inférence du RNA et la visualisation. Dans la version Web, JavaScript capture une image JPEG compressée environ trois fois par seconde et l’envoie au point de terminaison FastAPI de même origine. Le serveur détecte chaque visage, classe chaque recadrage et renvoie une étiquette, un niveau de confiance et une boîte englobante. L’interface superpose ensuite les résultats à l’image de la caméra.</w:t>
      </w:r>
    </w:p>
    <w:tbl>
      <w:tblPr>
        <w:tblW w:w="9000" w:type="dxa"/>
        <w:tblBorders>
          <w:top w:val="single" w:sz="4" w:color="808080"/>
          <w:left w:val="single" w:sz="4" w:color="808080"/>
          <w:bottom w:val="single" w:sz="4" w:color="808080"/>
          <w:right w:val="single" w:sz="4" w:color="808080"/>
          <w:insideH w:val="single" w:sz="4" w:color="B0B0B0"/>
          <w:insideV w:val="single" w:sz="4" w:color="B0B0B0"/>
        </w:tblBorders>
      </w:tblPr>
      <w:tblGrid>
        <w:gridCol w:w="900"/>
        <w:gridCol w:w="4800"/>
        <w:gridCol w:w="3300"/>
      </w:tblGrid>
      <w:tr>
        <w:tc>
          <w:tcPr>
            <w:tcW w:w="900" w:type="dxa"/>
            <w:shd w:fill="D9EAF7"/>
          </w:tcPr>
          <w:p>
            <w:pPr>
              <w:spacing w:before="0" w:after="30" w:line="220" w:lineRule="auto"/>
            </w:pPr>
            <w:r>
              <w:rPr>
                <w:b/>
                <w:sz w:val="19"/>
                <w:szCs w:val="19"/>
              </w:rPr>
              <w:t xml:space="preserve">Étape</w:t>
            </w:r>
          </w:p>
        </w:tc>
        <w:tc>
          <w:tcPr>
            <w:tcW w:w="4800" w:type="dxa"/>
            <w:shd w:fill="D9EAF7"/>
          </w:tcPr>
          <w:p>
            <w:pPr>
              <w:spacing w:before="0" w:after="30" w:line="220" w:lineRule="auto"/>
            </w:pPr>
            <w:r>
              <w:rPr>
                <w:b/>
                <w:sz w:val="19"/>
                <w:szCs w:val="19"/>
              </w:rPr>
              <w:t xml:space="preserve">Opération</w:t>
            </w:r>
          </w:p>
        </w:tc>
        <w:tc>
          <w:tcPr>
            <w:tcW w:w="3300" w:type="dxa"/>
            <w:shd w:fill="D9EAF7"/>
          </w:tcPr>
          <w:p>
            <w:pPr>
              <w:spacing w:before="0" w:after="30" w:line="220" w:lineRule="auto"/>
            </w:pPr>
            <w:r>
              <w:rPr>
                <w:b/>
                <w:sz w:val="19"/>
                <w:szCs w:val="19"/>
              </w:rPr>
              <w:t xml:space="preserve">Sortie</w:t>
            </w:r>
          </w:p>
        </w:tc>
      </w:tr>
      <w:tr>
        <w:tc>
          <w:tcPr>
            <w:tcW w:w="900" w:type="dxa"/>
          </w:tcPr>
          <w:p>
            <w:pPr>
              <w:spacing w:before="0" w:after="30" w:line="220" w:lineRule="auto"/>
            </w:pPr>
            <w:r>
              <w:rPr>
                <w:sz w:val="19"/>
                <w:szCs w:val="19"/>
              </w:rPr>
              <w:t xml:space="preserve">1</w:t>
            </w:r>
          </w:p>
        </w:tc>
        <w:tc>
          <w:tcPr>
            <w:tcW w:w="4800" w:type="dxa"/>
          </w:tcPr>
          <w:p>
            <w:pPr>
              <w:spacing w:before="0" w:after="30" w:line="220" w:lineRule="auto"/>
            </w:pPr>
            <w:r>
              <w:rPr>
                <w:sz w:val="19"/>
                <w:szCs w:val="19"/>
              </w:rPr>
              <w:t xml:space="preserve">Capturer une image de la webcam</w:t>
            </w:r>
          </w:p>
        </w:tc>
        <w:tc>
          <w:tcPr>
            <w:tcW w:w="3300" w:type="dxa"/>
          </w:tcPr>
          <w:p>
            <w:pPr>
              <w:spacing w:before="0" w:after="30" w:line="220" w:lineRule="auto"/>
            </w:pPr>
            <w:r>
              <w:rPr>
                <w:sz w:val="19"/>
                <w:szCs w:val="19"/>
              </w:rPr>
              <w:t xml:space="preserve">Image JPEG</w:t>
            </w:r>
          </w:p>
        </w:tc>
      </w:tr>
      <w:tr>
        <w:tc>
          <w:tcPr>
            <w:tcW w:w="900" w:type="dxa"/>
          </w:tcPr>
          <w:p>
            <w:pPr>
              <w:spacing w:before="0" w:after="30" w:line="220" w:lineRule="auto"/>
            </w:pPr>
            <w:r>
              <w:rPr>
                <w:sz w:val="19"/>
                <w:szCs w:val="19"/>
              </w:rPr>
              <w:t xml:space="preserve">2</w:t>
            </w:r>
          </w:p>
        </w:tc>
        <w:tc>
          <w:tcPr>
            <w:tcW w:w="4800" w:type="dxa"/>
          </w:tcPr>
          <w:p>
            <w:pPr>
              <w:spacing w:before="0" w:after="30" w:line="220" w:lineRule="auto"/>
            </w:pPr>
            <w:r>
              <w:rPr>
                <w:sz w:val="19"/>
                <w:szCs w:val="19"/>
              </w:rPr>
              <w:t xml:space="preserve">Détecter les visages avec YuNet</w:t>
            </w:r>
          </w:p>
        </w:tc>
        <w:tc>
          <w:tcPr>
            <w:tcW w:w="3300" w:type="dxa"/>
          </w:tcPr>
          <w:p>
            <w:pPr>
              <w:spacing w:before="0" w:after="30" w:line="220" w:lineRule="auto"/>
            </w:pPr>
            <w:r>
              <w:rPr>
                <w:sz w:val="19"/>
                <w:szCs w:val="19"/>
              </w:rPr>
              <w:t xml:space="preserve">Boîtes englobantes</w:t>
            </w:r>
          </w:p>
        </w:tc>
      </w:tr>
      <w:tr>
        <w:tc>
          <w:tcPr>
            <w:tcW w:w="900" w:type="dxa"/>
          </w:tcPr>
          <w:p>
            <w:pPr>
              <w:spacing w:before="0" w:after="30" w:line="220" w:lineRule="auto"/>
            </w:pPr>
            <w:r>
              <w:rPr>
                <w:sz w:val="19"/>
                <w:szCs w:val="19"/>
              </w:rPr>
              <w:t xml:space="preserve">3</w:t>
            </w:r>
          </w:p>
        </w:tc>
        <w:tc>
          <w:tcPr>
            <w:tcW w:w="4800" w:type="dxa"/>
          </w:tcPr>
          <w:p>
            <w:pPr>
              <w:spacing w:before="0" w:after="30" w:line="220" w:lineRule="auto"/>
            </w:pPr>
            <w:r>
              <w:rPr>
                <w:sz w:val="19"/>
                <w:szCs w:val="19"/>
              </w:rPr>
              <w:t xml:space="preserve">Recadrer et prétraiter</w:t>
            </w:r>
          </w:p>
        </w:tc>
        <w:tc>
          <w:tcPr>
            <w:tcW w:w="3300" w:type="dxa"/>
          </w:tcPr>
          <w:p>
            <w:pPr>
              <w:spacing w:before="0" w:after="30" w:line="220" w:lineRule="auto"/>
            </w:pPr>
            <w:r>
              <w:rPr>
                <w:sz w:val="19"/>
                <w:szCs w:val="19"/>
              </w:rPr>
              <w:t xml:space="preserve">Vecteurs normalisés</w:t>
            </w:r>
          </w:p>
        </w:tc>
      </w:tr>
      <w:tr>
        <w:tc>
          <w:tcPr>
            <w:tcW w:w="900" w:type="dxa"/>
          </w:tcPr>
          <w:p>
            <w:pPr>
              <w:spacing w:before="0" w:after="30" w:line="220" w:lineRule="auto"/>
            </w:pPr>
            <w:r>
              <w:rPr>
                <w:sz w:val="19"/>
                <w:szCs w:val="19"/>
              </w:rPr>
              <w:t xml:space="preserve">4</w:t>
            </w:r>
          </w:p>
        </w:tc>
        <w:tc>
          <w:tcPr>
            <w:tcW w:w="4800" w:type="dxa"/>
          </w:tcPr>
          <w:p>
            <w:pPr>
              <w:spacing w:before="0" w:after="30" w:line="220" w:lineRule="auto"/>
            </w:pPr>
            <w:r>
              <w:rPr>
                <w:sz w:val="19"/>
                <w:szCs w:val="19"/>
              </w:rPr>
              <w:t xml:space="preserve">Prédire les probabilités avec le MLP</w:t>
            </w:r>
          </w:p>
        </w:tc>
        <w:tc>
          <w:tcPr>
            <w:tcW w:w="3300" w:type="dxa"/>
          </w:tcPr>
          <w:p>
            <w:pPr>
              <w:spacing w:before="0" w:after="30" w:line="220" w:lineRule="auto"/>
            </w:pPr>
            <w:r>
              <w:rPr>
                <w:sz w:val="19"/>
                <w:szCs w:val="19"/>
              </w:rPr>
              <w:t xml:space="preserve">Étiquette + confiance</w:t>
            </w:r>
          </w:p>
        </w:tc>
      </w:tr>
      <w:tr>
        <w:tc>
          <w:tcPr>
            <w:tcW w:w="900" w:type="dxa"/>
          </w:tcPr>
          <w:p>
            <w:pPr>
              <w:spacing w:before="0" w:after="30" w:line="220" w:lineRule="auto"/>
            </w:pPr>
            <w:r>
              <w:rPr>
                <w:sz w:val="19"/>
                <w:szCs w:val="19"/>
              </w:rPr>
              <w:t xml:space="preserve">5</w:t>
            </w:r>
          </w:p>
        </w:tc>
        <w:tc>
          <w:tcPr>
            <w:tcW w:w="4800" w:type="dxa"/>
          </w:tcPr>
          <w:p>
            <w:pPr>
              <w:spacing w:before="0" w:after="30" w:line="220" w:lineRule="auto"/>
            </w:pPr>
            <w:r>
              <w:rPr>
                <w:sz w:val="19"/>
                <w:szCs w:val="19"/>
              </w:rPr>
              <w:t xml:space="preserve">Appliquer le seuil d’inconnu</w:t>
            </w:r>
          </w:p>
        </w:tc>
        <w:tc>
          <w:tcPr>
            <w:tcW w:w="3300" w:type="dxa"/>
          </w:tcPr>
          <w:p>
            <w:pPr>
              <w:spacing w:before="0" w:after="30" w:line="220" w:lineRule="auto"/>
            </w:pPr>
            <w:r>
              <w:rPr>
                <w:sz w:val="19"/>
                <w:szCs w:val="19"/>
              </w:rPr>
              <w:t xml:space="preserve">Nom connu ou Inconnu</w:t>
            </w:r>
          </w:p>
        </w:tc>
      </w:tr>
      <w:tr>
        <w:tc>
          <w:tcPr>
            <w:tcW w:w="900" w:type="dxa"/>
          </w:tcPr>
          <w:p>
            <w:pPr>
              <w:spacing w:before="0" w:after="30" w:line="220" w:lineRule="auto"/>
            </w:pPr>
            <w:r>
              <w:rPr>
                <w:sz w:val="19"/>
                <w:szCs w:val="19"/>
              </w:rPr>
              <w:t xml:space="preserve">6</w:t>
            </w:r>
          </w:p>
        </w:tc>
        <w:tc>
          <w:tcPr>
            <w:tcW w:w="4800" w:type="dxa"/>
          </w:tcPr>
          <w:p>
            <w:pPr>
              <w:spacing w:before="0" w:after="30" w:line="220" w:lineRule="auto"/>
            </w:pPr>
            <w:r>
              <w:rPr>
                <w:sz w:val="19"/>
                <w:szCs w:val="19"/>
              </w:rPr>
              <w:t xml:space="preserve">Afficher la superposition</w:t>
            </w:r>
          </w:p>
        </w:tc>
        <w:tc>
          <w:tcPr>
            <w:tcW w:w="3300" w:type="dxa"/>
          </w:tcPr>
          <w:p>
            <w:pPr>
              <w:spacing w:before="0" w:after="30" w:line="220" w:lineRule="auto"/>
            </w:pPr>
            <w:r>
              <w:rPr>
                <w:sz w:val="19"/>
                <w:szCs w:val="19"/>
              </w:rPr>
              <w:t xml:space="preserve">Boîte, étiquette, confiance</w:t>
            </w:r>
          </w:p>
        </w:tc>
      </w:tr>
    </w:tbl>
    <w:p>
      <w:pPr>
        <w:pStyle w:val="Heading2"/>
        <w:spacing w:before="130" w:after="70" w:line="240" w:lineRule="auto"/>
        <w:keepNext/>
      </w:pPr>
      <w:r>
        <w:rPr>
          <w:b/>
          <w:sz w:val="25"/>
          <w:szCs w:val="25"/>
        </w:rPr>
        <w:t xml:space="preserve">4.2 Gestion des personnes inconnues</w:t>
      </w:r>
    </w:p>
    <w:p>
      <w:pPr>
        <w:spacing w:before="0" w:after="80" w:line="250" w:lineRule="auto"/>
      </w:pPr>
      <w:r>
        <w:rPr>
          <w:sz w:val="20"/>
          <w:szCs w:val="20"/>
        </w:rPr>
        <w:t xml:space="preserve">Le réseau renvoie toujours des probabilités pour les classes apprises. Afin de respecter l’exigence du projet, le prédicteur compare la probabilité maximale à un seuil configurable. Si la confiance est inférieure au seuil, l’étiquette affichée devient « Inconnu »; sinon, la classe prédite est affichée. Ce seuil permet un rejet pratique, même si un classificateur fermé à deux classes ne constitue pas une solution complète de reconnaissance en ensemble ouvert.</w:t>
      </w:r>
    </w:p>
    <w:p>
      <w:pPr>
        <w:pStyle w:val="Heading2"/>
        <w:spacing w:before="130" w:after="70" w:line="240" w:lineRule="auto"/>
        <w:keepNext/>
      </w:pPr>
      <w:r>
        <w:rPr>
          <w:b/>
          <w:sz w:val="25"/>
          <w:szCs w:val="25"/>
        </w:rPr>
        <w:t xml:space="preserve">4.3 Interface et API</w:t>
      </w:r>
    </w:p>
    <w:p>
      <w:pPr>
        <w:pStyle w:val="ListBullet"/>
        <w:numPr>
          <w:ilvl w:val="0"/>
          <w:numId w:val="1"/>
        </w:numPr>
        <w:spacing w:after="35" w:line="235" w:lineRule="auto"/>
        <w:ind w:left="420" w:hanging="240"/>
      </w:pPr>
      <w:r>
        <w:rPr>
          <w:sz w:val="20"/>
          <w:szCs w:val="20"/>
        </w:rPr>
        <w:t xml:space="preserve">La page de la caméra affiche les boîtes englobantes, les noms prédits et les scores de confiance.</w:t>
      </w:r>
    </w:p>
    <w:p>
      <w:pPr>
        <w:pStyle w:val="ListBullet"/>
        <w:numPr>
          <w:ilvl w:val="0"/>
          <w:numId w:val="1"/>
        </w:numPr>
        <w:spacing w:after="35" w:line="235" w:lineRule="auto"/>
        <w:ind w:left="420" w:hanging="240"/>
      </w:pPr>
      <w:r>
        <w:rPr>
          <w:sz w:val="20"/>
          <w:szCs w:val="20"/>
        </w:rPr>
        <w:t xml:space="preserve">GET /api/v1/health signale l’état de préparation et les erreurs de chargement du modèle.</w:t>
      </w:r>
    </w:p>
    <w:p>
      <w:pPr>
        <w:pStyle w:val="ListBullet"/>
        <w:numPr>
          <w:ilvl w:val="0"/>
          <w:numId w:val="1"/>
        </w:numPr>
        <w:spacing w:after="35" w:line="235" w:lineRule="auto"/>
        <w:ind w:left="420" w:hanging="240"/>
      </w:pPr>
      <w:r>
        <w:rPr>
          <w:sz w:val="20"/>
          <w:szCs w:val="20"/>
        </w:rPr>
        <w:t xml:space="preserve">GET /api/v1/model indique le détecteur, le seuil et les classes connues.</w:t>
      </w:r>
    </w:p>
    <w:p>
      <w:pPr>
        <w:pStyle w:val="ListBullet"/>
        <w:numPr>
          <w:ilvl w:val="0"/>
          <w:numId w:val="1"/>
        </w:numPr>
        <w:spacing w:after="35" w:line="235" w:lineRule="auto"/>
        <w:ind w:left="420" w:hanging="240"/>
      </w:pPr>
      <w:r>
        <w:rPr>
          <w:sz w:val="20"/>
          <w:szCs w:val="20"/>
        </w:rPr>
        <w:t xml:space="preserve">POST /api/v1/recognize accepte une image JPEG et renvoie des résultats faciaux structurés.</w:t>
      </w:r>
    </w:p>
    <w:p>
      <w:pPr>
        <w:pStyle w:val="ListBullet"/>
        <w:numPr>
          <w:ilvl w:val="0"/>
          <w:numId w:val="1"/>
        </w:numPr>
        <w:spacing w:after="35" w:line="235" w:lineRule="auto"/>
        <w:ind w:left="420" w:hanging="240"/>
      </w:pPr>
      <w:r>
        <w:rPr>
          <w:sz w:val="20"/>
          <w:szCs w:val="20"/>
        </w:rPr>
        <w:t xml:space="preserve">GET /api/docs fournit une documentation OpenAPI interactive.</w:t>
      </w:r>
    </w:p>
    <w:p>
      <w:pPr>
        <w:jc w:val="center"/>
        <w:spacing w:before="80" w:after="80" w:line="250" w:lineRule="auto"/>
      </w:pPr>
      <w:r>
        <w:rPr>
          <w:i/>
          <w:sz w:val="19"/>
          <w:szCs w:val="19"/>
        </w:rPr>
        <w:t xml:space="preserve">[INSÉRER UNE CAPTURE D’ÉCRAN : page caméra du navigateur avec boîtes, étiquettes et scores de confiance.]</w:t>
      </w:r>
    </w:p>
    <w:p>
      <w:r>
        <w:br w:type="page"/>
      </w:r>
    </w:p>
    <w:p>
      <w:pPr>
        <w:pStyle w:val="Heading1"/>
        <w:spacing w:before="0" w:after="70" w:line="240" w:lineRule="auto"/>
        <w:keepNext/>
      </w:pPr>
      <w:r>
        <w:rPr>
          <w:b/>
          <w:sz w:val="30"/>
          <w:szCs w:val="30"/>
        </w:rPr>
        <w:t xml:space="preserve">5. Limites, améliorations et conclusion</w:t>
      </w:r>
    </w:p>
    <w:p>
      <w:pPr>
        <w:pStyle w:val="Heading2"/>
        <w:spacing w:before="130" w:after="70" w:line="240" w:lineRule="auto"/>
        <w:keepNext/>
      </w:pPr>
      <w:r>
        <w:rPr>
          <w:b/>
          <w:sz w:val="25"/>
          <w:szCs w:val="25"/>
        </w:rPr>
        <w:t xml:space="preserve">5.1 Limites</w:t>
      </w:r>
    </w:p>
    <w:p>
      <w:pPr>
        <w:pStyle w:val="ListBullet"/>
        <w:numPr>
          <w:ilvl w:val="0"/>
          <w:numId w:val="1"/>
        </w:numPr>
        <w:spacing w:after="35" w:line="235" w:lineRule="auto"/>
        <w:ind w:left="420" w:hanging="240"/>
      </w:pPr>
      <w:r>
        <w:rPr>
          <w:sz w:val="20"/>
          <w:szCs w:val="20"/>
        </w:rPr>
        <w:t xml:space="preserve">Le jeu de test ne contient que 30 images et peut mal représenter les environnements inconnus.</w:t>
      </w:r>
    </w:p>
    <w:p>
      <w:pPr>
        <w:pStyle w:val="ListBullet"/>
        <w:numPr>
          <w:ilvl w:val="0"/>
          <w:numId w:val="1"/>
        </w:numPr>
        <w:spacing w:after="35" w:line="235" w:lineRule="auto"/>
        <w:ind w:left="420" w:hanging="240"/>
      </w:pPr>
      <w:r>
        <w:rPr>
          <w:sz w:val="20"/>
          <w:szCs w:val="20"/>
        </w:rPr>
        <w:t xml:space="preserve">Une seule identité nommée est modélisée; toutes les autres personnes partagent la classe générale « others ».</w:t>
      </w:r>
    </w:p>
    <w:p>
      <w:pPr>
        <w:pStyle w:val="ListBullet"/>
        <w:numPr>
          <w:ilvl w:val="0"/>
          <w:numId w:val="1"/>
        </w:numPr>
        <w:spacing w:after="35" w:line="235" w:lineRule="auto"/>
        <w:ind w:left="420" w:hanging="240"/>
      </w:pPr>
      <w:r>
        <w:rPr>
          <w:sz w:val="20"/>
          <w:szCs w:val="20"/>
        </w:rPr>
        <w:t xml:space="preserve">Des arrière-plans semblables peuvent amener le classificateur à apprendre des indices visuels accidentels.</w:t>
      </w:r>
    </w:p>
    <w:p>
      <w:pPr>
        <w:pStyle w:val="ListBullet"/>
        <w:numPr>
          <w:ilvl w:val="0"/>
          <w:numId w:val="1"/>
        </w:numPr>
        <w:spacing w:after="35" w:line="235" w:lineRule="auto"/>
        <w:ind w:left="420" w:hanging="240"/>
      </w:pPr>
      <w:r>
        <w:rPr>
          <w:sz w:val="20"/>
          <w:szCs w:val="20"/>
        </w:rPr>
        <w:t xml:space="preserve">Un MLP fondé sur les pixels bruts est sensible à l’alignement, à l’éclairage, à la pose, au flou et aux occultations.</w:t>
      </w:r>
    </w:p>
    <w:p>
      <w:pPr>
        <w:pStyle w:val="ListBullet"/>
        <w:numPr>
          <w:ilvl w:val="0"/>
          <w:numId w:val="1"/>
        </w:numPr>
        <w:spacing w:after="35" w:line="235" w:lineRule="auto"/>
        <w:ind w:left="420" w:hanging="240"/>
      </w:pPr>
      <w:r>
        <w:rPr>
          <w:sz w:val="20"/>
          <w:szCs w:val="20"/>
        </w:rPr>
        <w:t xml:space="preserve">La confiance d’un classificateur fermé n’est pas parfaitement calibrée pour les personnes inconnues.</w:t>
      </w:r>
    </w:p>
    <w:p>
      <w:pPr>
        <w:pStyle w:val="Heading2"/>
        <w:spacing w:before="130" w:after="70" w:line="240" w:lineRule="auto"/>
        <w:keepNext/>
      </w:pPr>
      <w:r>
        <w:rPr>
          <w:b/>
          <w:sz w:val="25"/>
          <w:szCs w:val="25"/>
        </w:rPr>
        <w:t xml:space="preserve">5.2 Améliorations proposées</w:t>
      </w:r>
    </w:p>
    <w:p>
      <w:pPr>
        <w:spacing w:before="0" w:after="80" w:line="250" w:lineRule="auto"/>
      </w:pPr>
      <w:r>
        <w:rPr>
          <w:sz w:val="20"/>
          <w:szCs w:val="20"/>
        </w:rPr>
        <w:t xml:space="preserve">Les travaux futurs devraient inclure davantage de participants, de séances indépendantes et d’appareils, maintenir une collecte d’entraînement et de test bien séparée, puis évaluer des conditions difficiles telles que les masques, les lunettes, les profils et le faible éclairage. Un alignement facial fondé sur les repères des yeux réduirait les variations de pose. Un modèle préentraîné d’embeddings faciaux pourrait remplacer les pixels bruts; une distance de similarité et un seuil calibré permettraient alors une meilleure reconnaissance en ensemble ouvert. Le seuil devrait être sélectionné au moyen d’une courbe ROC ou d’une analyse précision-rappel sur la validation. La confidentialité peut être renforcée par des preuves de consentement, une durée de conservation limitée, le chiffrement et une procédure de suppression.</w:t>
      </w:r>
    </w:p>
    <w:p>
      <w:pPr>
        <w:pStyle w:val="Heading2"/>
        <w:spacing w:before="130" w:after="70" w:line="240" w:lineRule="auto"/>
        <w:keepNext/>
      </w:pPr>
      <w:r>
        <w:rPr>
          <w:b/>
          <w:sz w:val="25"/>
          <w:szCs w:val="25"/>
        </w:rPr>
        <w:t xml:space="preserve">5.3 Conclusion</w:t>
      </w:r>
    </w:p>
    <w:p>
      <w:pPr>
        <w:spacing w:before="0" w:after="80" w:line="250" w:lineRule="auto"/>
      </w:pPr>
      <w:r>
        <w:rPr>
          <w:sz w:val="20"/>
          <w:szCs w:val="20"/>
        </w:rPr>
        <w:t xml:space="preserve">Le projet réalise l’ensemble du pipeline d’intelligence artificielle demandé, depuis la collecte des données jusqu’à une application fonctionnelle en temps réel. Il utilise un jeu équilibré de 200 images, un prétraitement et une augmentation reproductibles, un RNA sélectionné par validation croisée, une évaluation indépendante et une interface Web simple. Les résultats sont solides pour ce jeu de données : 97,14 % d’exactitude en validation croisée et 100 % au test. Le principal enseignement est qu’une reconnaissance faciale réussie dépend non seulement du classificateur, mais aussi d’une détection cohérente, d’un jeu de données bien conçu, d’une évaluation réaliste et d’une gestion responsable des données biométriques.</w:t>
      </w:r>
    </w:p>
    <w:p>
      <w:pPr>
        <w:pStyle w:val="Heading2"/>
        <w:spacing w:before="130" w:after="70" w:line="240" w:lineRule="auto"/>
        <w:keepNext/>
      </w:pPr>
      <w:r>
        <w:rPr>
          <w:b/>
          <w:sz w:val="25"/>
          <w:szCs w:val="25"/>
        </w:rPr>
        <w:t xml:space="preserve">Références</w:t>
      </w:r>
    </w:p>
    <w:p>
      <w:pPr>
        <w:spacing w:before="0" w:after="80" w:line="220" w:lineRule="auto"/>
      </w:pPr>
      <w:r>
        <w:rPr>
          <w:sz w:val="18"/>
          <w:szCs w:val="18"/>
        </w:rPr>
        <w:t xml:space="preserve">[1] Documentation OpenCV, API de détection faciale et de traitement d’images.
[2] Documentation scikit-learn, MLPClassifier, Pipeline, StandardScaler et RandomizedSearchCV.
[3] Documentation FastAPI, traitement des requêtes et intégration OpenAPI.
[4] Code source du projet et artefacts produits lors de l’entraînement et de l’évaluation.</w:t>
      </w:r>
    </w:p>
    <w:p>
      <w:pPr>
        <w:spacing w:before="90" w:after="80" w:line="250" w:lineRule="auto"/>
      </w:pPr>
      <w:r>
        <w:rPr>
          <w:i/>
          <w:sz w:val="18"/>
          <w:szCs w:val="18"/>
        </w:rPr>
        <w:t xml:space="preserve">Note de remise : remplacer tous les champs entre crochets et insérer une capture d’écran de l’application avant l’exportation finale en PDF.</w:t>
      </w:r>
    </w:p>
    <w:sectPr>
      <w:pgSz w:w="12240" w:h="15840"/>
      <w:pgMar w:top="720" w:right="850" w:bottom="720" w:left="850" w:header="360" w:footer="360"/>
      <w:footerReference w:type="default" r:id="rId2"/>
      <w:cols w:space="720"/>
      <w:docGrid w:linePitch="360"/>
    </w:sectPr>
  </w:body>
</w:document>
</file>

<file path=word/footer1.xml><?xml version="1.0" encoding="utf-8"?>
<w:ftr xmlns:w="http://schemas.openxmlformats.org/wordprocessingml/2006/main">
  <w:p>
    <w:pPr>
      <w:jc w:val="center"/>
    </w:pPr>
    <w:r>
      <w:t>Face Detection &amp; Recognition App  |  Page </w:t>
    </w:r>
    <w:r>
      <w:fldChar w:fldCharType="begin"/>
    </w:r>
    <w:r>
      <w:instrText> PAGE </w:instrTex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420"/>
        </w:tabs>
        <w:ind w:left="420" w:hanging="24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Aptos" w:hAnsi="Aptos"/>
        <w:sz w:val="21"/>
        <w:lang w:val="en-CA"/>
      </w:rPr>
    </w:rPrDefault>
  </w:docDefaults>
  <w:style w:type="paragraph" w:default="1" w:styleId="Normal">
    <w:name w:val="Normal"/>
    <w:qFormat/>
  </w:style>
  <w:style w:type="paragraph" w:styleId="Heading1">
    <w:name w:val="heading 1"/>
    <w:basedOn w:val="Normal"/>
    <w:next w:val="Normal"/>
    <w:qFormat/>
    <w:rPr>
      <w:b/>
      <w:color w:val="1F4E79"/>
      <w:sz w:val="30"/>
    </w:rPr>
  </w:style>
  <w:style w:type="paragraph" w:styleId="Heading2">
    <w:name w:val="heading 2"/>
    <w:basedOn w:val="Normal"/>
    <w:next w:val="Normal"/>
    <w:qFormat/>
    <w:rPr>
      <w:b/>
      <w:color w:val="2F75B5"/>
      <w:sz w:val="25"/>
    </w:rPr>
  </w:style>
  <w:style w:type="paragraph" w:styleId="ListBullet">
    <w:name w:val="List Bullet"/>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 Id="rId3"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ages>6</Pages>
  <Company>LaSalle College</Company>
</Properties>
</file>

<file path=docProps/core.xml><?xml version="1.0" encoding="utf-8"?>
<cp:coreProperties xmlns:cp="http://schemas.openxmlformats.org/package/2006/metadata/core-properties" xmlns:dc="http://purl.org/dc/elements/1.1/" xmlns:dcterms="http://purl.org/dc/terms/" xmlns:xsi="http://www.w3.org/2001/XMLSchema-instance">
  <dc:title>Application de détection et de reconnaissance faciale - Rapport final</dc:title>
  <dc:creator>Qiyun Ge</dc:creator>
  <dc:subject>Exemple de rapport de projet final</dc:subject>
  <dcterms:created xsi:type="dcterms:W3CDTF">2026-07-21T00:00:00Z</dcterms:created>
</cp:coreProperties>
</file>