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园区安全接入与集中审计可行性研究报告（代表性草稿）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footerReference r:id="rId10" w:type="first"/>
          <w:footerReference r:id="rId8" w:type="default"/>
          <w:footerReference r:id="rId9" w:type="even"/>
          <w:pgSz w:w="11906" w:h="16838"/>
          <w:pgMar w:top="1440" w:right="1463" w:bottom="1440" w:left="146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AndChars" w:linePitch="360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"1-2"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pgSz w:w="11906" w:h="16838"/>
          <w:pgMar w:top="1440" w:right="1803" w:bottom="1440" w:left="180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AndChars" w:linePitch="360" w:charSpace="0"/>
        </w:sectPr>
      </w:pPr>
      <w:r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" w:name="DRAFT_NOTIC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待核草稿：未经正式内容、格式及产品负责人批准，不得作为正式方案使用。</w:t>
      </w:r>
      <w:bookmarkEnd w:id="1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2" w:name="Cb6451cc6dd815a950de3dcc4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1 现状与建设必要性</w:t>
      </w:r>
      <w:bookmarkEnd w:id="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" w:name="Cb6451cc6dd815a950de3dcc4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1.1 评价目标与分析边界</w:t>
      </w:r>
      <w:bookmarkEnd w:id="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" w:name="Cb6451cc6dd815a950de3dcc4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" w:name="Cb6451cc6dd815a950de3dcc4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1.2 现状依据与关键假设</w:t>
      </w:r>
      <w:bookmarkEnd w:id="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" w:name="Cb6451cc6dd815a950de3dcc4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" w:name="Cb6451cc6dd815a950de3dcc4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1.3 可行性论证与风险控制</w:t>
      </w:r>
      <w:bookmarkEnd w:id="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" w:name="Cb6451cc6dd815a950de3dcc4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" w:name="DIAGRAM_0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1.4 业务闭环流程</w:t>
      </w:r>
      <w:bookmarkEnd w:id="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" w:name="DIAGRAM_0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1.1 业务闭环流程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" w:name="DIAGRAM_0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" w:name="DIAGRAM_0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1.5 网络拓扑</w:t>
      </w:r>
      <w:bookmarkEnd w:id="1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4" w:name="DIAGRAM_0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4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1.2 网络拓扑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" w:name="DIAGRAM_0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7" w:name="DIAGRAM_1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1.6 日志审计</w:t>
      </w:r>
      <w:bookmarkEnd w:id="1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8" w:name="DIAGRAM_1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8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1.3 日志审计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0" w:name="DIAGRAM_1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1" w:name="DIAGRAM_1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1.7 可行性评价框架</w:t>
      </w:r>
      <w:bookmarkEnd w:id="2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2" w:name="DIAGRAM_1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2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业务、技术、经济、实施和合规五个维度的综合评价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1.4 可行性评价框架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4" w:name="DIAGRAM_1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业务、技术、经济、实施和合规五个维度的综合评价关系。图中颜色用于区分参与角色、平台能力、数据资源与控制节点，箭头表示主要依赖或处理方向。</w:t>
      </w:r>
      <w:bookmarkEnd w:id="24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25" w:name="C8a1eb106427026fd9f7daef2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2 备选技术路线</w:t>
      </w:r>
      <w:bookmarkEnd w:id="2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6" w:name="C8a1eb106427026fd9f7daef2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2.1 评价目标与分析边界</w:t>
      </w:r>
      <w:bookmarkEnd w:id="2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7" w:name="C8a1eb106427026fd9f7daef2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8" w:name="C8a1eb106427026fd9f7daef2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2.2 现状依据与关键假设</w:t>
      </w:r>
      <w:bookmarkEnd w:id="2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9" w:name="C8a1eb106427026fd9f7daef2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2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0" w:name="C8a1eb106427026fd9f7daef2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2.3 可行性论证与风险控制</w:t>
      </w:r>
      <w:bookmarkEnd w:id="3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1" w:name="C8a1eb106427026fd9f7daef2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3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2" w:name="DIAGRAM_0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2.4 总体架构</w:t>
      </w:r>
      <w:bookmarkEnd w:id="32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33" w:name="DIAGRAM_0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33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业务目标、平台能力、数据资源和基础设施之间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2.1 总体架构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5" w:name="DIAGRAM_0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业务目标、平台能力、数据资源和基础设施之间的总体关系。图中颜色用于区分参与角色、平台能力、数据资源与控制节点，箭头表示主要依赖或处理方向。</w:t>
      </w:r>
      <w:bookmarkEnd w:id="3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6" w:name="DIAGRAM_0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2.5 数据流转</w:t>
      </w:r>
      <w:bookmarkEnd w:id="36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37" w:name="DIAGRAM_0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37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2.2 数据流转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9" w:name="DIAGRAM_0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3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0" w:name="DIAGRAM_1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2.6 高可用架构</w:t>
      </w:r>
      <w:bookmarkEnd w:id="40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1" w:name="DIAGRAM_1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1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2.3 高可用架构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3" w:name="DIAGRAM_1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4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4" w:name="DIAGRAM_1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2.7 建设范围边界</w:t>
      </w:r>
      <w:bookmarkEnd w:id="44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5" w:name="DIAGRAM_1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5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本期建设、外部依赖、后续演进和明确排除项的边界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2.4 建设范围边界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7" w:name="DIAGRAM_1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本期建设、外部依赖、后续演进和明确排除项的边界关系。图中颜色用于区分参与角色、平台能力、数据资源与控制节点，箭头表示主要依赖或处理方向。</w:t>
      </w:r>
      <w:bookmarkEnd w:id="47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48" w:name="C562a77a7ae22fe1bb05561df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3 实施条件与技术方案</w:t>
      </w:r>
      <w:bookmarkEnd w:id="4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9" w:name="C562a77a7ae22fe1bb05561df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3.1 评价目标与分析边界</w:t>
      </w:r>
      <w:bookmarkEnd w:id="4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0" w:name="C562a77a7ae22fe1bb05561df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1" w:name="C562a77a7ae22fe1bb05561df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3.2 现状依据与关键假设</w:t>
      </w:r>
      <w:bookmarkEnd w:id="5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2" w:name="C562a77a7ae22fe1bb05561df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3" w:name="C562a77a7ae22fe1bb05561df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3.3 可行性论证与风险控制</w:t>
      </w:r>
      <w:bookmarkEnd w:id="5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4" w:name="C562a77a7ae22fe1bb05561df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5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5" w:name="DIAGRAM_0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3.4 应用架构</w:t>
      </w:r>
      <w:bookmarkEnd w:id="5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56" w:name="DIAGRAM_0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6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3.1 应用架构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8" w:name="DIAGRAM_0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5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9" w:name="DIAGRAM_0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3.5 集成架构</w:t>
      </w:r>
      <w:bookmarkEnd w:id="5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60" w:name="DIAGRAM_0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60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3.2 集成架构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2" w:name="DIAGRAM_0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6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3" w:name="DIAGRAM_1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3.6 备份与恢复</w:t>
      </w:r>
      <w:bookmarkEnd w:id="6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64" w:name="DIAGRAM_1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64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3.3 备份与恢复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6" w:name="DIAGRAM_1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6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7" w:name="DIAGRAM_1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3.7 干系人协同</w:t>
      </w:r>
      <w:bookmarkEnd w:id="6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68" w:name="DIAGRAM_1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68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决策层、业务部门、建设团队、运维团队和供应方的协作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3.4 干系人协同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0" w:name="DIAGRAM_1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决策层、业务部门、建设团队、运维团队和供应方的协作机制。图中颜色用于区分参与角色、平台能力、数据资源与控制节点，箭头表示主要依赖或处理方向。</w:t>
      </w:r>
      <w:bookmarkEnd w:id="70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71" w:name="C37c48e35b50ae9c90981b34b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4 风险与控制</w:t>
      </w:r>
      <w:bookmarkEnd w:id="7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2" w:name="C37c48e35b50ae9c90981b34b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 评价目标与分析边界</w:t>
      </w:r>
      <w:bookmarkEnd w:id="7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3" w:name="C37c48e35b50ae9c90981b34b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4" w:name="C37c48e35b50ae9c90981b34b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4.2 现状依据与关键假设</w:t>
      </w:r>
      <w:bookmarkEnd w:id="7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5" w:name="C37c48e35b50ae9c90981b34b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6" w:name="C37c48e35b50ae9c90981b34b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4.3 可行性论证与风险控制</w:t>
      </w:r>
      <w:bookmarkEnd w:id="7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7" w:name="C37c48e35b50ae9c90981b34b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7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8" w:name="DIAGRAM_0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4.4 技术架构</w:t>
      </w:r>
      <w:bookmarkEnd w:id="78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9" w:name="DIAGRAM_0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9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4.1 技术架构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1" w:name="DIAGRAM_0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8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2" w:name="DIAGRAM_0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4.5 安全架构</w:t>
      </w:r>
      <w:bookmarkEnd w:id="82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83" w:name="DIAGRAM_0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83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4.2 安全架构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5" w:name="DIAGRAM_0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8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6" w:name="DIAGRAM_1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4.6 监控告警</w:t>
      </w:r>
      <w:bookmarkEnd w:id="86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87" w:name="DIAGRAM_1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87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4.3 监控告警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9" w:name="DIAGRAM_1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8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0" w:name="DIAGRAM_1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4.7 决策门禁</w:t>
      </w:r>
      <w:bookmarkEnd w:id="90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91" w:name="DIAGRAM_1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91"/>
      <w:r>
        <w:drawing>
          <wp:inline xmlns:a="http://schemas.openxmlformats.org/drawingml/2006/main" xmlns:pic="http://schemas.openxmlformats.org/drawingml/2006/picture">
            <wp:extent cx="5220000" cy="2936250"/>
            <wp:docPr id="17" name="Picture 17" descr="立项、方案、试点、上线和验收阶段的准入与退出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4.4 决策门禁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3" w:name="DIAGRAM_1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立项、方案、试点、上线和验收阶段的准入与退出条件。图中颜色用于区分参与角色、平台能力、数据资源与控制节点，箭头表示主要依赖或处理方向。</w:t>
      </w:r>
      <w:bookmarkEnd w:id="93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94" w:name="C5e9ad751b5e6102bb17b687e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5 经济资料边界</w:t>
      </w:r>
      <w:bookmarkEnd w:id="9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5" w:name="C5e9ad751b5e6102bb17b687e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 评价目标与分析边界</w:t>
      </w:r>
      <w:bookmarkEnd w:id="9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6" w:name="C5e9ad751b5e6102bb17b687e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7" w:name="C5e9ad751b5e6102bb17b687e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5.2 现状依据与关键假设</w:t>
      </w:r>
      <w:bookmarkEnd w:id="9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8" w:name="C5e9ad751b5e6102bb17b687e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9" w:name="C5e9ad751b5e6102bb17b687e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5.3 可行性论证与风险控制</w:t>
      </w:r>
      <w:bookmarkEnd w:id="9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0" w:name="C5e9ad751b5e6102bb17b687e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10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1" w:name="DIAGRAM_0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5.4 部署架构</w:t>
      </w:r>
      <w:bookmarkEnd w:id="10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2" w:name="DIAGRAM_0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2"/>
      <w:r>
        <w:drawing>
          <wp:inline xmlns:a="http://schemas.openxmlformats.org/drawingml/2006/main" xmlns:pic="http://schemas.openxmlformats.org/drawingml/2006/picture">
            <wp:extent cx="5220000" cy="2936250"/>
            <wp:docPr id="18" name="Picture 18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5.1 部署架构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4" w:name="DIAGRAM_0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10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5" w:name="DIAGRAM_1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5.5 身份与权限</w:t>
      </w:r>
      <w:bookmarkEnd w:id="10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6" w:name="DIAGRAM_1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6"/>
      <w:r>
        <w:drawing>
          <wp:inline xmlns:a="http://schemas.openxmlformats.org/drawingml/2006/main" xmlns:pic="http://schemas.openxmlformats.org/drawingml/2006/picture">
            <wp:extent cx="5220000" cy="2936250"/>
            <wp:docPr id="19" name="Picture 19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5.2 身份与权限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8" w:name="DIAGRAM_1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10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9" w:name="DIAGRAM_1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5.6 发布与变更</w:t>
      </w:r>
      <w:bookmarkEnd w:id="10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10" w:name="DIAGRAM_1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10"/>
      <w:r>
        <w:drawing>
          <wp:inline xmlns:a="http://schemas.openxmlformats.org/drawingml/2006/main" xmlns:pic="http://schemas.openxmlformats.org/drawingml/2006/picture">
            <wp:extent cx="5220000" cy="2936250"/>
            <wp:docPr id="20" name="Picture 20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5.3 发布与变更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2" w:name="DIAGRAM_1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1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3" w:name="DIAGRAM_2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5.7 效益实现路径</w:t>
      </w:r>
      <w:bookmarkEnd w:id="11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14" w:name="DIAGRAM_2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14"/>
      <w:r>
        <w:drawing>
          <wp:inline xmlns:a="http://schemas.openxmlformats.org/drawingml/2006/main" xmlns:pic="http://schemas.openxmlformats.org/drawingml/2006/picture">
            <wp:extent cx="5220000" cy="2936250"/>
            <wp:docPr id="21" name="Picture 21" descr="能力建设、业务采用、过程改善、结果度量和持续优化的价值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5.4 效益实现路径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6" w:name="DIAGRAM_2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能力建设、业务采用、过程改善、结果度量和持续优化的价值路径。图中颜色用于区分参与角色、平台能力、数据资源与控制节点，箭头表示主要依赖或处理方向。</w:t>
      </w:r>
      <w:bookmarkEnd w:id="11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7" w:name="INPUT_ITEM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输入清单（待核）：安全接入网关，数量 2 台；原行号 r-001；来源 人工录入。</w:t>
      </w:r>
      <w:bookmarkEnd w:id="11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8" w:name="INPUT_ITEM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输入清单（待核）：集中审计节点，数量 1 套；原行号 r-002；来源 人工录入。</w:t>
      </w:r>
      <w:bookmarkEnd w:id="118"/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19" w:name="PENDING_HEADING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6 待确认事项</w:t>
      </w:r>
      <w:bookmarkEnd w:id="11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0" w:name="PENDING_TEXT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正式模板与样例、内容及格式批准尚未完成；本件始终为待核草稿。</w:t>
      </w:r>
      <w:bookmarkEnd w:id="12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1" w:name="PENDING_TEXT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未提供经核实的成本与收益依据，不形成经济成本、收益或回报结论。</w:t>
      </w:r>
      <w:bookmarkEnd w:id="12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2" w:name="PENDING_TEXT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运维责任人、最终IP地址、建设成本、运维成本和收益依据待确认</w:t>
      </w:r>
      <w:bookmarkEnd w:id="12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3" w:name="PENDING_TEXT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日志留存180天与不少于6个月的口径待统一</w:t>
      </w:r>
      <w:bookmarkEnd w:id="123"/>
    </w:p>
    <w:sectPr>
      <w:footerReference r:id="rId14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AndChar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right"/>
      <w:rPr>
        <w:rFonts w:ascii="宋体" w:hAnsi="宋体" w:cs="宋体"/>
        <w:b/>
        <w:bCs/>
        <w:color w:val="005192"/>
        <w:sz w:val="28"/>
        <w:szCs w:val="4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sz w:val="21"/>
        <w:rFonts w:ascii="宋体" w:hAnsi="宋体" w:eastAsia="宋体" w:cs="宋体"/>
        <w:szCs w:val="21"/>
        <w:lang w:val="zh-CN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  <w:jc w:val="center"/>
                            <w:spacing w:line="360" w:lineRule="exact"/>
                          </w:pP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  <w:jc w:val="center"/>
                      <w:spacing w:line="360" w:lineRule="exact"/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begin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sz w:val="21"/>
        <w:rFonts w:ascii="宋体" w:hAnsi="宋体" w:eastAsia="宋体" w:cs="宋体"/>
        <w:szCs w:val="21"/>
        <w:lang w:val="zh-CN"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  <w:jc w:val="center"/>
                            <w:spacing w:line="360" w:lineRule="exact"/>
                          </w:pP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t xml:space="preserve">第 </w:t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  <w:lang w:val="zh-CN"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  <w:jc w:val="center"/>
                      <w:spacing w:line="360" w:lineRule="exact"/>
                    </w:pP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t xml:space="preserve">第 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begin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fldChar w:fldCharType="end"/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  <w:lang w:val="zh-CN"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{{title}}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