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800000" cy="74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logo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 xml:space="preserve">园区安全接入与集中审计技术方案</w:t>
      </w:r>
      <w:r>
        <w:rPr>
          <w:b/>
          <w:lang w:eastAsia="zh-CN"/>
        </w:rPr>
      </w:r>
      <w:r>
        <w:rPr>
          <w:b/>
          <w:lang w:eastAsia="zh-CN"/>
        </w:rPr>
      </w:r>
    </w:p>
    <w:p>
      <w:pPr>
        <w:rPr>
          <w:rFonts w:hint="eastAsia"/>
          <w:lang w:eastAsia="zh-CN"/>
        </w:rPr>
      </w:pPr>
      <w:r>
        <w:rPr>
          <w:lang w:eastAsia="zh-CN"/>
        </w:rPr>
      </w:r>
      <w:r>
        <w:br w:type="page"/>
      </w:r>
    </w:p>
    <w:p>
      <w:pPr>
        <w:pStyle w:val="TOC"/>
        <w:jc w:val="center"/>
        <w:rPr>
          <w:rFonts w:hint="eastAsia"/>
        </w:rPr>
      </w:pPr>
      <w:r>
        <w:rPr>
          <w:rFonts w:ascii="微软雅黑" w:eastAsia="微软雅黑" w:hAnsi="微软雅黑" w:cs="微软雅黑"/>
          <w:lang w:val="zh-CN" w:eastAsia="zh-CN"/>
        </w:rPr>
        <w:t xml:space="preserve">目</w:t>
      </w:r>
      <w:r>
        <w:rPr>
          <w:rFonts w:ascii="微软雅黑" w:eastAsia="微软雅黑" w:hAnsi="微软雅黑" w:cs="微软雅黑" w:hint="eastAsia"/>
          <w:lang w:val="zh-CN" w:eastAsia="zh-CN"/>
        </w:rPr>
        <w:t xml:space="preserve">录</w:t>
      </w:r>
    </w:p>
    <w:p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>
      <w:r/>
      <w:r>
        <w:br w:type="page"/>
      </w:r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1" w:name="Cb6451cc6dd815a950de3dcc4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1 现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状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与建设必要性</w:t>
      </w:r>
      <w:bookmarkEnd w:id="1"/>
    </w:p>
    <w:p>
      <w:pPr>
        <w:rPr>
          <w:lang w:eastAsia="zh-CN"/>
        </w:rPr>
        <w:spacing w:line="360" w:lineRule="exact"/>
        <w:outlineLvl w:val="1"/>
        <w:jc w:val="left"/>
      </w:pPr>
      <w:bookmarkStart w:id="2" w:name="Cb6451cc6dd815a950de3dcc4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2"/>
    </w:p>
    <w:p>
      <w:pPr>
        <w:spacing w:after="120" w:line="360" w:lineRule="exact"/>
        <w:ind w:firstLine="480"/>
        <w:rPr>
          <w:lang w:eastAsia="zh-CN"/>
        </w:rPr>
      </w:pPr>
      <w:bookmarkStart w:id="3" w:name="Cb6451cc6dd815a950de3dcc4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"/>
    </w:p>
    <w:p>
      <w:pPr>
        <w:rPr>
          <w:lang w:eastAsia="zh-CN"/>
        </w:rPr>
        <w:spacing w:line="360" w:lineRule="exact"/>
        <w:outlineLvl w:val="1"/>
        <w:jc w:val="left"/>
      </w:pPr>
      <w:bookmarkStart w:id="4" w:name="Cb6451cc6dd815a950de3dcc4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4"/>
    </w:p>
    <w:p>
      <w:pPr>
        <w:spacing w:after="120" w:line="360" w:lineRule="exact"/>
        <w:ind w:firstLine="480"/>
        <w:rPr>
          <w:lang w:eastAsia="zh-CN"/>
        </w:rPr>
      </w:pPr>
      <w:bookmarkStart w:id="5" w:name="Cb6451cc6dd815a950de3dcc4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"/>
    </w:p>
    <w:p>
      <w:pPr>
        <w:rPr>
          <w:lang w:eastAsia="zh-CN"/>
        </w:rPr>
        <w:spacing w:line="360" w:lineRule="exact"/>
        <w:outlineLvl w:val="1"/>
        <w:jc w:val="left"/>
      </w:pPr>
      <w:bookmarkStart w:id="6" w:name="Cb6451cc6dd815a950de3dcc4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6"/>
    </w:p>
    <w:p>
      <w:pPr>
        <w:spacing w:after="120" w:line="360" w:lineRule="exact"/>
        <w:ind w:firstLine="480"/>
        <w:rPr>
          <w:lang w:eastAsia="zh-CN"/>
        </w:rPr>
      </w:pPr>
      <w:bookmarkStart w:id="7" w:name="Cb6451cc6dd815a950de3dcc4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"/>
    </w:p>
    <w:p>
      <w:pPr>
        <w:rPr>
          <w:lang w:eastAsia="zh-CN"/>
        </w:rPr>
        <w:spacing w:line="360" w:lineRule="exact"/>
        <w:outlineLvl w:val="1"/>
        <w:jc w:val="left"/>
      </w:pPr>
      <w:bookmarkStart w:id="8" w:name="DIAGRAM_01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业务闭环流程</w:t>
      </w:r>
      <w:bookmarkEnd w:id="8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9" w:name="DIAGRAM_01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"/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 descr="从资料接收到方案交付的端到端业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业务闭环流程</w:t>
      </w:r>
    </w:p>
    <w:p>
      <w:pPr>
        <w:spacing w:after="120" w:line="360" w:lineRule="exact"/>
        <w:ind w:firstLine="480"/>
        <w:rPr>
          <w:lang w:eastAsia="zh-CN"/>
        </w:rPr>
      </w:pPr>
      <w:bookmarkStart w:id="11" w:name="DIAGRAM_01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从资料接收到方案交付的端到端业务闭环。图中颜色用于区分参与角色、平台能力、数据资源与控制节点，箭头表示主要依赖或处理方向。</w:t>
      </w:r>
      <w:bookmarkEnd w:id="11"/>
    </w:p>
    <w:p>
      <w:pPr>
        <w:rPr>
          <w:lang w:eastAsia="zh-CN"/>
        </w:rPr>
        <w:spacing w:line="360" w:lineRule="exact"/>
        <w:outlineLvl w:val="1"/>
        <w:jc w:val="left"/>
      </w:pPr>
      <w:bookmarkStart w:id="12" w:name="DIAGRAM_06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网络拓扑</w:t>
      </w:r>
      <w:bookmarkEnd w:id="12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13" w:name="DIAGRAM_06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3"/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 descr="用户、边界防护、应用集群、数据服务和外部系统的连接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网络拓扑</w:t>
      </w:r>
    </w:p>
    <w:p>
      <w:pPr>
        <w:spacing w:after="120" w:line="360" w:lineRule="exact"/>
        <w:ind w:firstLine="480"/>
        <w:rPr>
          <w:lang w:eastAsia="zh-CN"/>
        </w:rPr>
      </w:pPr>
      <w:bookmarkStart w:id="15" w:name="DIAGRAM_06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用户、边界防护、应用集群、数据服务和外部系统的连接拓扑。图中颜色用于区分参与角色、平台能力、数据资源与控制节点，箭头表示主要依赖或处理方向。</w:t>
      </w:r>
      <w:bookmarkEnd w:id="15"/>
    </w:p>
    <w:p>
      <w:pPr>
        <w:rPr>
          <w:lang w:eastAsia="zh-CN"/>
        </w:rPr>
        <w:spacing w:line="360" w:lineRule="exact"/>
        <w:outlineLvl w:val="1"/>
        <w:jc w:val="left"/>
      </w:pPr>
      <w:bookmarkStart w:id="16" w:name="DIAGRAM_11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日志审计</w:t>
      </w:r>
      <w:bookmarkEnd w:id="16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17" w:name="DIAGRAM_11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7"/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 descr="业务日志、操作日志、模型调用日志和安全事件的汇聚分析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日志审计</w:t>
      </w:r>
    </w:p>
    <w:p>
      <w:pPr>
        <w:spacing w:after="120" w:line="360" w:lineRule="exact"/>
        <w:ind w:firstLine="480"/>
        <w:rPr>
          <w:lang w:eastAsia="zh-CN"/>
        </w:rPr>
      </w:pPr>
      <w:bookmarkStart w:id="19" w:name="DIAGRAM_11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业务日志、操作日志、模型调用日志和安全事件的汇聚分析流程。图中颜色用于区分参与角色、平台能力、数据资源与控制节点，箭头表示主要依赖或处理方向。</w:t>
      </w:r>
      <w:bookmarkEnd w:id="19"/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20" w:name="C8a1eb106427026fd9f7daef2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2 备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选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技术路线</w:t>
      </w:r>
      <w:bookmarkEnd w:id="20"/>
    </w:p>
    <w:p>
      <w:pPr>
        <w:rPr>
          <w:lang w:eastAsia="zh-CN"/>
        </w:rPr>
        <w:spacing w:line="360" w:lineRule="exact"/>
        <w:outlineLvl w:val="1"/>
        <w:jc w:val="left"/>
      </w:pPr>
      <w:bookmarkStart w:id="21" w:name="C8a1eb106427026fd9f7daef2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21"/>
    </w:p>
    <w:p>
      <w:pPr>
        <w:spacing w:after="120" w:line="360" w:lineRule="exact"/>
        <w:ind w:firstLine="480"/>
        <w:rPr>
          <w:lang w:eastAsia="zh-CN"/>
        </w:rPr>
      </w:pPr>
      <w:bookmarkStart w:id="22" w:name="C8a1eb106427026fd9f7daef2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2"/>
    </w:p>
    <w:p>
      <w:pPr>
        <w:rPr>
          <w:lang w:eastAsia="zh-CN"/>
        </w:rPr>
        <w:spacing w:line="360" w:lineRule="exact"/>
        <w:outlineLvl w:val="1"/>
        <w:jc w:val="left"/>
      </w:pPr>
      <w:bookmarkStart w:id="23" w:name="C8a1eb106427026fd9f7daef2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23"/>
    </w:p>
    <w:p>
      <w:pPr>
        <w:spacing w:after="120" w:line="360" w:lineRule="exact"/>
        <w:ind w:firstLine="480"/>
        <w:rPr>
          <w:lang w:eastAsia="zh-CN"/>
        </w:rPr>
      </w:pPr>
      <w:bookmarkStart w:id="24" w:name="C8a1eb106427026fd9f7daef2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24"/>
    </w:p>
    <w:p>
      <w:pPr>
        <w:rPr>
          <w:lang w:eastAsia="zh-CN"/>
        </w:rPr>
        <w:spacing w:line="360" w:lineRule="exact"/>
        <w:outlineLvl w:val="1"/>
        <w:jc w:val="left"/>
      </w:pPr>
      <w:bookmarkStart w:id="25" w:name="C8a1eb106427026fd9f7daef2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25"/>
    </w:p>
    <w:p>
      <w:pPr>
        <w:spacing w:after="120" w:line="360" w:lineRule="exact"/>
        <w:ind w:firstLine="480"/>
        <w:rPr>
          <w:lang w:eastAsia="zh-CN"/>
        </w:rPr>
      </w:pPr>
      <w:bookmarkStart w:id="26" w:name="C8a1eb106427026fd9f7daef2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26"/>
    </w:p>
    <w:p>
      <w:pPr>
        <w:rPr>
          <w:lang w:eastAsia="zh-CN"/>
        </w:rPr>
        <w:spacing w:line="360" w:lineRule="exact"/>
        <w:outlineLvl w:val="1"/>
        <w:jc w:val="left"/>
      </w:pPr>
      <w:bookmarkStart w:id="27" w:name="DIAGRAM_02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总体架构</w:t>
      </w:r>
      <w:bookmarkEnd w:id="27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28" w:name="DIAGRAM_02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28"/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 descr="平台接入层、能力层、数据层与基础设施层的总体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总体架构</w:t>
      </w:r>
    </w:p>
    <w:p>
      <w:pPr>
        <w:spacing w:after="120" w:line="360" w:lineRule="exact"/>
        <w:ind w:firstLine="480"/>
        <w:rPr>
          <w:lang w:eastAsia="zh-CN"/>
        </w:rPr>
      </w:pPr>
      <w:bookmarkStart w:id="30" w:name="DIAGRAM_02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平台接入层、能力层、数据层与基础设施层的总体关系。图中颜色用于区分参与角色、平台能力、数据资源与控制节点，箭头表示主要依赖或处理方向。</w:t>
      </w:r>
      <w:bookmarkEnd w:id="30"/>
    </w:p>
    <w:p>
      <w:pPr>
        <w:rPr>
          <w:lang w:eastAsia="zh-CN"/>
        </w:rPr>
        <w:spacing w:line="360" w:lineRule="exact"/>
        <w:outlineLvl w:val="1"/>
        <w:jc w:val="left"/>
      </w:pPr>
      <w:bookmarkStart w:id="31" w:name="DIAGRAM_07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数据流转</w:t>
      </w:r>
      <w:bookmarkEnd w:id="31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32" w:name="DIAGRAM_07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32"/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 descr="资料上传、解析、生成、审核、归档与下载的数据流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数据流转</w:t>
      </w:r>
    </w:p>
    <w:p>
      <w:pPr>
        <w:spacing w:after="120" w:line="360" w:lineRule="exact"/>
        <w:ind w:firstLine="480"/>
        <w:rPr>
          <w:lang w:eastAsia="zh-CN"/>
        </w:rPr>
      </w:pPr>
      <w:bookmarkStart w:id="34" w:name="DIAGRAM_07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资料上传、解析、生成、审核、归档与下载的数据流向。图中颜色用于区分参与角色、平台能力、数据资源与控制节点，箭头表示主要依赖或处理方向。</w:t>
      </w:r>
      <w:bookmarkEnd w:id="34"/>
    </w:p>
    <w:p>
      <w:pPr>
        <w:rPr>
          <w:lang w:eastAsia="zh-CN"/>
        </w:rPr>
        <w:spacing w:line="360" w:lineRule="exact"/>
        <w:outlineLvl w:val="1"/>
        <w:jc w:val="left"/>
      </w:pPr>
      <w:bookmarkStart w:id="35" w:name="DIAGRAM_12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高可用架构</w:t>
      </w:r>
      <w:bookmarkEnd w:id="35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36" w:name="DIAGRAM_12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36"/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 descr="负载均衡、无状态应用、任务执行和数据服务的高可用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高可用架构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38" w:name="DIAGRAM_12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负载均衡、无状态应用、任务执行和数据服务的高可用设计。图中颜色用于区分参与角色、平台能力、数据资源与控制节点，箭头表示主要依赖或处理方向。</w:t>
      </w:r>
      <w:bookmarkEnd w:id="38"/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39" w:name="C562a77a7ae22fe1bb05561df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3 实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施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条件与技术方案</w:t>
      </w:r>
      <w:bookmarkEnd w:id="39"/>
    </w:p>
    <w:p>
      <w:pPr>
        <w:rPr>
          <w:lang w:eastAsia="zh-CN"/>
        </w:rPr>
        <w:spacing w:line="360" w:lineRule="exact"/>
        <w:outlineLvl w:val="1"/>
        <w:jc w:val="left"/>
      </w:pPr>
      <w:bookmarkStart w:id="40" w:name="C562a77a7ae22fe1bb05561df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40"/>
    </w:p>
    <w:p>
      <w:pPr>
        <w:spacing w:after="120" w:line="360" w:lineRule="exact"/>
        <w:ind w:firstLine="480"/>
        <w:rPr>
          <w:lang w:eastAsia="zh-CN"/>
        </w:rPr>
      </w:pPr>
      <w:bookmarkStart w:id="41" w:name="C562a77a7ae22fe1bb05561df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1"/>
    </w:p>
    <w:p>
      <w:pPr>
        <w:rPr>
          <w:lang w:eastAsia="zh-CN"/>
        </w:rPr>
        <w:spacing w:line="360" w:lineRule="exact"/>
        <w:outlineLvl w:val="1"/>
        <w:jc w:val="left"/>
      </w:pPr>
      <w:bookmarkStart w:id="42" w:name="C562a77a7ae22fe1bb05561df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42"/>
    </w:p>
    <w:p>
      <w:pPr>
        <w:spacing w:after="120" w:line="360" w:lineRule="exact"/>
        <w:ind w:firstLine="480"/>
        <w:rPr>
          <w:lang w:eastAsia="zh-CN"/>
        </w:rPr>
      </w:pPr>
      <w:bookmarkStart w:id="43" w:name="C562a77a7ae22fe1bb05561df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43"/>
    </w:p>
    <w:p>
      <w:pPr>
        <w:rPr>
          <w:lang w:eastAsia="zh-CN"/>
        </w:rPr>
        <w:spacing w:line="360" w:lineRule="exact"/>
        <w:outlineLvl w:val="1"/>
        <w:jc w:val="left"/>
      </w:pPr>
      <w:bookmarkStart w:id="44" w:name="C562a77a7ae22fe1bb05561df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44"/>
    </w:p>
    <w:p>
      <w:pPr>
        <w:spacing w:after="120" w:line="360" w:lineRule="exact"/>
        <w:ind w:firstLine="480"/>
        <w:rPr>
          <w:lang w:eastAsia="zh-CN"/>
        </w:rPr>
      </w:pPr>
      <w:bookmarkStart w:id="45" w:name="C562a77a7ae22fe1bb05561df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45"/>
    </w:p>
    <w:p>
      <w:pPr>
        <w:rPr>
          <w:lang w:eastAsia="zh-CN"/>
        </w:rPr>
        <w:spacing w:line="360" w:lineRule="exact"/>
        <w:outlineLvl w:val="1"/>
        <w:jc w:val="left"/>
      </w:pPr>
      <w:bookmarkStart w:id="46" w:name="DIAGRAM_03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应用架构</w:t>
      </w:r>
      <w:bookmarkEnd w:id="46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47" w:name="DIAGRAM_03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47"/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 descr="用户门户、业务服务、智能体服务与运营管理能力的协作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应用架构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49" w:name="DIAGRAM_03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用户门户、业务服务、智能体服务与运营管理能力的协作关系。图中颜色用于区分参与角色、平台能力、数据资源与控制节点，箭头表示主要依赖或处理方向。</w:t>
      </w:r>
      <w:bookmarkEnd w:id="49"/>
    </w:p>
    <w:p>
      <w:pPr>
        <w:rPr>
          <w:lang w:eastAsia="zh-CN"/>
        </w:rPr>
        <w:spacing w:line="360" w:lineRule="exact"/>
        <w:outlineLvl w:val="1"/>
        <w:jc w:val="left"/>
      </w:pPr>
      <w:bookmarkStart w:id="50" w:name="DIAGRAM_08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集成架构</w:t>
      </w:r>
      <w:bookmarkEnd w:id="50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51" w:name="DIAGRAM_08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51"/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 descr="平台与统一身份、知识库、模型网关和企业系统的集成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集成架构</w:t>
      </w:r>
    </w:p>
    <w:p>
      <w:pPr>
        <w:spacing w:after="120" w:line="360" w:lineRule="exact"/>
        <w:ind w:firstLine="480"/>
        <w:rPr>
          <w:lang w:eastAsia="zh-CN"/>
        </w:rPr>
      </w:pPr>
      <w:bookmarkStart w:id="53" w:name="DIAGRAM_08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平台与统一身份、知识库、模型网关和企业系统的集成方式。图中颜色用于区分参与角色、平台能力、数据资源与控制节点，箭头表示主要依赖或处理方向。</w:t>
      </w:r>
      <w:bookmarkEnd w:id="53"/>
    </w:p>
    <w:p>
      <w:pPr>
        <w:rPr>
          <w:lang w:eastAsia="zh-CN"/>
        </w:rPr>
        <w:spacing w:line="360" w:lineRule="exact"/>
        <w:outlineLvl w:val="1"/>
        <w:jc w:val="left"/>
      </w:pPr>
      <w:bookmarkStart w:id="54" w:name="DIAGRAM_13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备份与恢复</w:t>
      </w:r>
      <w:bookmarkEnd w:id="54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55" w:name="DIAGRAM_13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55"/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 descr="数据备份、校验、异地保留、恢复演练和复盘改进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备份与恢复</w:t>
      </w:r>
    </w:p>
    <w:p>
      <w:pPr>
        <w:spacing w:after="120" w:line="360" w:lineRule="exact"/>
        <w:ind w:firstLine="480"/>
        <w:rPr>
          <w:lang w:eastAsia="zh-CN"/>
        </w:rPr>
      </w:pPr>
      <w:bookmarkStart w:id="57" w:name="DIAGRAM_13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数据备份、校验、异地保留、恢复演练和复盘改进流程。图中颜色用于区分参与角色、平台能力、数据资源与控制节点，箭头表示主要依赖或处理方向。</w:t>
      </w:r>
      <w:bookmarkEnd w:id="57"/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58" w:name="C37c48e35b50ae9c90981b34b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4 风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险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与控制</w:t>
      </w:r>
      <w:bookmarkEnd w:id="58"/>
    </w:p>
    <w:p>
      <w:pPr>
        <w:rPr>
          <w:lang w:eastAsia="zh-CN"/>
        </w:rPr>
        <w:spacing w:line="360" w:lineRule="exact"/>
        <w:outlineLvl w:val="1"/>
        <w:jc w:val="left"/>
      </w:pPr>
      <w:bookmarkStart w:id="59" w:name="C37c48e35b50ae9c90981b34b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59"/>
    </w:p>
    <w:p>
      <w:pPr>
        <w:spacing w:after="120" w:line="360" w:lineRule="exact"/>
        <w:ind w:firstLine="480"/>
        <w:rPr>
          <w:lang w:eastAsia="zh-CN"/>
        </w:rPr>
      </w:pPr>
      <w:bookmarkStart w:id="60" w:name="C37c48e35b50ae9c90981b34b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60"/>
    </w:p>
    <w:p>
      <w:pPr>
        <w:rPr>
          <w:lang w:eastAsia="zh-CN"/>
        </w:rPr>
        <w:spacing w:line="360" w:lineRule="exact"/>
        <w:outlineLvl w:val="1"/>
        <w:jc w:val="left"/>
      </w:pPr>
      <w:bookmarkStart w:id="61" w:name="C37c48e35b50ae9c90981b34b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61"/>
    </w:p>
    <w:p>
      <w:pPr>
        <w:spacing w:after="120" w:line="360" w:lineRule="exact"/>
        <w:ind w:firstLine="480"/>
        <w:rPr>
          <w:lang w:eastAsia="zh-CN"/>
        </w:rPr>
      </w:pPr>
      <w:bookmarkStart w:id="62" w:name="C37c48e35b50ae9c90981b34b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2"/>
    </w:p>
    <w:p>
      <w:pPr>
        <w:rPr>
          <w:lang w:eastAsia="zh-CN"/>
        </w:rPr>
        <w:spacing w:line="360" w:lineRule="exact"/>
        <w:outlineLvl w:val="1"/>
        <w:jc w:val="left"/>
      </w:pPr>
      <w:bookmarkStart w:id="63" w:name="C37c48e35b50ae9c90981b34b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63"/>
    </w:p>
    <w:p>
      <w:pPr>
        <w:spacing w:after="120" w:line="360" w:lineRule="exact"/>
        <w:ind w:firstLine="480"/>
        <w:rPr>
          <w:lang w:eastAsia="zh-CN"/>
        </w:rPr>
      </w:pPr>
      <w:bookmarkStart w:id="64" w:name="C37c48e35b50ae9c90981b34b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64"/>
    </w:p>
    <w:p>
      <w:pPr>
        <w:rPr>
          <w:lang w:eastAsia="zh-CN"/>
        </w:rPr>
        <w:spacing w:line="360" w:lineRule="exact"/>
        <w:outlineLvl w:val="1"/>
        <w:jc w:val="left"/>
      </w:pPr>
      <w:bookmarkStart w:id="65" w:name="DIAGRAM_04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技术架构</w:t>
      </w:r>
      <w:bookmarkEnd w:id="65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66" w:name="DIAGRAM_04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66"/>
      <w:r>
        <w:drawing>
          <wp:inline xmlns:a="http://schemas.openxmlformats.org/drawingml/2006/main" xmlns:pic="http://schemas.openxmlformats.org/drawingml/2006/picture">
            <wp:extent cx="5220000" cy="2936250"/>
            <wp:docPr id="11" name="Picture 11" descr="前端、服务端、任务编排、模型服务和数据存储的技术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技术架构</w:t>
      </w:r>
    </w:p>
    <w:p>
      <w:pPr>
        <w:spacing w:after="120" w:line="360" w:lineRule="exact"/>
        <w:ind w:firstLine="480"/>
        <w:rPr>
          <w:lang w:eastAsia="zh-CN"/>
        </w:rPr>
      </w:pPr>
      <w:bookmarkStart w:id="68" w:name="DIAGRAM_04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前端、服务端、任务编排、模型服务和数据存储的技术分层。图中颜色用于区分参与角色、平台能力、数据资源与控制节点，箭头表示主要依赖或处理方向。</w:t>
      </w:r>
      <w:bookmarkEnd w:id="68"/>
    </w:p>
    <w:p>
      <w:pPr>
        <w:rPr>
          <w:lang w:eastAsia="zh-CN"/>
        </w:rPr>
        <w:spacing w:line="360" w:lineRule="exact"/>
        <w:outlineLvl w:val="1"/>
        <w:jc w:val="left"/>
      </w:pPr>
      <w:bookmarkStart w:id="69" w:name="DIAGRAM_09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安全架构</w:t>
      </w:r>
      <w:bookmarkEnd w:id="69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70" w:name="DIAGRAM_09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70"/>
      <w:r>
        <w:drawing>
          <wp:inline xmlns:a="http://schemas.openxmlformats.org/drawingml/2006/main" xmlns:pic="http://schemas.openxmlformats.org/drawingml/2006/picture">
            <wp:extent cx="5220000" cy="2936250"/>
            <wp:docPr id="12" name="Picture 12" descr="身份、网络、应用、数据和审计五个安全域的防护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安全架构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72" w:name="DIAGRAM_09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身份、网络、应用、数据和审计五个安全域的防护关系。图中颜色用于区分参与角色、平台能力、数据资源与控制节点，箭头表示主要依赖或处理方向。</w:t>
      </w:r>
      <w:bookmarkEnd w:id="72"/>
    </w:p>
    <w:p>
      <w:pPr>
        <w:rPr>
          <w:lang w:eastAsia="zh-CN"/>
        </w:rPr>
        <w:spacing w:line="360" w:lineRule="exact"/>
        <w:outlineLvl w:val="1"/>
        <w:jc w:val="left"/>
      </w:pPr>
      <w:bookmarkStart w:id="73" w:name="DIAGRAM_14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监控告警</w:t>
      </w:r>
      <w:bookmarkEnd w:id="73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74" w:name="DIAGRAM_14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74"/>
      <w:r>
        <w:drawing>
          <wp:inline xmlns:a="http://schemas.openxmlformats.org/drawingml/2006/main" xmlns:pic="http://schemas.openxmlformats.org/drawingml/2006/picture">
            <wp:extent cx="5220000" cy="2936250"/>
            <wp:docPr id="13" name="Picture 13" descr="指标采集、规则判断、分级通知、处置和闭环复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监控告警</w:t>
      </w:r>
    </w:p>
    <w:p>
      <w:pPr>
        <w:spacing w:after="120" w:line="360" w:lineRule="exact"/>
        <w:ind w:firstLine="480"/>
        <w:rPr>
          <w:lang w:eastAsia="zh-CN"/>
        </w:rPr>
      </w:pPr>
      <w:bookmarkStart w:id="76" w:name="DIAGRAM_14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指标采集、规则判断、分级通知、处置和闭环复盘流程。图中颜色用于区分参与角色、平台能力、数据资源与控制节点，箭头表示主要依赖或处理方向。</w:t>
      </w:r>
      <w:bookmarkEnd w:id="76"/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77" w:name="C5e9ad751b5e6102bb17b687e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5 经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济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资料边界</w:t>
      </w:r>
      <w:bookmarkEnd w:id="77"/>
    </w:p>
    <w:p>
      <w:pPr>
        <w:rPr>
          <w:lang w:eastAsia="zh-CN"/>
        </w:rPr>
        <w:spacing w:line="360" w:lineRule="exact"/>
        <w:outlineLvl w:val="1"/>
        <w:jc w:val="left"/>
      </w:pPr>
      <w:bookmarkStart w:id="78" w:name="C5e9ad751b5e6102bb17b687e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78"/>
    </w:p>
    <w:p>
      <w:pPr>
        <w:spacing w:after="120" w:line="360" w:lineRule="exact"/>
        <w:ind w:firstLine="480"/>
        <w:rPr>
          <w:lang w:eastAsia="zh-CN"/>
        </w:rPr>
      </w:pPr>
      <w:bookmarkStart w:id="79" w:name="C5e9ad751b5e6102bb17b687e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9"/>
    </w:p>
    <w:p>
      <w:pPr>
        <w:rPr>
          <w:lang w:eastAsia="zh-CN"/>
        </w:rPr>
        <w:spacing w:line="360" w:lineRule="exact"/>
        <w:outlineLvl w:val="1"/>
        <w:jc w:val="left"/>
      </w:pPr>
      <w:bookmarkStart w:id="80" w:name="C5e9ad751b5e6102bb17b687e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80"/>
    </w:p>
    <w:p>
      <w:pPr>
        <w:spacing w:after="120" w:line="360" w:lineRule="exact"/>
        <w:ind w:firstLine="480"/>
        <w:rPr>
          <w:lang w:eastAsia="zh-CN"/>
        </w:rPr>
      </w:pPr>
      <w:bookmarkStart w:id="81" w:name="C5e9ad751b5e6102bb17b687e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81"/>
    </w:p>
    <w:p>
      <w:pPr>
        <w:rPr>
          <w:lang w:eastAsia="zh-CN"/>
        </w:rPr>
        <w:spacing w:line="360" w:lineRule="exact"/>
        <w:outlineLvl w:val="1"/>
        <w:jc w:val="left"/>
      </w:pPr>
      <w:bookmarkStart w:id="82" w:name="C5e9ad751b5e6102bb17b687e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82"/>
    </w:p>
    <w:p>
      <w:pPr>
        <w:spacing w:after="120" w:line="360" w:lineRule="exact"/>
        <w:ind w:firstLine="480"/>
        <w:rPr>
          <w:lang w:eastAsia="zh-CN"/>
        </w:rPr>
      </w:pPr>
      <w:bookmarkStart w:id="83" w:name="C5e9ad751b5e6102bb17b687e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83"/>
    </w:p>
    <w:p>
      <w:pPr>
        <w:rPr>
          <w:lang w:eastAsia="zh-CN"/>
        </w:rPr>
        <w:spacing w:line="360" w:lineRule="exact"/>
        <w:outlineLvl w:val="1"/>
        <w:jc w:val="left"/>
      </w:pPr>
      <w:bookmarkStart w:id="84" w:name="DIAGRAM_05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部署架构</w:t>
      </w:r>
      <w:bookmarkEnd w:id="84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85" w:name="DIAGRAM_05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85"/>
      <w:r>
        <w:drawing>
          <wp:inline xmlns:a="http://schemas.openxmlformats.org/drawingml/2006/main" xmlns:pic="http://schemas.openxmlformats.org/drawingml/2006/picture">
            <wp:extent cx="5220000" cy="2936250"/>
            <wp:docPr id="14" name="Picture 14" descr="访问区、应用区、数据区和运维区的部署与访问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部署架构</w:t>
      </w:r>
    </w:p>
    <w:p>
      <w:pPr>
        <w:spacing w:after="120" w:line="360" w:lineRule="exact"/>
        <w:ind w:firstLine="480"/>
        <w:rPr>
          <w:lang w:eastAsia="zh-CN"/>
        </w:rPr>
      </w:pPr>
      <w:bookmarkStart w:id="87" w:name="DIAGRAM_05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访问区、应用区、数据区和运维区的部署与访问边界。图中颜色用于区分参与角色、平台能力、数据资源与控制节点，箭头表示主要依赖或处理方向。</w:t>
      </w:r>
      <w:bookmarkEnd w:id="87"/>
    </w:p>
    <w:p>
      <w:pPr>
        <w:rPr>
          <w:lang w:eastAsia="zh-CN"/>
        </w:rPr>
        <w:spacing w:line="360" w:lineRule="exact"/>
        <w:outlineLvl w:val="1"/>
        <w:jc w:val="left"/>
      </w:pPr>
      <w:bookmarkStart w:id="88" w:name="DIAGRAM_10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身份与权限</w:t>
      </w:r>
      <w:bookmarkEnd w:id="88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89" w:name="DIAGRAM_10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89"/>
      <w:r>
        <w:drawing>
          <wp:inline xmlns:a="http://schemas.openxmlformats.org/drawingml/2006/main" xmlns:pic="http://schemas.openxmlformats.org/drawingml/2006/picture">
            <wp:extent cx="5220000" cy="2936250"/>
            <wp:docPr id="15" name="Picture 15" descr="登录、首次改密、角色授权、访问校验和审计留痕的控制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身份与权限</w:t>
      </w:r>
    </w:p>
    <w:p>
      <w:pPr>
        <w:spacing w:after="120" w:line="360" w:lineRule="exact"/>
        <w:ind w:firstLine="480"/>
        <w:rPr>
          <w:lang w:eastAsia="zh-CN"/>
        </w:rPr>
      </w:pPr>
      <w:bookmarkStart w:id="91" w:name="DIAGRAM_10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登录、首次改密、角色授权、访问校验和审计留痕的控制链。图中颜色用于区分参与角色、平台能力、数据资源与控制节点，箭头表示主要依赖或处理方向。</w:t>
      </w:r>
      <w:bookmarkEnd w:id="91"/>
    </w:p>
    <w:p>
      <w:pPr>
        <w:rPr>
          <w:lang w:eastAsia="zh-CN"/>
        </w:rPr>
        <w:spacing w:line="360" w:lineRule="exact"/>
        <w:outlineLvl w:val="1"/>
        <w:jc w:val="left"/>
      </w:pPr>
      <w:bookmarkStart w:id="92" w:name="DIAGRAM_15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发布与变更</w:t>
      </w:r>
      <w:bookmarkEnd w:id="92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93" w:name="DIAGRAM_15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3"/>
      <w:r>
        <w:drawing>
          <wp:inline xmlns:a="http://schemas.openxmlformats.org/drawingml/2006/main" xmlns:pic="http://schemas.openxmlformats.org/drawingml/2006/picture">
            <wp:extent cx="5220000" cy="2936250"/>
            <wp:docPr id="16" name="Picture 16" descr="开发验证、审批、灰度发布、观察和回滚的受控变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发布与变更</w:t>
      </w:r>
    </w:p>
    <w:p>
      <w:pPr>
        <w:spacing w:after="120" w:line="360" w:lineRule="exact"/>
        <w:ind w:firstLine="480"/>
        <w:rPr>
          <w:lang w:eastAsia="zh-CN"/>
        </w:rPr>
      </w:pPr>
      <w:bookmarkStart w:id="95" w:name="DIAGRAM_15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开发验证、审批、灰度发布、观察和回滚的受控变更流程。图中颜色用于区分参与角色、平台能力、数据资源与控制节点，箭头表示主要依赖或处理方向。</w:t>
      </w:r>
      <w:bookmarkEnd w:id="95"/>
    </w:p>
    <w:p>
      <w:pPr>
        <w:jc w:val="center"/>
        <w:rPr>
          <w:lang w:eastAsia="zh-CN"/>
        </w:rPr>
        <w:spacing w:line="360" w:lineRule="exact"/>
      </w:pPr>
      <w:bookmarkStart w:id="96" w:name="INPUT_TABLE"/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表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输入设备清单</w:t>
      </w:r>
      <w:bookmarkEnd w:id="9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3202"/>
        <w:gridCol w:w="1369"/>
        <w:gridCol w:w="1500"/>
        <w:gridCol w:w="1141"/>
      </w:tblGrid>
      <w:tr>
        <w:trPr>
          <w:jc w:val="center"/>
          <w:tblHeader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</w: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</w: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来源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人工录入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</w: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</w: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人工录入</w:t>
            </w:r>
          </w:p>
        </w:tc>
      </w:tr>
    </w:tbl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98" w:name="PENDING_HEADING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6 待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确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认事项</w:t>
      </w:r>
      <w:bookmarkEnd w:id="98"/>
    </w:p>
    <w:p>
      <w:pPr>
        <w:spacing w:after="120" w:line="360" w:lineRule="exact"/>
        <w:ind w:firstLine="480"/>
        <w:rPr>
          <w:lang w:eastAsia="zh-CN"/>
        </w:rPr>
      </w:pPr>
      <w:bookmarkStart w:id="99" w:name="PENDING_TEXT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运维责任人、最终IP地址、建设成本、运维成本和收益依据待确认</w:t>
      </w:r>
      <w:bookmarkEnd w:id="99"/>
    </w:p>
    <w:p>
      <w:pPr>
        <w:spacing w:after="120" w:line="360" w:lineRule="exact"/>
        <w:ind w:firstLine="480"/>
        <w:rPr>
          <w:lang w:eastAsia="zh-CN"/>
        </w:rPr>
      </w:pPr>
      <w:bookmarkStart w:id="100" w:name="PENDING_TEXT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日志留存180天与不少于6个月的口径待统一</w:t>
      </w:r>
      <w:bookmarkEnd w:id="100"/>
    </w:p>
    <w:sectPr>
      <w:footerReference w:type="default" r:id="rId9"/>
      <w:headerReference w:type="default" r:id="rId27"/>
      <w:headerReference w:type="first" r:id="rId28"/>
      <w:footerReference w:type="first" r:id="rId29"/>
      <w:pgSz w:w="11906" w:h="16838"/>
      <w:pgMar w:top="1440" w:right="1440" w:bottom="1440" w:left="1440" w:header="850" w:footer="992" w:gutter="0"/>
      <w:cols w:space="720"/>
      <w:titlePg/>
      <w:docGrid w:linePitch="360" w:type="linesAndChar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1443" w14:textId="77777777" w:rsidR="009A63BE" w:rsidRDefault="009A63BE">
      <w:pPr>
        <w:spacing w:after="0" w:line="240" w:lineRule="auto"/>
      </w:pPr>
      <w:r>
        <w:separator/>
      </w:r>
    </w:p>
  </w:endnote>
  <w:endnote w:type="continuationSeparator" w:id="0">
    <w:p w14:paraId="78234FF8" w14:textId="77777777" w:rsidR="009A63BE" w:rsidRDefault="009A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  <w:jc w:val="center"/>
      <w:spacing w:line="360" w:lineRule="exact"/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B02C" w14:textId="77777777" w:rsidR="009A63BE" w:rsidRDefault="009A63BE">
      <w:pPr>
        <w:spacing w:after="0" w:line="240" w:lineRule="auto"/>
      </w:pPr>
      <w:r>
        <w:separator/>
      </w:r>
    </w:p>
  </w:footnote>
  <w:footnote w:type="continuationSeparator" w:id="0">
    <w:p w14:paraId="18EA341C" w14:textId="77777777" w:rsidR="009A63BE" w:rsidRDefault="009A6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jc w:val="center"/>
      <w:rPr>
        <w:lang w:eastAsia="zh-CN"/>
      </w:rPr>
    </w:pPr>
    <w:r>
      <w:rPr>
        <w:sz w:val="18"/>
        <w:lang w:eastAsia="zh-CN"/>
      </w:rPr>
      <w:t xml:space="preserve">{{title}}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园区安全接入与集中审计技术方案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EAFA31"/>
  <w14:defaultImageDpi w14:val="300"/>
  <w15:docId w15:val="{FF9A4DAE-EC39-4F66-A2D6-D42F114DC89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2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