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800000" cy="740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-logo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  <w:rPr>
          <w:lang w:eastAsia="zh-CN"/>
        </w:rPr>
      </w:pPr>
      <w:r>
        <w:rPr>
          <w:b/>
          <w:lang w:eastAsia="zh-CN"/>
        </w:rPr>
        <w:t xml:space="preserve">园区安全接入与集中审计技术方案</w:t>
      </w:r>
      <w:r>
        <w:rPr>
          <w:b/>
          <w:lang w:eastAsia="zh-CN"/>
        </w:rPr>
      </w:r>
      <w:r>
        <w:rPr>
          <w:b/>
          <w:lang w:eastAsia="zh-CN"/>
        </w:rPr>
      </w:r>
    </w:p>
    <w:p>
      <w:pPr>
        <w:rPr>
          <w:rFonts w:hint="eastAsia"/>
          <w:lang w:eastAsia="zh-CN"/>
        </w:rPr>
      </w:pPr>
      <w:r>
        <w:rPr>
          <w:lang w:eastAsia="zh-CN"/>
        </w:rPr>
      </w:r>
      <w:r>
        <w:br w:type="page"/>
      </w:r>
    </w:p>
    <w:p>
      <w:pPr>
        <w:pStyle w:val="TOC"/>
        <w:jc w:val="center"/>
        <w:rPr>
          <w:rFonts w:hint="eastAsia"/>
        </w:rPr>
      </w:pPr>
      <w:r>
        <w:rPr>
          <w:rFonts w:ascii="微软雅黑" w:eastAsia="微软雅黑" w:hAnsi="微软雅黑" w:cs="微软雅黑"/>
          <w:lang w:val="zh-CN" w:eastAsia="zh-CN"/>
        </w:rPr>
        <w:t xml:space="preserve">目</w:t>
      </w:r>
      <w:r>
        <w:rPr>
          <w:rFonts w:ascii="微软雅黑" w:eastAsia="微软雅黑" w:hAnsi="微软雅黑" w:cs="微软雅黑" w:hint="eastAsia"/>
          <w:lang w:val="zh-CN" w:eastAsia="zh-CN"/>
        </w:rPr>
        <w:t xml:space="preserve">录</w:t>
      </w:r>
    </w:p>
    <w:p>
      <w:pPr>
        <w:pStyle w:val="TOC1"/>
        <w:tabs>
          <w:tab w:val="right" w:leader="dot" w:pos="883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"1-2" \h \z \u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>
      <w:r/>
      <w:r>
        <w:br w:type="page"/>
      </w:r>
    </w:p>
    <w:p>
      <w:pPr>
        <w:pageBreakBefore w:val="1"/>
        <w:jc w:val="center"/>
        <w:rPr>
          <w:rFonts w:hint="eastAsia"/>
          <w:lang w:eastAsia="zh-CN"/>
        </w:rPr>
        <w:spacing w:line="360" w:lineRule="exact"/>
        <w:outlineLvl w:val="0"/>
      </w:pPr>
      <w:bookmarkStart w:id="1" w:name="Cb6451cc6dd815a950de3dcc4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1 现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状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与建设必要性</w:t>
      </w:r>
      <w:bookmarkEnd w:id="1"/>
    </w:p>
    <w:p>
      <w:pPr>
        <w:rPr>
          <w:lang w:eastAsia="zh-CN"/>
        </w:rPr>
        <w:spacing w:line="360" w:lineRule="exact"/>
        <w:outlineLvl w:val="1"/>
        <w:jc w:val="left"/>
      </w:pPr>
      <w:bookmarkStart w:id="2" w:name="Cb6451cc6dd815a950de3dcc4S1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1.1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2"/>
    </w:p>
    <w:p>
      <w:pPr>
        <w:spacing w:after="120" w:line="360" w:lineRule="exact"/>
        <w:ind w:firstLine="480"/>
        <w:rPr>
          <w:lang w:eastAsia="zh-CN"/>
        </w:rPr>
      </w:pPr>
      <w:bookmarkStart w:id="3" w:name="Cb6451cc6dd815a950de3dcc4P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现状与建设必要性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3"/>
    </w:p>
    <w:p>
      <w:pPr>
        <w:rPr>
          <w:lang w:eastAsia="zh-CN"/>
        </w:rPr>
        <w:spacing w:line="360" w:lineRule="exact"/>
        <w:outlineLvl w:val="1"/>
        <w:jc w:val="left"/>
      </w:pPr>
      <w:bookmarkStart w:id="4" w:name="Cb6451cc6dd815a950de3dcc4S2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1.2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4"/>
    </w:p>
    <w:p>
      <w:pPr>
        <w:spacing w:after="120" w:line="360" w:lineRule="exact"/>
        <w:ind w:firstLine="480"/>
        <w:rPr>
          <w:lang w:eastAsia="zh-CN"/>
        </w:rPr>
      </w:pPr>
      <w:bookmarkStart w:id="5" w:name="Cb6451cc6dd815a950de3dcc4P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现状与建设必要性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5"/>
    </w:p>
    <w:p>
      <w:pPr>
        <w:rPr>
          <w:lang w:eastAsia="zh-CN"/>
        </w:rPr>
        <w:spacing w:line="360" w:lineRule="exact"/>
        <w:outlineLvl w:val="1"/>
        <w:jc w:val="left"/>
      </w:pPr>
      <w:bookmarkStart w:id="6" w:name="Cb6451cc6dd815a950de3dcc4S3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1.3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实施方法与控制要求</w:t>
      </w:r>
      <w:bookmarkEnd w:id="6"/>
    </w:p>
    <w:p>
      <w:pPr>
        <w:spacing w:after="120" w:line="360" w:lineRule="exact"/>
        <w:ind w:firstLine="480"/>
        <w:rPr>
          <w:lang w:eastAsia="zh-CN"/>
        </w:rPr>
      </w:pPr>
      <w:bookmarkStart w:id="7" w:name="Cb6451cc6dd815a950de3dcc4P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现状与建设必要性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7"/>
    </w:p>
    <w:p>
      <w:pPr>
        <w:rPr>
          <w:lang w:eastAsia="zh-CN"/>
        </w:rPr>
        <w:spacing w:line="360" w:lineRule="exact"/>
        <w:outlineLvl w:val="1"/>
        <w:jc w:val="left"/>
      </w:pPr>
      <w:bookmarkStart w:id="8" w:name="DIAGRAM_01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1.4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业务闭环流程</w:t>
      </w:r>
      <w:bookmarkEnd w:id="8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9" w:name="DIAGRAM_01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9"/>
      <w:r>
        <w:drawing>
          <wp:inline xmlns:a="http://schemas.openxmlformats.org/drawingml/2006/main" xmlns:pic="http://schemas.openxmlformats.org/drawingml/2006/picture">
            <wp:extent cx="5220000" cy="2936250"/>
            <wp:docPr id="2" name="Picture 2" descr="从资料接收到方案交付的端到端业务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1.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业务闭环流程</w:t>
      </w:r>
    </w:p>
    <w:p>
      <w:pPr>
        <w:spacing w:after="120" w:line="360" w:lineRule="exact"/>
        <w:ind w:firstLine="480"/>
        <w:rPr>
          <w:lang w:eastAsia="zh-CN"/>
        </w:rPr>
      </w:pPr>
      <w:bookmarkStart w:id="11" w:name="DIAGRAM_01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从资料接收到方案交付的端到端业务闭环。图中颜色用于区分参与角色、平台能力、数据资源与控制节点，箭头表示主要依赖或处理方向。</w:t>
      </w:r>
      <w:bookmarkEnd w:id="11"/>
    </w:p>
    <w:p>
      <w:pPr>
        <w:rPr>
          <w:lang w:eastAsia="zh-CN"/>
        </w:rPr>
        <w:spacing w:line="360" w:lineRule="exact"/>
        <w:outlineLvl w:val="1"/>
        <w:jc w:val="left"/>
      </w:pPr>
      <w:bookmarkStart w:id="12" w:name="DIAGRAM_06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1.5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网络拓扑</w:t>
      </w:r>
      <w:bookmarkEnd w:id="12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13" w:name="DIAGRAM_06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13"/>
      <w:r>
        <w:drawing>
          <wp:inline xmlns:a="http://schemas.openxmlformats.org/drawingml/2006/main" xmlns:pic="http://schemas.openxmlformats.org/drawingml/2006/picture">
            <wp:extent cx="5220000" cy="2936250"/>
            <wp:docPr id="3" name="Picture 3" descr="用户、边界防护、应用集群、数据服务和外部系统的连接拓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1.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2 网络拓扑</w:t>
      </w:r>
    </w:p>
    <w:p>
      <w:pPr>
        <w:spacing w:after="120" w:line="360" w:lineRule="exact"/>
        <w:ind w:firstLine="480"/>
        <w:rPr>
          <w:lang w:eastAsia="zh-CN"/>
        </w:rPr>
      </w:pPr>
      <w:bookmarkStart w:id="15" w:name="DIAGRAM_06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用户、边界防护、应用集群、数据服务和外部系统的连接拓扑。图中颜色用于区分参与角色、平台能力、数据资源与控制节点，箭头表示主要依赖或处理方向。</w:t>
      </w:r>
      <w:bookmarkEnd w:id="15"/>
    </w:p>
    <w:p>
      <w:pPr>
        <w:rPr>
          <w:lang w:eastAsia="zh-CN"/>
        </w:rPr>
        <w:spacing w:line="360" w:lineRule="exact"/>
        <w:outlineLvl w:val="1"/>
        <w:jc w:val="left"/>
      </w:pPr>
      <w:bookmarkStart w:id="16" w:name="DIAGRAM_11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1.6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日志审计</w:t>
      </w:r>
      <w:bookmarkEnd w:id="16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17" w:name="DIAGRAM_11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17"/>
      <w:r>
        <w:drawing>
          <wp:inline xmlns:a="http://schemas.openxmlformats.org/drawingml/2006/main" xmlns:pic="http://schemas.openxmlformats.org/drawingml/2006/picture">
            <wp:extent cx="5220000" cy="2936250"/>
            <wp:docPr id="4" name="Picture 4" descr="业务日志、操作日志、模型调用日志和安全事件的汇聚分析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1.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3 日志审计</w:t>
      </w:r>
    </w:p>
    <w:p>
      <w:pPr>
        <w:spacing w:after="120" w:line="360" w:lineRule="exact"/>
        <w:ind w:firstLine="480"/>
        <w:rPr>
          <w:lang w:eastAsia="zh-CN"/>
        </w:rPr>
      </w:pPr>
      <w:bookmarkStart w:id="19" w:name="DIAGRAM_11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业务日志、操作日志、模型调用日志和安全事件的汇聚分析流程。图中颜色用于区分参与角色、平台能力、数据资源与控制节点，箭头表示主要依赖或处理方向。</w:t>
      </w:r>
      <w:bookmarkEnd w:id="19"/>
    </w:p>
    <w:p>
      <w:pPr>
        <w:pageBreakBefore w:val="1"/>
        <w:jc w:val="center"/>
        <w:rPr>
          <w:rFonts w:hint="eastAsia"/>
          <w:lang w:eastAsia="zh-CN"/>
        </w:rPr>
        <w:spacing w:line="360" w:lineRule="exact"/>
        <w:outlineLvl w:val="0"/>
      </w:pPr>
      <w:bookmarkStart w:id="20" w:name="C8a1eb106427026fd9f7daef2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2 备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选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技术路线</w:t>
      </w:r>
      <w:bookmarkEnd w:id="20"/>
    </w:p>
    <w:p>
      <w:pPr>
        <w:rPr>
          <w:lang w:eastAsia="zh-CN"/>
        </w:rPr>
        <w:spacing w:line="360" w:lineRule="exact"/>
        <w:outlineLvl w:val="1"/>
        <w:jc w:val="left"/>
      </w:pPr>
      <w:bookmarkStart w:id="21" w:name="C8a1eb106427026fd9f7daef2S1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2.1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21"/>
    </w:p>
    <w:p>
      <w:pPr>
        <w:spacing w:after="120" w:line="360" w:lineRule="exact"/>
        <w:ind w:firstLine="480"/>
        <w:rPr>
          <w:lang w:eastAsia="zh-CN"/>
        </w:rPr>
      </w:pPr>
      <w:bookmarkStart w:id="22" w:name="C8a1eb106427026fd9f7daef2P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备选技术路线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22"/>
    </w:p>
    <w:p>
      <w:pPr>
        <w:rPr>
          <w:lang w:eastAsia="zh-CN"/>
        </w:rPr>
        <w:spacing w:line="360" w:lineRule="exact"/>
        <w:outlineLvl w:val="1"/>
        <w:jc w:val="left"/>
      </w:pPr>
      <w:bookmarkStart w:id="23" w:name="C8a1eb106427026fd9f7daef2S2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2.2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23"/>
    </w:p>
    <w:p>
      <w:pPr>
        <w:spacing w:after="120" w:line="360" w:lineRule="exact"/>
        <w:ind w:firstLine="480"/>
        <w:rPr>
          <w:lang w:eastAsia="zh-CN"/>
        </w:rPr>
      </w:pPr>
      <w:bookmarkStart w:id="24" w:name="C8a1eb106427026fd9f7daef2P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备选技术路线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24"/>
    </w:p>
    <w:p>
      <w:pPr>
        <w:rPr>
          <w:lang w:eastAsia="zh-CN"/>
        </w:rPr>
        <w:spacing w:line="360" w:lineRule="exact"/>
        <w:outlineLvl w:val="1"/>
        <w:jc w:val="left"/>
      </w:pPr>
      <w:bookmarkStart w:id="25" w:name="C8a1eb106427026fd9f7daef2S3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2.3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实施方法与控制要求</w:t>
      </w:r>
      <w:bookmarkEnd w:id="25"/>
    </w:p>
    <w:p>
      <w:pPr>
        <w:spacing w:after="120" w:line="360" w:lineRule="exact"/>
        <w:ind w:firstLine="480"/>
        <w:rPr>
          <w:lang w:eastAsia="zh-CN"/>
        </w:rPr>
      </w:pPr>
      <w:bookmarkStart w:id="26" w:name="C8a1eb106427026fd9f7daef2P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备选技术路线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26"/>
    </w:p>
    <w:p>
      <w:pPr>
        <w:rPr>
          <w:lang w:eastAsia="zh-CN"/>
        </w:rPr>
        <w:spacing w:line="360" w:lineRule="exact"/>
        <w:outlineLvl w:val="1"/>
        <w:jc w:val="left"/>
      </w:pPr>
      <w:bookmarkStart w:id="27" w:name="DIAGRAM_02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2.4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总体架构</w:t>
      </w:r>
      <w:bookmarkEnd w:id="27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28" w:name="DIAGRAM_02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28"/>
      <w:r>
        <w:drawing>
          <wp:inline xmlns:a="http://schemas.openxmlformats.org/drawingml/2006/main" xmlns:pic="http://schemas.openxmlformats.org/drawingml/2006/picture">
            <wp:extent cx="5220000" cy="2936250"/>
            <wp:docPr id="5" name="Picture 5" descr="平台接入层、能力层、数据层与基础设施层的总体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2.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总体架构</w:t>
      </w:r>
    </w:p>
    <w:p>
      <w:pPr>
        <w:spacing w:after="120" w:line="360" w:lineRule="exact"/>
        <w:ind w:firstLine="480"/>
        <w:rPr>
          <w:lang w:eastAsia="zh-CN"/>
        </w:rPr>
      </w:pPr>
      <w:bookmarkStart w:id="30" w:name="DIAGRAM_02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平台接入层、能力层、数据层与基础设施层的总体关系。图中颜色用于区分参与角色、平台能力、数据资源与控制节点，箭头表示主要依赖或处理方向。</w:t>
      </w:r>
      <w:bookmarkEnd w:id="30"/>
    </w:p>
    <w:p>
      <w:pPr>
        <w:rPr>
          <w:lang w:eastAsia="zh-CN"/>
        </w:rPr>
        <w:spacing w:line="360" w:lineRule="exact"/>
        <w:outlineLvl w:val="1"/>
        <w:jc w:val="left"/>
      </w:pPr>
      <w:bookmarkStart w:id="31" w:name="DIAGRAM_07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2.5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数据流转</w:t>
      </w:r>
      <w:bookmarkEnd w:id="31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32" w:name="DIAGRAM_07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32"/>
      <w:r>
        <w:drawing>
          <wp:inline xmlns:a="http://schemas.openxmlformats.org/drawingml/2006/main" xmlns:pic="http://schemas.openxmlformats.org/drawingml/2006/picture">
            <wp:extent cx="5220000" cy="2936250"/>
            <wp:docPr id="6" name="Picture 6" descr="资料上传、解析、生成、审核、归档与下载的数据流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2.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2 数据流转</w:t>
      </w:r>
    </w:p>
    <w:p>
      <w:pPr>
        <w:spacing w:after="120" w:line="360" w:lineRule="exact"/>
        <w:ind w:firstLine="480"/>
        <w:rPr>
          <w:lang w:eastAsia="zh-CN"/>
        </w:rPr>
      </w:pPr>
      <w:bookmarkStart w:id="34" w:name="DIAGRAM_07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资料上传、解析、生成、审核、归档与下载的数据流向。图中颜色用于区分参与角色、平台能力、数据资源与控制节点，箭头表示主要依赖或处理方向。</w:t>
      </w:r>
      <w:bookmarkEnd w:id="34"/>
    </w:p>
    <w:p>
      <w:pPr>
        <w:rPr>
          <w:lang w:eastAsia="zh-CN"/>
        </w:rPr>
        <w:spacing w:line="360" w:lineRule="exact"/>
        <w:outlineLvl w:val="1"/>
        <w:jc w:val="left"/>
      </w:pPr>
      <w:bookmarkStart w:id="35" w:name="DIAGRAM_12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2.6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高可用架构</w:t>
      </w:r>
      <w:bookmarkEnd w:id="35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36" w:name="DIAGRAM_12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36"/>
      <w:r>
        <w:drawing>
          <wp:inline xmlns:a="http://schemas.openxmlformats.org/drawingml/2006/main" xmlns:pic="http://schemas.openxmlformats.org/drawingml/2006/picture">
            <wp:extent cx="5220000" cy="2936250"/>
            <wp:docPr id="7" name="Picture 7" descr="负载均衡、无状态应用、任务执行和数据服务的高可用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2.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3 高可用架构</w:t>
      </w:r>
    </w:p>
    <w:p>
      <w:pPr>
        <w:spacing w:after="120" w:line="360" w:lineRule="exact"/>
        <w:ind w:firstLine="480"/>
        <w:rPr>
          <w:lang w:eastAsia="zh-CN"/>
        </w:rPr>
      </w:pPr>
      <w:bookmarkStart w:id="38" w:name="DIAGRAM_12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负载均衡、无状态应用、任务执行和数据服务的高可用设计。图中颜色用于区分参与角色、平台能力、数据资源与控制节点，箭头表示主要依赖或处理方向。</w:t>
      </w:r>
      <w:bookmarkEnd w:id="38"/>
    </w:p>
    <w:p>
      <w:pPr>
        <w:pageBreakBefore w:val="1"/>
        <w:jc w:val="center"/>
        <w:rPr>
          <w:rFonts w:hint="eastAsia"/>
          <w:lang w:eastAsia="zh-CN"/>
        </w:rPr>
        <w:spacing w:line="360" w:lineRule="exact"/>
        <w:outlineLvl w:val="0"/>
      </w:pPr>
      <w:bookmarkStart w:id="39" w:name="C562a77a7ae22fe1bb05561df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3 实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施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条件与技术方案</w:t>
      </w:r>
      <w:bookmarkEnd w:id="39"/>
    </w:p>
    <w:p>
      <w:pPr>
        <w:rPr>
          <w:lang w:eastAsia="zh-CN"/>
        </w:rPr>
        <w:spacing w:line="360" w:lineRule="exact"/>
        <w:outlineLvl w:val="1"/>
        <w:jc w:val="left"/>
      </w:pPr>
      <w:bookmarkStart w:id="40" w:name="C562a77a7ae22fe1bb05561dfS1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3.1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40"/>
    </w:p>
    <w:p>
      <w:pPr>
        <w:spacing w:after="120" w:line="360" w:lineRule="exact"/>
        <w:ind w:firstLine="480"/>
        <w:rPr>
          <w:lang w:eastAsia="zh-CN"/>
        </w:rPr>
      </w:pPr>
      <w:bookmarkStart w:id="41" w:name="C562a77a7ae22fe1bb05561dfP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实施条件与技术方案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41"/>
    </w:p>
    <w:p>
      <w:pPr>
        <w:rPr>
          <w:lang w:eastAsia="zh-CN"/>
        </w:rPr>
        <w:spacing w:line="360" w:lineRule="exact"/>
        <w:outlineLvl w:val="1"/>
        <w:jc w:val="left"/>
      </w:pPr>
      <w:bookmarkStart w:id="42" w:name="C562a77a7ae22fe1bb05561dfS2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3.2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42"/>
    </w:p>
    <w:p>
      <w:pPr>
        <w:spacing w:after="120" w:line="360" w:lineRule="exact"/>
        <w:ind w:firstLine="480"/>
        <w:rPr>
          <w:lang w:eastAsia="zh-CN"/>
        </w:rPr>
      </w:pPr>
      <w:bookmarkStart w:id="43" w:name="C562a77a7ae22fe1bb05561dfP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实施条件与技术方案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43"/>
    </w:p>
    <w:p>
      <w:pPr>
        <w:rPr>
          <w:lang w:eastAsia="zh-CN"/>
        </w:rPr>
        <w:spacing w:line="360" w:lineRule="exact"/>
        <w:outlineLvl w:val="1"/>
        <w:jc w:val="left"/>
      </w:pPr>
      <w:bookmarkStart w:id="44" w:name="C562a77a7ae22fe1bb05561dfS3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3.3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实施方法与控制要求</w:t>
      </w:r>
      <w:bookmarkEnd w:id="44"/>
    </w:p>
    <w:p>
      <w:pPr>
        <w:spacing w:after="120" w:line="360" w:lineRule="exact"/>
        <w:ind w:firstLine="480"/>
        <w:rPr>
          <w:lang w:eastAsia="zh-CN"/>
        </w:rPr>
      </w:pPr>
      <w:bookmarkStart w:id="45" w:name="C562a77a7ae22fe1bb05561dfP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实施条件与技术方案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45"/>
    </w:p>
    <w:p>
      <w:pPr>
        <w:rPr>
          <w:lang w:eastAsia="zh-CN"/>
        </w:rPr>
        <w:spacing w:line="360" w:lineRule="exact"/>
        <w:outlineLvl w:val="1"/>
        <w:jc w:val="left"/>
      </w:pPr>
      <w:bookmarkStart w:id="46" w:name="DIAGRAM_03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3.4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应用架构</w:t>
      </w:r>
      <w:bookmarkEnd w:id="46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47" w:name="DIAGRAM_03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47"/>
      <w:r>
        <w:drawing>
          <wp:inline xmlns:a="http://schemas.openxmlformats.org/drawingml/2006/main" xmlns:pic="http://schemas.openxmlformats.org/drawingml/2006/picture">
            <wp:extent cx="5220000" cy="2936250"/>
            <wp:docPr id="8" name="Picture 8" descr="用户门户、业务服务、智能体服务与运营管理能力的协作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3.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应用架构</w:t>
      </w:r>
    </w:p>
    <w:p>
      <w:pPr>
        <w:spacing w:after="120" w:line="360" w:lineRule="exact"/>
        <w:ind w:firstLine="480"/>
        <w:rPr>
          <w:lang w:eastAsia="zh-CN"/>
        </w:rPr>
      </w:pPr>
      <w:bookmarkStart w:id="49" w:name="DIAGRAM_03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用户门户、业务服务、智能体服务与运营管理能力的协作关系。图中颜色用于区分参与角色、平台能力、数据资源与控制节点，箭头表示主要依赖或处理方向。</w:t>
      </w:r>
      <w:bookmarkEnd w:id="49"/>
    </w:p>
    <w:p>
      <w:pPr>
        <w:rPr>
          <w:lang w:eastAsia="zh-CN"/>
        </w:rPr>
        <w:spacing w:line="360" w:lineRule="exact"/>
        <w:outlineLvl w:val="1"/>
        <w:jc w:val="left"/>
      </w:pPr>
      <w:bookmarkStart w:id="50" w:name="DIAGRAM_08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3.5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集成架构</w:t>
      </w:r>
      <w:bookmarkEnd w:id="50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51" w:name="DIAGRAM_08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51"/>
      <w:r>
        <w:drawing>
          <wp:inline xmlns:a="http://schemas.openxmlformats.org/drawingml/2006/main" xmlns:pic="http://schemas.openxmlformats.org/drawingml/2006/picture">
            <wp:extent cx="5220000" cy="2936250"/>
            <wp:docPr id="9" name="Picture 9" descr="平台与统一身份、知识库、模型网关和企业系统的集成方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3.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2 集成架构</w:t>
      </w:r>
    </w:p>
    <w:p>
      <w:pPr>
        <w:spacing w:after="120" w:line="360" w:lineRule="exact"/>
        <w:ind w:firstLine="480"/>
        <w:rPr>
          <w:lang w:eastAsia="zh-CN"/>
        </w:rPr>
      </w:pPr>
      <w:bookmarkStart w:id="53" w:name="DIAGRAM_08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平台与统一身份、知识库、模型网关和企业系统的集成方式。图中颜色用于区分参与角色、平台能力、数据资源与控制节点，箭头表示主要依赖或处理方向。</w:t>
      </w:r>
      <w:bookmarkEnd w:id="53"/>
    </w:p>
    <w:p>
      <w:pPr>
        <w:rPr>
          <w:lang w:eastAsia="zh-CN"/>
        </w:rPr>
        <w:spacing w:line="360" w:lineRule="exact"/>
        <w:outlineLvl w:val="1"/>
        <w:jc w:val="left"/>
      </w:pPr>
      <w:bookmarkStart w:id="54" w:name="DIAGRAM_13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3.6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备份与恢复</w:t>
      </w:r>
      <w:bookmarkEnd w:id="54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55" w:name="DIAGRAM_13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55"/>
      <w:r>
        <w:drawing>
          <wp:inline xmlns:a="http://schemas.openxmlformats.org/drawingml/2006/main" xmlns:pic="http://schemas.openxmlformats.org/drawingml/2006/picture">
            <wp:extent cx="5220000" cy="2936250"/>
            <wp:docPr id="10" name="Picture 10" descr="数据备份、校验、异地保留、恢复演练和复盘改进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3.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3 备份与恢复</w:t>
      </w:r>
    </w:p>
    <w:p>
      <w:pPr>
        <w:spacing w:after="120" w:line="360" w:lineRule="exact"/>
        <w:ind w:firstLine="480"/>
        <w:rPr>
          <w:lang w:eastAsia="zh-CN"/>
        </w:rPr>
      </w:pPr>
      <w:bookmarkStart w:id="57" w:name="DIAGRAM_13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数据备份、校验、异地保留、恢复演练和复盘改进流程。图中颜色用于区分参与角色、平台能力、数据资源与控制节点，箭头表示主要依赖或处理方向。</w:t>
      </w:r>
      <w:bookmarkEnd w:id="57"/>
    </w:p>
    <w:p>
      <w:pPr>
        <w:pageBreakBefore w:val="1"/>
        <w:jc w:val="center"/>
        <w:rPr>
          <w:rFonts w:hint="eastAsia"/>
          <w:lang w:eastAsia="zh-CN"/>
        </w:rPr>
        <w:spacing w:line="360" w:lineRule="exact"/>
        <w:outlineLvl w:val="0"/>
      </w:pPr>
      <w:bookmarkStart w:id="58" w:name="C37c48e35b50ae9c90981b34b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4 风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险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与控制</w:t>
      </w:r>
      <w:bookmarkEnd w:id="58"/>
    </w:p>
    <w:p>
      <w:pPr>
        <w:rPr>
          <w:lang w:eastAsia="zh-CN"/>
        </w:rPr>
        <w:spacing w:line="360" w:lineRule="exact"/>
        <w:outlineLvl w:val="1"/>
        <w:jc w:val="left"/>
      </w:pPr>
      <w:bookmarkStart w:id="59" w:name="C37c48e35b50ae9c90981b34bS1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4.1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59"/>
    </w:p>
    <w:p>
      <w:pPr>
        <w:spacing w:after="120" w:line="360" w:lineRule="exact"/>
        <w:ind w:firstLine="480"/>
        <w:rPr>
          <w:lang w:eastAsia="zh-CN"/>
        </w:rPr>
      </w:pPr>
      <w:bookmarkStart w:id="60" w:name="C37c48e35b50ae9c90981b34bP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风险与控制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60"/>
    </w:p>
    <w:p>
      <w:pPr>
        <w:rPr>
          <w:lang w:eastAsia="zh-CN"/>
        </w:rPr>
        <w:spacing w:line="360" w:lineRule="exact"/>
        <w:outlineLvl w:val="1"/>
        <w:jc w:val="left"/>
      </w:pPr>
      <w:bookmarkStart w:id="61" w:name="C37c48e35b50ae9c90981b34bS2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4.2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61"/>
    </w:p>
    <w:p>
      <w:pPr>
        <w:spacing w:after="120" w:line="360" w:lineRule="exact"/>
        <w:ind w:firstLine="480"/>
        <w:rPr>
          <w:lang w:eastAsia="zh-CN"/>
        </w:rPr>
      </w:pPr>
      <w:bookmarkStart w:id="62" w:name="C37c48e35b50ae9c90981b34bP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风险与控制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62"/>
    </w:p>
    <w:p>
      <w:pPr>
        <w:rPr>
          <w:lang w:eastAsia="zh-CN"/>
        </w:rPr>
        <w:spacing w:line="360" w:lineRule="exact"/>
        <w:outlineLvl w:val="1"/>
        <w:jc w:val="left"/>
      </w:pPr>
      <w:bookmarkStart w:id="63" w:name="C37c48e35b50ae9c90981b34bS3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4.3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实施方法与控制要求</w:t>
      </w:r>
      <w:bookmarkEnd w:id="63"/>
    </w:p>
    <w:p>
      <w:pPr>
        <w:spacing w:after="120" w:line="360" w:lineRule="exact"/>
        <w:ind w:firstLine="480"/>
        <w:rPr>
          <w:lang w:eastAsia="zh-CN"/>
        </w:rPr>
      </w:pPr>
      <w:bookmarkStart w:id="64" w:name="C37c48e35b50ae9c90981b34bP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风险与控制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64"/>
    </w:p>
    <w:p>
      <w:pPr>
        <w:rPr>
          <w:lang w:eastAsia="zh-CN"/>
        </w:rPr>
        <w:spacing w:line="360" w:lineRule="exact"/>
        <w:outlineLvl w:val="1"/>
        <w:jc w:val="left"/>
      </w:pPr>
      <w:bookmarkStart w:id="65" w:name="DIAGRAM_04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4.4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技术架构</w:t>
      </w:r>
      <w:bookmarkEnd w:id="65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66" w:name="DIAGRAM_04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66"/>
      <w:r>
        <w:drawing>
          <wp:inline xmlns:a="http://schemas.openxmlformats.org/drawingml/2006/main" xmlns:pic="http://schemas.openxmlformats.org/drawingml/2006/picture">
            <wp:extent cx="5220000" cy="2936250"/>
            <wp:docPr id="11" name="Picture 11" descr="前端、服务端、任务编排、模型服务和数据存储的技术分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4.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技术架构</w:t>
      </w:r>
    </w:p>
    <w:p>
      <w:pPr>
        <w:spacing w:after="120" w:line="360" w:lineRule="exact"/>
        <w:ind w:firstLine="480"/>
        <w:rPr>
          <w:lang w:eastAsia="zh-CN"/>
        </w:rPr>
      </w:pPr>
      <w:bookmarkStart w:id="68" w:name="DIAGRAM_04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前端、服务端、任务编排、模型服务和数据存储的技术分层。图中颜色用于区分参与角色、平台能力、数据资源与控制节点，箭头表示主要依赖或处理方向。</w:t>
      </w:r>
      <w:bookmarkEnd w:id="68"/>
    </w:p>
    <w:p>
      <w:pPr>
        <w:rPr>
          <w:lang w:eastAsia="zh-CN"/>
        </w:rPr>
        <w:spacing w:line="360" w:lineRule="exact"/>
        <w:outlineLvl w:val="1"/>
        <w:jc w:val="left"/>
      </w:pPr>
      <w:bookmarkStart w:id="69" w:name="DIAGRAM_09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4.5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安全架构</w:t>
      </w:r>
      <w:bookmarkEnd w:id="69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70" w:name="DIAGRAM_09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70"/>
      <w:r>
        <w:drawing>
          <wp:inline xmlns:a="http://schemas.openxmlformats.org/drawingml/2006/main" xmlns:pic="http://schemas.openxmlformats.org/drawingml/2006/picture">
            <wp:extent cx="5220000" cy="2936250"/>
            <wp:docPr id="12" name="Picture 12" descr="身份、网络、应用、数据和审计五个安全域的防护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4.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2 安全架构</w:t>
      </w:r>
    </w:p>
    <w:p>
      <w:pPr>
        <w:spacing w:after="120" w:line="360" w:lineRule="exact"/>
        <w:ind w:firstLine="480"/>
        <w:rPr>
          <w:lang w:eastAsia="zh-CN"/>
        </w:rPr>
      </w:pPr>
      <w:bookmarkStart w:id="72" w:name="DIAGRAM_09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身份、网络、应用、数据和审计五个安全域的防护关系。图中颜色用于区分参与角色、平台能力、数据资源与控制节点，箭头表示主要依赖或处理方向。</w:t>
      </w:r>
      <w:bookmarkEnd w:id="72"/>
    </w:p>
    <w:p>
      <w:pPr>
        <w:rPr>
          <w:lang w:eastAsia="zh-CN"/>
        </w:rPr>
        <w:spacing w:line="360" w:lineRule="exact"/>
        <w:outlineLvl w:val="1"/>
        <w:jc w:val="left"/>
      </w:pPr>
      <w:bookmarkStart w:id="73" w:name="DIAGRAM_14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4.6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监控告警</w:t>
      </w:r>
      <w:bookmarkEnd w:id="73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74" w:name="DIAGRAM_14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74"/>
      <w:r>
        <w:drawing>
          <wp:inline xmlns:a="http://schemas.openxmlformats.org/drawingml/2006/main" xmlns:pic="http://schemas.openxmlformats.org/drawingml/2006/picture">
            <wp:extent cx="5220000" cy="2936250"/>
            <wp:docPr id="13" name="Picture 13" descr="指标采集、规则判断、分级通知、处置和闭环复盘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4.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3 监控告警</w:t>
      </w:r>
    </w:p>
    <w:p>
      <w:pPr>
        <w:spacing w:after="120" w:line="360" w:lineRule="exact"/>
        <w:ind w:firstLine="480"/>
        <w:rPr>
          <w:lang w:eastAsia="zh-CN"/>
        </w:rPr>
      </w:pPr>
      <w:bookmarkStart w:id="76" w:name="DIAGRAM_14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指标采集、规则判断、分级通知、处置和闭环复盘流程。图中颜色用于区分参与角色、平台能力、数据资源与控制节点，箭头表示主要依赖或处理方向。</w:t>
      </w:r>
      <w:bookmarkEnd w:id="76"/>
    </w:p>
    <w:p>
      <w:pPr>
        <w:pageBreakBefore w:val="1"/>
        <w:jc w:val="center"/>
        <w:rPr>
          <w:rFonts w:hint="eastAsia"/>
          <w:lang w:eastAsia="zh-CN"/>
        </w:rPr>
        <w:spacing w:line="360" w:lineRule="exact"/>
        <w:outlineLvl w:val="0"/>
      </w:pPr>
      <w:bookmarkStart w:id="77" w:name="C5e9ad751b5e6102bb17b687e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5 经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济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资料边界</w:t>
      </w:r>
      <w:bookmarkEnd w:id="77"/>
    </w:p>
    <w:p>
      <w:pPr>
        <w:rPr>
          <w:lang w:eastAsia="zh-CN"/>
        </w:rPr>
        <w:spacing w:line="360" w:lineRule="exact"/>
        <w:outlineLvl w:val="1"/>
        <w:jc w:val="left"/>
      </w:pPr>
      <w:bookmarkStart w:id="78" w:name="C5e9ad751b5e6102bb17b687eS1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5.1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设计目标与约束</w:t>
      </w:r>
      <w:bookmarkEnd w:id="78"/>
    </w:p>
    <w:p>
      <w:pPr>
        <w:spacing w:after="120" w:line="360" w:lineRule="exact"/>
        <w:ind w:firstLine="480"/>
        <w:rPr>
          <w:lang w:eastAsia="zh-CN"/>
        </w:rPr>
      </w:pPr>
      <w:bookmarkStart w:id="79" w:name="C5e9ad751b5e6102bb17b687eP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经济资料边界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79"/>
    </w:p>
    <w:p>
      <w:pPr>
        <w:rPr>
          <w:lang w:eastAsia="zh-CN"/>
        </w:rPr>
        <w:spacing w:line="360" w:lineRule="exact"/>
        <w:outlineLvl w:val="1"/>
        <w:jc w:val="left"/>
      </w:pPr>
      <w:bookmarkStart w:id="80" w:name="C5e9ad751b5e6102bb17b687eS2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5.2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方案组成与关键机制</w:t>
      </w:r>
      <w:bookmarkEnd w:id="80"/>
    </w:p>
    <w:p>
      <w:pPr>
        <w:spacing w:after="120" w:line="360" w:lineRule="exact"/>
        <w:ind w:firstLine="480"/>
        <w:rPr>
          <w:lang w:eastAsia="zh-CN"/>
        </w:rPr>
      </w:pPr>
      <w:bookmarkStart w:id="81" w:name="C5e9ad751b5e6102bb17b687eP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经济资料边界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81"/>
    </w:p>
    <w:p>
      <w:pPr>
        <w:rPr>
          <w:lang w:eastAsia="zh-CN"/>
        </w:rPr>
        <w:spacing w:line="360" w:lineRule="exact"/>
        <w:outlineLvl w:val="1"/>
        <w:jc w:val="left"/>
      </w:pPr>
      <w:bookmarkStart w:id="82" w:name="C5e9ad751b5e6102bb17b687eS3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5.3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实施方法与控制要求</w:t>
      </w:r>
      <w:bookmarkEnd w:id="82"/>
    </w:p>
    <w:p>
      <w:pPr>
        <w:spacing w:after="120" w:line="360" w:lineRule="exact"/>
        <w:ind w:firstLine="480"/>
        <w:rPr>
          <w:lang w:eastAsia="zh-CN"/>
        </w:rPr>
      </w:pPr>
      <w:bookmarkStart w:id="83" w:name="C5e9ad751b5e6102bb17b687eP3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经济资料边界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83"/>
    </w:p>
    <w:p>
      <w:pPr>
        <w:rPr>
          <w:lang w:eastAsia="zh-CN"/>
        </w:rPr>
        <w:spacing w:line="360" w:lineRule="exact"/>
        <w:outlineLvl w:val="1"/>
        <w:jc w:val="left"/>
      </w:pPr>
      <w:bookmarkStart w:id="84" w:name="DIAGRAM_05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5.4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部署架构</w:t>
      </w:r>
      <w:bookmarkEnd w:id="84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85" w:name="DIAGRAM_05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85"/>
      <w:r>
        <w:drawing>
          <wp:inline xmlns:a="http://schemas.openxmlformats.org/drawingml/2006/main" xmlns:pic="http://schemas.openxmlformats.org/drawingml/2006/picture">
            <wp:extent cx="5220000" cy="2936250"/>
            <wp:docPr id="14" name="Picture 14" descr="访问区、应用区、数据区和运维区的部署与访问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5.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部署架构</w:t>
      </w:r>
    </w:p>
    <w:p>
      <w:pPr>
        <w:spacing w:after="120" w:line="360" w:lineRule="exact"/>
        <w:ind w:firstLine="480"/>
        <w:rPr>
          <w:lang w:eastAsia="zh-CN"/>
        </w:rPr>
      </w:pPr>
      <w:bookmarkStart w:id="87" w:name="DIAGRAM_05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访问区、应用区、数据区和运维区的部署与访问边界。图中颜色用于区分参与角色、平台能力、数据资源与控制节点，箭头表示主要依赖或处理方向。</w:t>
      </w:r>
      <w:bookmarkEnd w:id="87"/>
    </w:p>
    <w:p>
      <w:pPr>
        <w:rPr>
          <w:lang w:eastAsia="zh-CN"/>
        </w:rPr>
        <w:spacing w:line="360" w:lineRule="exact"/>
        <w:outlineLvl w:val="1"/>
        <w:jc w:val="left"/>
      </w:pPr>
      <w:bookmarkStart w:id="88" w:name="DIAGRAM_10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5.5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身份与权限</w:t>
      </w:r>
      <w:bookmarkEnd w:id="88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89" w:name="DIAGRAM_10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89"/>
      <w:r>
        <w:drawing>
          <wp:inline xmlns:a="http://schemas.openxmlformats.org/drawingml/2006/main" xmlns:pic="http://schemas.openxmlformats.org/drawingml/2006/picture">
            <wp:extent cx="5220000" cy="2936250"/>
            <wp:docPr id="15" name="Picture 15" descr="登录、首次改密、角色授权、访问校验和审计留痕的控制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5.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2 身份与权限</w:t>
      </w:r>
    </w:p>
    <w:p>
      <w:pPr>
        <w:spacing w:after="120" w:line="360" w:lineRule="exact"/>
        <w:ind w:firstLine="480"/>
        <w:rPr>
          <w:lang w:eastAsia="zh-CN"/>
        </w:rPr>
      </w:pPr>
      <w:bookmarkStart w:id="91" w:name="DIAGRAM_10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登录、首次改密、角色授权、访问校验和审计留痕的控制链。图中颜色用于区分参与角色、平台能力、数据资源与控制节点，箭头表示主要依赖或处理方向。</w:t>
      </w:r>
      <w:bookmarkEnd w:id="91"/>
    </w:p>
    <w:p>
      <w:pPr>
        <w:rPr>
          <w:lang w:eastAsia="zh-CN"/>
        </w:rPr>
        <w:spacing w:line="360" w:lineRule="exact"/>
        <w:outlineLvl w:val="1"/>
        <w:jc w:val="left"/>
      </w:pPr>
      <w:bookmarkStart w:id="92" w:name="DIAGRAM_15_HEADING"/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5.6 </w:t>
      </w:r>
      <w:r>
        <w:rPr>
          <w:rFonts w:ascii="宋体" w:eastAsia="宋体" w:hAnsi="宋体" w:cs="宋体"/>
          <w:lang w:eastAsia="zh-CN" w:val="zh-CN"/>
          <w:sz w:val="28"/>
          <w:szCs w:val="28"/>
          <w:b w:val="1"/>
          <w:bCs w:val="1"/>
        </w:rPr>
        <w:t xml:space="preserve">发布与变更</w:t>
      </w:r>
      <w:bookmarkEnd w:id="92"/>
    </w:p>
    <w:p>
      <w:pPr>
        <w:spacing w:after="60" w:line="240" w:lineRule="auto" w:before="120"/>
        <w:ind w:firstLine="480"/>
        <w:rPr>
          <w:lang w:eastAsia="zh-CN"/>
        </w:rPr>
        <w:jc w:val="center"/>
        <w:keepNext w:val="1"/>
        <w:keepLines w:val="1"/>
      </w:pPr>
      <w:bookmarkStart w:id="93" w:name="DIAGRAM_15_FIGURE"/>
      <w:r>
        <w:rPr>
          <w:lang w:eastAsia="zh-CN" w:val="zh-CN"/>
          <w:rFonts w:ascii="宋体" w:hAnsi="宋体" w:eastAsia="宋体" w:cs="宋体"/>
          <w:sz w:val="24"/>
          <w:szCs w:val="24"/>
        </w:rPr>
      </w:r>
      <w:bookmarkEnd w:id="93"/>
      <w:r>
        <w:drawing>
          <wp:inline xmlns:a="http://schemas.openxmlformats.org/drawingml/2006/main" xmlns:pic="http://schemas.openxmlformats.org/drawingml/2006/picture">
            <wp:extent cx="5220000" cy="2936250"/>
            <wp:docPr id="16" name="Picture 16" descr="开发验证、审批、灰度发布、观察和回滚的受控变更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  <w:spacing w:line="360" w:lineRule="exact"/>
      </w:pP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图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5.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3 发布与变更</w:t>
      </w:r>
    </w:p>
    <w:p>
      <w:pPr>
        <w:spacing w:after="120" w:line="360" w:lineRule="exact"/>
        <w:ind w:firstLine="480"/>
        <w:rPr>
          <w:lang w:eastAsia="zh-CN"/>
        </w:rPr>
      </w:pPr>
      <w:bookmarkStart w:id="95" w:name="DIAGRAM_15_NOTE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开发验证、审批、灰度发布、观察和回滚的受控变更流程。图中颜色用于区分参与角色、平台能力、数据资源与控制节点，箭头表示主要依赖或处理方向。</w:t>
      </w:r>
      <w:bookmarkEnd w:id="95"/>
    </w:p>
    <w:p>
      <w:pPr>
        <w:jc w:val="center"/>
        <w:rPr>
          <w:lang w:eastAsia="zh-CN"/>
        </w:rPr>
        <w:spacing w:line="360" w:lineRule="exact"/>
        <w:keepNext w:val="1"/>
        <w:keepLines w:val="1"/>
      </w:pPr>
      <w:bookmarkStart w:id="96" w:name="INPUT_TABLE"/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表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 5.</w:t>
      </w:r>
      <w:r>
        <w:rPr>
          <w:rFonts w:eastAsia="宋体" w:ascii="宋体" w:hAnsi="宋体" w:cs="宋体"/>
          <w:b/>
          <w:sz w:val="21"/>
          <w:lang w:eastAsia="zh-CN" w:val="zh-CN"/>
          <w:szCs w:val="21"/>
        </w:rPr>
        <w:t xml:space="preserve">1 输入设备清单</w:t>
      </w:r>
      <w:bookmarkEnd w:id="9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30"/>
        <w:gridCol w:w="3202"/>
        <w:gridCol w:w="1369"/>
        <w:gridCol w:w="1500"/>
        <w:gridCol w:w="1141"/>
      </w:tblGrid>
      <w:tr>
        <w:trPr>
          <w:jc w:val="center"/>
          <w:tblHeader/>
        </w:trPr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line="360" w:lineRule="exact"/>
            </w:pP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  <w:t xml:space="preserve">原行号</w:t>
            </w:r>
          </w:p>
        </w:tc>
        <w:tc>
          <w:tcPr>
            <w:tcW w:w="345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line="360" w:lineRule="exact"/>
            </w:pP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  <w:t xml:space="preserve">设备名称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line="360" w:lineRule="exact"/>
            </w:pP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</w: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</w: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  <w:t xml:space="preserve">数量</w:t>
            </w:r>
          </w:p>
        </w:tc>
        <w:tc>
          <w:tcPr>
            <w:tcW w:w="158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line="360" w:lineRule="exact"/>
            </w:pP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  <w:t xml:space="preserve">单位</w:t>
            </w:r>
          </w:p>
        </w:tc>
        <w:tc>
          <w:tcPr>
            <w:tcW w:w="115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spacing w:line="360" w:lineRule="exact"/>
            </w:pPr>
            <w:r>
              <w:rPr>
                <w:rFonts w:eastAsia="宋体" w:ascii="宋体" w:hAnsi="宋体" w:cs="宋体"/>
                <w:b/>
                <w:sz w:val="24"/>
                <w:szCs w:val="24"/>
                <w:lang w:val="zh-CN" w:eastAsia="zh-CN"/>
              </w:rPr>
              <w:t xml:space="preserve">来源</w:t>
            </w:r>
          </w:p>
        </w:tc>
      </w:tr>
      <w:tr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exact"/>
            </w:pP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  <w:t xml:space="preserve">r-001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安全接入网关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2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台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exact"/>
            </w:pP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  <w:t xml:space="preserve">人工录入</w:t>
            </w:r>
          </w:p>
        </w:tc>
      </w:tr>
      <w:tr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</w: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</w: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r-002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集中审计节点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exact"/>
            </w:pP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  <w:t xml:space="preserve">1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  <w:spacing w:line="360" w:lineRule="exact"/>
            </w:pPr>
            <w:r>
              <w:rPr>
                <w:sz w:val="24"/>
                <w:lang w:eastAsia="zh-CN" w:val="zh-CN"/>
                <w:rFonts w:ascii="宋体" w:hAnsi="宋体" w:eastAsia="宋体" w:cs="宋体"/>
                <w:szCs w:val="24"/>
              </w:rPr>
              <w:t xml:space="preserve">套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exact"/>
            </w:pP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</w:r>
            <w:r>
              <w:rPr>
                <w:sz w:val="24"/>
                <w:rFonts w:ascii="宋体" w:hAnsi="宋体" w:eastAsia="宋体" w:cs="宋体"/>
                <w:szCs w:val="24"/>
                <w:lang w:val="zh-CN" w:eastAsia="zh-CN"/>
              </w:rPr>
              <w:t xml:space="preserve">人工录入</w:t>
            </w:r>
          </w:p>
        </w:tc>
      </w:tr>
    </w:tbl>
    <w:p>
      <w:pPr>
        <w:pageBreakBefore w:val="1"/>
        <w:jc w:val="center"/>
        <w:rPr>
          <w:rFonts w:hint="eastAsia"/>
          <w:lang w:eastAsia="zh-CN"/>
        </w:rPr>
        <w:spacing w:line="360" w:lineRule="exact"/>
        <w:outlineLvl w:val="0"/>
      </w:pPr>
      <w:bookmarkStart w:id="98" w:name="PENDING_HEADING"/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6 待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确</w:t>
      </w:r>
      <w:r>
        <w:rPr>
          <w:rFonts w:ascii="宋体" w:eastAsia="宋体" w:hAnsi="宋体" w:cs="宋体"/>
          <w:lang w:eastAsia="zh-CN" w:val="zh-CN"/>
          <w:sz w:val="32"/>
          <w:szCs w:val="32"/>
          <w:b w:val="1"/>
          <w:bCs w:val="1"/>
        </w:rPr>
        <w:t xml:space="preserve">认事项</w:t>
      </w:r>
      <w:bookmarkEnd w:id="98"/>
    </w:p>
    <w:p>
      <w:pPr>
        <w:spacing w:after="120" w:line="360" w:lineRule="exact"/>
        <w:ind w:firstLine="480"/>
        <w:rPr>
          <w:lang w:eastAsia="zh-CN"/>
        </w:rPr>
      </w:pPr>
      <w:bookmarkStart w:id="99" w:name="PENDING_TEXT1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运维责任人、最终IP地址、建设成本、运维成本和收益依据待确认</w:t>
      </w:r>
      <w:bookmarkEnd w:id="99"/>
    </w:p>
    <w:p>
      <w:pPr>
        <w:spacing w:after="120" w:line="360" w:lineRule="exact"/>
        <w:ind w:firstLine="480"/>
        <w:rPr>
          <w:lang w:eastAsia="zh-CN"/>
        </w:rPr>
      </w:pPr>
      <w:bookmarkStart w:id="100" w:name="PENDING_TEXT2"/>
      <w:r>
        <w:rPr>
          <w:lang w:eastAsia="zh-CN" w:val="zh-CN"/>
          <w:rFonts w:ascii="宋体" w:hAnsi="宋体" w:eastAsia="宋体" w:cs="宋体"/>
          <w:sz w:val="24"/>
          <w:szCs w:val="24"/>
        </w:rPr>
        <w:t xml:space="preserve">日志留存180天与不少于6个月的口径待统一</w:t>
      </w:r>
      <w:bookmarkEnd w:id="100"/>
    </w:p>
    <w:sectPr>
      <w:footerReference w:type="default" r:id="rId9"/>
      <w:headerReference w:type="default" r:id="rId27"/>
      <w:headerReference w:type="first" r:id="rId28"/>
      <w:footerReference w:type="first" r:id="rId29"/>
      <w:pgSz w:w="11906" w:h="16838"/>
      <w:pgMar w:top="1440" w:right="1440" w:bottom="1440" w:left="1440" w:header="850" w:footer="992" w:gutter="0"/>
      <w:cols w:space="720"/>
      <w:titlePg/>
      <w:docGrid w:linePitch="360" w:type="linesAndChar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A1443" w14:textId="77777777" w:rsidR="009A63BE" w:rsidRDefault="009A63BE">
      <w:pPr>
        <w:spacing w:after="0" w:line="240" w:lineRule="auto"/>
      </w:pPr>
      <w:r>
        <w:separator/>
      </w:r>
    </w:p>
  </w:endnote>
  <w:endnote w:type="continuationSeparator" w:id="0">
    <w:p w14:paraId="78234FF8" w14:textId="77777777" w:rsidR="009A63BE" w:rsidRDefault="009A6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7"/>
      <w:jc w:val="center"/>
      <w:spacing w:line="360" w:lineRule="exact"/>
    </w:pPr>
    <w:r>
      <w:rPr>
        <w:rFonts w:ascii="宋体" w:hAnsi="宋体" w:eastAsia="宋体" w:cs="宋体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5B02C" w14:textId="77777777" w:rsidR="009A63BE" w:rsidRDefault="009A63BE">
      <w:pPr>
        <w:spacing w:after="0" w:line="240" w:lineRule="auto"/>
      </w:pPr>
      <w:r>
        <w:separator/>
      </w:r>
    </w:p>
  </w:footnote>
  <w:footnote w:type="continuationSeparator" w:id="0">
    <w:p w14:paraId="18EA341C" w14:textId="77777777" w:rsidR="009A63BE" w:rsidRDefault="009A6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5"/>
      <w:jc w:val="center"/>
      <w:rPr>
        <w:lang w:eastAsia="zh-CN"/>
      </w:rPr>
    </w:pPr>
    <w:r>
      <w:rPr>
        <w:sz w:val="18"/>
        <w:lang w:eastAsia="zh-CN"/>
      </w:rPr>
      <w:t xml:space="preserve">{{title}}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double" w:sz="8" w:space="1" w:color="000000"/>
      </w:pBdr>
    </w:pPr>
    <w:r>
      <w:rPr>
        <w:rFonts w:ascii="宋体" w:hAnsi="宋体" w:eastAsia="宋体" w:cs="宋体"/>
        <w:sz w:val="21"/>
      </w:rPr>
      <w:t>园区安全接入与集中审计技术方案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91783">
    <w:abstractNumId w:val="8"/>
  </w:num>
  <w:num w:numId="2" w16cid:durableId="229463360">
    <w:abstractNumId w:val="6"/>
  </w:num>
  <w:num w:numId="3" w16cid:durableId="1770350009">
    <w:abstractNumId w:val="5"/>
  </w:num>
  <w:num w:numId="4" w16cid:durableId="697581641">
    <w:abstractNumId w:val="4"/>
  </w:num>
  <w:num w:numId="5" w16cid:durableId="1535189165">
    <w:abstractNumId w:val="7"/>
  </w:num>
  <w:num w:numId="6" w16cid:durableId="1286038017">
    <w:abstractNumId w:val="3"/>
  </w:num>
  <w:num w:numId="7" w16cid:durableId="1556819683">
    <w:abstractNumId w:val="2"/>
  </w:num>
  <w:num w:numId="8" w16cid:durableId="170336860">
    <w:abstractNumId w:val="1"/>
  </w:num>
  <w:num w:numId="9" w16cid:durableId="41733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EAFA31"/>
  <w14:defaultImageDpi w14:val="300"/>
  <w15:docId w15:val="{FF9A4DAE-EC39-4F66-A2D6-D42F114DC899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F4361"/>
  </w:style>
  <w:style w:type="paragraph" w:styleId="TOC2">
    <w:name w:val="toc 2"/>
    <w:basedOn w:val="a1"/>
    <w:next w:val="a1"/>
    <w:autoRedefine/>
    <w:uiPriority w:val="39"/>
    <w:unhideWhenUsed/>
    <w:rsid w:val="00DF4361"/>
    <w:pPr>
      <w:ind w:leftChars="200" w:left="420"/>
    </w:pPr>
  </w:style>
  <w:style w:type="character" w:styleId="aff9">
    <w:name w:val="Hyperlink"/>
    <w:basedOn w:val="a2"/>
    <w:uiPriority w:val="99"/>
    <w:unhideWhenUsed/>
    <w:rsid w:val="00DF4361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964A0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96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header" Target="header2.xml"/><Relationship Id="rId28" Type="http://schemas.openxmlformats.org/officeDocument/2006/relationships/header" Target="header3.xml"/><Relationship Id="rId2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