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800000" cy="740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-logo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 xml:space="preserve">园区安全接入与集中审计技术方案</w:t>
      </w:r>
      <w:r>
        <w:rPr>
          <w:b/>
          <w:lang w:eastAsia="zh-CN"/>
        </w:rPr>
      </w:r>
      <w:r>
        <w:rPr>
          <w:b/>
          <w:lang w:eastAsia="zh-CN"/>
        </w:rPr>
      </w:r>
    </w:p>
    <w:p>
      <w:pPr>
        <w:rPr>
          <w:rFonts w:hint="eastAsia"/>
          <w:lang w:eastAsia="zh-CN"/>
        </w:rPr>
      </w:pPr>
      <w:r>
        <w:rPr>
          <w:lang w:eastAsia="zh-CN"/>
        </w:rPr>
      </w:r>
      <w:r>
        <w:br w:type="page"/>
      </w:r>
    </w:p>
    <w:p>
      <w:pPr>
        <w:pStyle w:val="TOC"/>
        <w:jc w:val="center"/>
        <w:rPr>
          <w:rFonts w:hint="eastAsia"/>
        </w:rPr>
      </w:pPr>
      <w:r>
        <w:rPr>
          <w:rFonts w:ascii="微软雅黑" w:eastAsia="微软雅黑" w:hAnsi="微软雅黑" w:cs="微软雅黑"/>
          <w:lang w:val="zh-CN" w:eastAsia="zh-CN"/>
        </w:rPr>
        <w:t xml:space="preserve">目</w:t>
      </w:r>
      <w:r>
        <w:rPr>
          <w:rFonts w:ascii="微软雅黑" w:eastAsia="微软雅黑" w:hAnsi="微软雅黑" w:cs="微软雅黑" w:hint="eastAsia"/>
          <w:lang w:val="zh-CN" w:eastAsia="zh-CN"/>
        </w:rPr>
        <w:t xml:space="preserve">录</w:t>
      </w:r>
    </w:p>
    <w:p>
      <w:pPr>
        <w:pStyle w:val="TOC1"/>
        <w:tabs>
          <w:tab w:val="right" w:leader="dot" w:pos="883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"1-2" \h \z \u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>
      <w:r/>
      <w:r>
        <w:br w:type="page"/>
      </w:r>
    </w:p>
    <w:p>
      <w:pPr>
        <w:spacing w:before="0" w:after="0" w:line="2" w:lineRule="exact"/>
      </w:pPr>
      <w:r>
        <w:rPr>
          <w:sz w:val="2"/>
        </w:rPr>
        <w:br w:type="page"/>
      </w:r>
    </w:p>
    <w:p>
      <w:pPr>
        <w:jc w:val="center"/>
        <w:rPr>
          <w:rFonts w:hint="eastAsia"/>
          <w:lang w:eastAsia="zh-CN"/>
        </w:rPr>
        <w:spacing w:line="360" w:lineRule="exact"/>
        <w:outlineLvl w:val="0"/>
      </w:pPr>
      <w:bookmarkStart w:id="2" w:name="Cb6451cc6dd815a950de3dcc4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1 现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状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与建设必要性</w:t>
      </w:r>
      <w:bookmarkEnd w:id="2"/>
    </w:p>
    <w:p>
      <w:pPr>
        <w:rPr>
          <w:lang w:eastAsia="zh-CN"/>
        </w:rPr>
        <w:spacing w:line="360" w:lineRule="exact"/>
        <w:outlineLvl w:val="1"/>
        <w:jc w:val="left"/>
      </w:pPr>
      <w:bookmarkStart w:id="3" w:name="Cb6451cc6dd815a950de3dcc4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3"/>
    </w:p>
    <w:p>
      <w:pPr>
        <w:spacing w:after="120" w:line="360" w:lineRule="exact"/>
        <w:ind w:firstLine="480"/>
        <w:rPr>
          <w:lang w:eastAsia="zh-CN"/>
        </w:rPr>
      </w:pPr>
      <w:bookmarkStart w:id="4" w:name="Cb6451cc6dd815a950de3dcc4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"/>
    </w:p>
    <w:p>
      <w:pPr>
        <w:rPr>
          <w:lang w:eastAsia="zh-CN"/>
        </w:rPr>
        <w:spacing w:line="360" w:lineRule="exact"/>
        <w:outlineLvl w:val="1"/>
        <w:jc w:val="left"/>
      </w:pPr>
      <w:bookmarkStart w:id="5" w:name="Cb6451cc6dd815a950de3dcc4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5"/>
    </w:p>
    <w:p>
      <w:pPr>
        <w:spacing w:after="120" w:line="360" w:lineRule="exact"/>
        <w:ind w:firstLine="480"/>
        <w:rPr>
          <w:lang w:eastAsia="zh-CN"/>
        </w:rPr>
      </w:pPr>
      <w:bookmarkStart w:id="6" w:name="Cb6451cc6dd815a950de3dcc4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6"/>
    </w:p>
    <w:p>
      <w:pPr>
        <w:rPr>
          <w:lang w:eastAsia="zh-CN"/>
        </w:rPr>
        <w:spacing w:line="360" w:lineRule="exact"/>
        <w:outlineLvl w:val="1"/>
        <w:jc w:val="left"/>
      </w:pPr>
      <w:bookmarkStart w:id="7" w:name="Cb6451cc6dd815a950de3dcc4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7"/>
    </w:p>
    <w:p>
      <w:pPr>
        <w:spacing w:after="120" w:line="360" w:lineRule="exact"/>
        <w:ind w:firstLine="480"/>
        <w:rPr>
          <w:lang w:eastAsia="zh-CN"/>
        </w:rPr>
      </w:pPr>
      <w:bookmarkStart w:id="8" w:name="Cb6451cc6dd815a950de3dcc4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现状与建设必要性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8"/>
    </w:p>
    <w:p>
      <w:pPr>
        <w:rPr>
          <w:lang w:eastAsia="zh-CN"/>
        </w:rPr>
        <w:spacing w:line="360" w:lineRule="exact"/>
        <w:outlineLvl w:val="1"/>
        <w:jc w:val="left"/>
      </w:pPr>
      <w:bookmarkStart w:id="9" w:name="DIAGRAM_01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业务闭环流程</w:t>
      </w:r>
      <w:bookmarkEnd w:id="9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10" w:name="DIAGRAM_01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10"/>
      <w:r>
        <w:drawing>
          <wp:inline xmlns:a="http://schemas.openxmlformats.org/drawingml/2006/main" xmlns:pic="http://schemas.openxmlformats.org/drawingml/2006/picture">
            <wp:extent cx="5220000" cy="2936250"/>
            <wp:docPr id="2" name="Picture 2" descr="从资料接收到方案交付的端到端业务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1.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业务闭环流程</w:t>
      </w:r>
    </w:p>
    <w:p>
      <w:pPr>
        <w:spacing w:after="120" w:line="360" w:lineRule="exact"/>
        <w:ind w:firstLine="480"/>
        <w:rPr>
          <w:lang w:eastAsia="zh-CN"/>
        </w:rPr>
      </w:pPr>
      <w:bookmarkStart w:id="12" w:name="DIAGRAM_01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从资料接收到方案交付的端到端业务闭环。图中颜色用于区分参与角色、平台能力、数据资源与控制节点，箭头表示主要依赖或处理方向。</w:t>
      </w:r>
      <w:bookmarkEnd w:id="12"/>
    </w:p>
    <w:p>
      <w:pPr>
        <w:rPr>
          <w:lang w:eastAsia="zh-CN"/>
        </w:rPr>
        <w:spacing w:line="360" w:lineRule="exact"/>
        <w:outlineLvl w:val="1"/>
        <w:jc w:val="left"/>
      </w:pPr>
      <w:bookmarkStart w:id="13" w:name="DIAGRAM_06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网络拓扑</w:t>
      </w:r>
      <w:bookmarkEnd w:id="13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14" w:name="DIAGRAM_06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14"/>
      <w:r>
        <w:drawing>
          <wp:inline xmlns:a="http://schemas.openxmlformats.org/drawingml/2006/main" xmlns:pic="http://schemas.openxmlformats.org/drawingml/2006/picture">
            <wp:extent cx="5220000" cy="2936250"/>
            <wp:docPr id="3" name="Picture 3" descr="用户、边界防护、应用集群、数据服务和外部系统的连接拓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1.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网络拓扑</w:t>
      </w:r>
    </w:p>
    <w:p>
      <w:pPr>
        <w:spacing w:after="120" w:line="360" w:lineRule="exact"/>
        <w:ind w:firstLine="480"/>
        <w:rPr>
          <w:lang w:eastAsia="zh-CN"/>
        </w:rPr>
      </w:pPr>
      <w:bookmarkStart w:id="16" w:name="DIAGRAM_06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用户、边界防护、应用集群、数据服务和外部系统的连接拓扑。图中颜色用于区分参与角色、平台能力、数据资源与控制节点，箭头表示主要依赖或处理方向。</w:t>
      </w:r>
      <w:bookmarkEnd w:id="16"/>
    </w:p>
    <w:p>
      <w:pPr>
        <w:rPr>
          <w:lang w:eastAsia="zh-CN"/>
        </w:rPr>
        <w:spacing w:line="360" w:lineRule="exact"/>
        <w:outlineLvl w:val="1"/>
        <w:jc w:val="left"/>
      </w:pPr>
      <w:bookmarkStart w:id="17" w:name="DIAGRAM_11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日志审计</w:t>
      </w:r>
      <w:bookmarkEnd w:id="17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18" w:name="DIAGRAM_11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18"/>
      <w:r>
        <w:drawing>
          <wp:inline xmlns:a="http://schemas.openxmlformats.org/drawingml/2006/main" xmlns:pic="http://schemas.openxmlformats.org/drawingml/2006/picture">
            <wp:extent cx="5220000" cy="2936250"/>
            <wp:docPr id="4" name="Picture 4" descr="业务日志、操作日志、模型调用日志和安全事件的汇聚分析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1.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日志审计</w:t>
      </w:r>
    </w:p>
    <w:p>
      <w:pPr>
        <w:spacing w:after="120" w:line="360" w:lineRule="exact"/>
        <w:ind w:firstLine="480"/>
        <w:rPr>
          <w:lang w:eastAsia="zh-CN"/>
        </w:rPr>
      </w:pPr>
      <w:bookmarkStart w:id="20" w:name="DIAGRAM_11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业务日志、操作日志、模型调用日志和安全事件的汇聚分析流程。图中颜色用于区分参与角色、平台能力、数据资源与控制节点，箭头表示主要依赖或处理方向。</w:t>
      </w:r>
      <w:bookmarkEnd w:id="20"/>
    </w:p>
    <w:p>
      <w:pPr>
        <w:spacing w:before="0" w:after="0" w:line="2" w:lineRule="exact"/>
      </w:pPr>
      <w:r>
        <w:rPr>
          <w:sz w:val="2"/>
        </w:rPr>
        <w:br w:type="page"/>
      </w:r>
    </w:p>
    <w:p>
      <w:pPr>
        <w:jc w:val="center"/>
        <w:rPr>
          <w:rFonts w:hint="eastAsia"/>
          <w:lang w:eastAsia="zh-CN"/>
        </w:rPr>
        <w:spacing w:line="360" w:lineRule="exact"/>
        <w:outlineLvl w:val="0"/>
      </w:pPr>
      <w:bookmarkStart w:id="22" w:name="C8a1eb106427026fd9f7daef2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2 备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选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技术路线</w:t>
      </w:r>
      <w:bookmarkEnd w:id="22"/>
    </w:p>
    <w:p>
      <w:pPr>
        <w:rPr>
          <w:lang w:eastAsia="zh-CN"/>
        </w:rPr>
        <w:spacing w:line="360" w:lineRule="exact"/>
        <w:outlineLvl w:val="1"/>
        <w:jc w:val="left"/>
      </w:pPr>
      <w:bookmarkStart w:id="23" w:name="C8a1eb106427026fd9f7daef2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23"/>
    </w:p>
    <w:p>
      <w:pPr>
        <w:spacing w:after="120" w:line="360" w:lineRule="exact"/>
        <w:ind w:firstLine="480"/>
        <w:rPr>
          <w:lang w:eastAsia="zh-CN"/>
        </w:rPr>
      </w:pPr>
      <w:bookmarkStart w:id="24" w:name="C8a1eb106427026fd9f7daef2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24"/>
    </w:p>
    <w:p>
      <w:pPr>
        <w:rPr>
          <w:lang w:eastAsia="zh-CN"/>
        </w:rPr>
        <w:spacing w:line="360" w:lineRule="exact"/>
        <w:outlineLvl w:val="1"/>
        <w:jc w:val="left"/>
      </w:pPr>
      <w:bookmarkStart w:id="25" w:name="C8a1eb106427026fd9f7daef2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25"/>
    </w:p>
    <w:p>
      <w:pPr>
        <w:spacing w:after="120" w:line="360" w:lineRule="exact"/>
        <w:ind w:firstLine="480"/>
        <w:rPr>
          <w:lang w:eastAsia="zh-CN"/>
        </w:rPr>
      </w:pPr>
      <w:bookmarkStart w:id="26" w:name="C8a1eb106427026fd9f7daef2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26"/>
    </w:p>
    <w:p>
      <w:pPr>
        <w:rPr>
          <w:lang w:eastAsia="zh-CN"/>
        </w:rPr>
        <w:spacing w:line="360" w:lineRule="exact"/>
        <w:outlineLvl w:val="1"/>
        <w:jc w:val="left"/>
      </w:pPr>
      <w:bookmarkStart w:id="27" w:name="C8a1eb106427026fd9f7daef2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27"/>
    </w:p>
    <w:p>
      <w:pPr>
        <w:spacing w:after="120" w:line="360" w:lineRule="exact"/>
        <w:ind w:firstLine="480"/>
        <w:rPr>
          <w:lang w:eastAsia="zh-CN"/>
        </w:rPr>
      </w:pPr>
      <w:bookmarkStart w:id="28" w:name="C8a1eb106427026fd9f7daef2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备选技术路线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28"/>
    </w:p>
    <w:p>
      <w:pPr>
        <w:rPr>
          <w:lang w:eastAsia="zh-CN"/>
        </w:rPr>
        <w:spacing w:line="360" w:lineRule="exact"/>
        <w:outlineLvl w:val="1"/>
        <w:jc w:val="left"/>
      </w:pPr>
      <w:bookmarkStart w:id="29" w:name="DIAGRAM_02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总体架构</w:t>
      </w:r>
      <w:bookmarkEnd w:id="29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30" w:name="DIAGRAM_02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30"/>
      <w:r>
        <w:drawing>
          <wp:inline xmlns:a="http://schemas.openxmlformats.org/drawingml/2006/main" xmlns:pic="http://schemas.openxmlformats.org/drawingml/2006/picture">
            <wp:extent cx="5220000" cy="2936250"/>
            <wp:docPr id="5" name="Picture 5" descr="平台接入层、能力层、数据层与基础设施层的总体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2.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总体架构</w:t>
      </w:r>
    </w:p>
    <w:p>
      <w:pPr>
        <w:spacing w:after="120" w:line="360" w:lineRule="exact"/>
        <w:ind w:firstLine="480"/>
        <w:rPr>
          <w:lang w:eastAsia="zh-CN"/>
        </w:rPr>
      </w:pPr>
      <w:bookmarkStart w:id="32" w:name="DIAGRAM_02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平台接入层、能力层、数据层与基础设施层的总体关系。图中颜色用于区分参与角色、平台能力、数据资源与控制节点，箭头表示主要依赖或处理方向。</w:t>
      </w:r>
      <w:bookmarkEnd w:id="32"/>
    </w:p>
    <w:p>
      <w:pPr>
        <w:rPr>
          <w:lang w:eastAsia="zh-CN"/>
        </w:rPr>
        <w:spacing w:line="360" w:lineRule="exact"/>
        <w:outlineLvl w:val="1"/>
        <w:jc w:val="left"/>
      </w:pPr>
      <w:bookmarkStart w:id="33" w:name="DIAGRAM_07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数据流转</w:t>
      </w:r>
      <w:bookmarkEnd w:id="33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34" w:name="DIAGRAM_07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34"/>
      <w:r>
        <w:drawing>
          <wp:inline xmlns:a="http://schemas.openxmlformats.org/drawingml/2006/main" xmlns:pic="http://schemas.openxmlformats.org/drawingml/2006/picture">
            <wp:extent cx="5220000" cy="2936250"/>
            <wp:docPr id="6" name="Picture 6" descr="资料上传、解析、生成、审核、归档与下载的数据流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2.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数据流转</w:t>
      </w:r>
    </w:p>
    <w:p>
      <w:pPr>
        <w:spacing w:after="120" w:line="360" w:lineRule="exact"/>
        <w:ind w:firstLine="480"/>
        <w:rPr>
          <w:lang w:eastAsia="zh-CN"/>
        </w:rPr>
      </w:pPr>
      <w:bookmarkStart w:id="36" w:name="DIAGRAM_07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资料上传、解析、生成、审核、归档与下载的数据流向。图中颜色用于区分参与角色、平台能力、数据资源与控制节点，箭头表示主要依赖或处理方向。</w:t>
      </w:r>
      <w:bookmarkEnd w:id="36"/>
    </w:p>
    <w:p>
      <w:pPr>
        <w:rPr>
          <w:lang w:eastAsia="zh-CN"/>
        </w:rPr>
        <w:spacing w:line="360" w:lineRule="exact"/>
        <w:outlineLvl w:val="1"/>
        <w:jc w:val="left"/>
      </w:pPr>
      <w:bookmarkStart w:id="37" w:name="DIAGRAM_12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高可用架构</w:t>
      </w:r>
      <w:bookmarkEnd w:id="37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38" w:name="DIAGRAM_12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38"/>
      <w:r>
        <w:drawing>
          <wp:inline xmlns:a="http://schemas.openxmlformats.org/drawingml/2006/main" xmlns:pic="http://schemas.openxmlformats.org/drawingml/2006/picture">
            <wp:extent cx="5220000" cy="2936250"/>
            <wp:docPr id="7" name="Picture 7" descr="负载均衡、无状态应用、任务执行和数据服务的高可用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2.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高可用架构</w:t>
      </w:r>
    </w:p>
    <w:p>
      <w:pPr>
        <w:spacing w:after="120" w:line="360" w:lineRule="exact"/>
        <w:ind w:firstLine="480"/>
        <w:rPr>
          <w:lang w:eastAsia="zh-CN"/>
        </w:rPr>
      </w:pPr>
      <w:bookmarkStart w:id="40" w:name="DIAGRAM_12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负载均衡、无状态应用、任务执行和数据服务的高可用设计。图中颜色用于区分参与角色、平台能力、数据资源与控制节点，箭头表示主要依赖或处理方向。</w:t>
      </w:r>
      <w:bookmarkEnd w:id="40"/>
    </w:p>
    <w:p>
      <w:pPr>
        <w:spacing w:before="0" w:after="0" w:line="2" w:lineRule="exact"/>
      </w:pPr>
      <w:r>
        <w:rPr>
          <w:sz w:val="2"/>
        </w:rPr>
        <w:br w:type="page"/>
      </w:r>
    </w:p>
    <w:p>
      <w:pPr>
        <w:jc w:val="center"/>
        <w:rPr>
          <w:rFonts w:hint="eastAsia"/>
          <w:lang w:eastAsia="zh-CN"/>
        </w:rPr>
        <w:spacing w:line="360" w:lineRule="exact"/>
        <w:outlineLvl w:val="0"/>
      </w:pPr>
      <w:bookmarkStart w:id="42" w:name="C562a77a7ae22fe1bb05561df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3 实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施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条件与技术方案</w:t>
      </w:r>
      <w:bookmarkEnd w:id="42"/>
    </w:p>
    <w:p>
      <w:pPr>
        <w:rPr>
          <w:lang w:eastAsia="zh-CN"/>
        </w:rPr>
        <w:spacing w:line="360" w:lineRule="exact"/>
        <w:outlineLvl w:val="1"/>
        <w:jc w:val="left"/>
      </w:pPr>
      <w:bookmarkStart w:id="43" w:name="C562a77a7ae22fe1bb05561df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43"/>
    </w:p>
    <w:p>
      <w:pPr>
        <w:spacing w:after="120" w:line="360" w:lineRule="exact"/>
        <w:ind w:firstLine="480"/>
        <w:rPr>
          <w:lang w:eastAsia="zh-CN"/>
        </w:rPr>
      </w:pPr>
      <w:bookmarkStart w:id="44" w:name="C562a77a7ae22fe1bb05561df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4"/>
    </w:p>
    <w:p>
      <w:pPr>
        <w:rPr>
          <w:lang w:eastAsia="zh-CN"/>
        </w:rPr>
        <w:spacing w:line="360" w:lineRule="exact"/>
        <w:outlineLvl w:val="1"/>
        <w:jc w:val="left"/>
      </w:pPr>
      <w:bookmarkStart w:id="45" w:name="C562a77a7ae22fe1bb05561df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45"/>
    </w:p>
    <w:p>
      <w:pPr>
        <w:spacing w:after="120" w:line="360" w:lineRule="exact"/>
        <w:ind w:firstLine="480"/>
        <w:rPr>
          <w:lang w:eastAsia="zh-CN"/>
        </w:rPr>
      </w:pPr>
      <w:bookmarkStart w:id="46" w:name="C562a77a7ae22fe1bb05561df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46"/>
    </w:p>
    <w:p>
      <w:pPr>
        <w:rPr>
          <w:lang w:eastAsia="zh-CN"/>
        </w:rPr>
        <w:spacing w:line="360" w:lineRule="exact"/>
        <w:outlineLvl w:val="1"/>
        <w:jc w:val="left"/>
      </w:pPr>
      <w:bookmarkStart w:id="47" w:name="C562a77a7ae22fe1bb05561df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47"/>
    </w:p>
    <w:p>
      <w:pPr>
        <w:spacing w:after="120" w:line="360" w:lineRule="exact"/>
        <w:ind w:firstLine="480"/>
        <w:rPr>
          <w:lang w:eastAsia="zh-CN"/>
        </w:rPr>
      </w:pPr>
      <w:bookmarkStart w:id="48" w:name="C562a77a7ae22fe1bb05561df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实施条件与技术方案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48"/>
    </w:p>
    <w:p>
      <w:pPr>
        <w:rPr>
          <w:lang w:eastAsia="zh-CN"/>
        </w:rPr>
        <w:spacing w:line="360" w:lineRule="exact"/>
        <w:outlineLvl w:val="1"/>
        <w:jc w:val="left"/>
      </w:pPr>
      <w:bookmarkStart w:id="49" w:name="DIAGRAM_03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应用架构</w:t>
      </w:r>
      <w:bookmarkEnd w:id="49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50" w:name="DIAGRAM_03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50"/>
      <w:r>
        <w:drawing>
          <wp:inline xmlns:a="http://schemas.openxmlformats.org/drawingml/2006/main" xmlns:pic="http://schemas.openxmlformats.org/drawingml/2006/picture">
            <wp:extent cx="5220000" cy="2936250"/>
            <wp:docPr id="8" name="Picture 8" descr="用户门户、业务服务、智能体服务与运营管理能力的协作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3.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应用架构</w:t>
      </w:r>
    </w:p>
    <w:p>
      <w:pPr>
        <w:spacing w:after="120" w:line="360" w:lineRule="exact"/>
        <w:ind w:firstLine="480"/>
        <w:rPr>
          <w:lang w:eastAsia="zh-CN"/>
        </w:rPr>
      </w:pPr>
      <w:bookmarkStart w:id="52" w:name="DIAGRAM_03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用户门户、业务服务、智能体服务与运营管理能力的协作关系。图中颜色用于区分参与角色、平台能力、数据资源与控制节点，箭头表示主要依赖或处理方向。</w:t>
      </w:r>
      <w:bookmarkEnd w:id="52"/>
    </w:p>
    <w:p>
      <w:pPr>
        <w:rPr>
          <w:lang w:eastAsia="zh-CN"/>
        </w:rPr>
        <w:spacing w:line="360" w:lineRule="exact"/>
        <w:outlineLvl w:val="1"/>
        <w:jc w:val="left"/>
      </w:pPr>
      <w:bookmarkStart w:id="53" w:name="DIAGRAM_08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集成架构</w:t>
      </w:r>
      <w:bookmarkEnd w:id="53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54" w:name="DIAGRAM_08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54"/>
      <w:r>
        <w:drawing>
          <wp:inline xmlns:a="http://schemas.openxmlformats.org/drawingml/2006/main" xmlns:pic="http://schemas.openxmlformats.org/drawingml/2006/picture">
            <wp:extent cx="5220000" cy="2936250"/>
            <wp:docPr id="9" name="Picture 9" descr="平台与统一身份、知识库、模型网关和企业系统的集成方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3.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集成架构</w:t>
      </w:r>
    </w:p>
    <w:p>
      <w:pPr>
        <w:spacing w:after="120" w:line="360" w:lineRule="exact"/>
        <w:ind w:firstLine="480"/>
        <w:rPr>
          <w:lang w:eastAsia="zh-CN"/>
        </w:rPr>
      </w:pPr>
      <w:bookmarkStart w:id="56" w:name="DIAGRAM_08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平台与统一身份、知识库、模型网关和企业系统的集成方式。图中颜色用于区分参与角色、平台能力、数据资源与控制节点，箭头表示主要依赖或处理方向。</w:t>
      </w:r>
      <w:bookmarkEnd w:id="56"/>
    </w:p>
    <w:p>
      <w:pPr>
        <w:rPr>
          <w:lang w:eastAsia="zh-CN"/>
        </w:rPr>
        <w:spacing w:line="360" w:lineRule="exact"/>
        <w:outlineLvl w:val="1"/>
        <w:jc w:val="left"/>
      </w:pPr>
      <w:bookmarkStart w:id="57" w:name="DIAGRAM_13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备份与恢复</w:t>
      </w:r>
      <w:bookmarkEnd w:id="57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58" w:name="DIAGRAM_13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58"/>
      <w:r>
        <w:drawing>
          <wp:inline xmlns:a="http://schemas.openxmlformats.org/drawingml/2006/main" xmlns:pic="http://schemas.openxmlformats.org/drawingml/2006/picture">
            <wp:extent cx="5220000" cy="2936250"/>
            <wp:docPr id="10" name="Picture 10" descr="数据备份、校验、异地保留、恢复演练和复盘改进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3.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备份与恢复</w:t>
      </w:r>
    </w:p>
    <w:p>
      <w:pPr>
        <w:spacing w:after="120" w:line="360" w:lineRule="exact"/>
        <w:ind w:firstLine="480"/>
        <w:rPr>
          <w:lang w:eastAsia="zh-CN"/>
        </w:rPr>
      </w:pPr>
      <w:bookmarkStart w:id="60" w:name="DIAGRAM_13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数据备份、校验、异地保留、恢复演练和复盘改进流程。图中颜色用于区分参与角色、平台能力、数据资源与控制节点，箭头表示主要依赖或处理方向。</w:t>
      </w:r>
      <w:bookmarkEnd w:id="60"/>
    </w:p>
    <w:p>
      <w:pPr>
        <w:spacing w:before="0" w:after="0" w:line="2" w:lineRule="exact"/>
      </w:pPr>
      <w:r>
        <w:rPr>
          <w:sz w:val="2"/>
        </w:rPr>
        <w:br w:type="page"/>
      </w:r>
    </w:p>
    <w:p>
      <w:pPr>
        <w:jc w:val="center"/>
        <w:rPr>
          <w:rFonts w:hint="eastAsia"/>
          <w:lang w:eastAsia="zh-CN"/>
        </w:rPr>
        <w:spacing w:line="360" w:lineRule="exact"/>
        <w:outlineLvl w:val="0"/>
      </w:pPr>
      <w:bookmarkStart w:id="62" w:name="C37c48e35b50ae9c90981b34b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4 风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险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与控制</w:t>
      </w:r>
      <w:bookmarkEnd w:id="62"/>
    </w:p>
    <w:p>
      <w:pPr>
        <w:rPr>
          <w:lang w:eastAsia="zh-CN"/>
        </w:rPr>
        <w:spacing w:line="360" w:lineRule="exact"/>
        <w:outlineLvl w:val="1"/>
        <w:jc w:val="left"/>
      </w:pPr>
      <w:bookmarkStart w:id="63" w:name="C37c48e35b50ae9c90981b34b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63"/>
    </w:p>
    <w:p>
      <w:pPr>
        <w:spacing w:after="120" w:line="360" w:lineRule="exact"/>
        <w:ind w:firstLine="480"/>
        <w:rPr>
          <w:lang w:eastAsia="zh-CN"/>
        </w:rPr>
      </w:pPr>
      <w:bookmarkStart w:id="64" w:name="C37c48e35b50ae9c90981b34b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64"/>
    </w:p>
    <w:p>
      <w:pPr>
        <w:rPr>
          <w:lang w:eastAsia="zh-CN"/>
        </w:rPr>
        <w:spacing w:line="360" w:lineRule="exact"/>
        <w:outlineLvl w:val="1"/>
        <w:jc w:val="left"/>
      </w:pPr>
      <w:bookmarkStart w:id="65" w:name="C37c48e35b50ae9c90981b34b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65"/>
    </w:p>
    <w:p>
      <w:pPr>
        <w:spacing w:after="120" w:line="360" w:lineRule="exact"/>
        <w:ind w:firstLine="480"/>
        <w:rPr>
          <w:lang w:eastAsia="zh-CN"/>
        </w:rPr>
      </w:pPr>
      <w:bookmarkStart w:id="66" w:name="C37c48e35b50ae9c90981b34b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66"/>
    </w:p>
    <w:p>
      <w:pPr>
        <w:rPr>
          <w:lang w:eastAsia="zh-CN"/>
        </w:rPr>
        <w:spacing w:line="360" w:lineRule="exact"/>
        <w:outlineLvl w:val="1"/>
        <w:jc w:val="left"/>
      </w:pPr>
      <w:bookmarkStart w:id="67" w:name="C37c48e35b50ae9c90981b34b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67"/>
    </w:p>
    <w:p>
      <w:pPr>
        <w:spacing w:after="120" w:line="360" w:lineRule="exact"/>
        <w:ind w:firstLine="480"/>
        <w:rPr>
          <w:lang w:eastAsia="zh-CN"/>
        </w:rPr>
      </w:pPr>
      <w:bookmarkStart w:id="68" w:name="C37c48e35b50ae9c90981b34b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风险与控制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68"/>
    </w:p>
    <w:p>
      <w:pPr>
        <w:rPr>
          <w:lang w:eastAsia="zh-CN"/>
        </w:rPr>
        <w:spacing w:line="360" w:lineRule="exact"/>
        <w:outlineLvl w:val="1"/>
        <w:jc w:val="left"/>
      </w:pPr>
      <w:bookmarkStart w:id="69" w:name="DIAGRAM_04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技术架构</w:t>
      </w:r>
      <w:bookmarkEnd w:id="69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70" w:name="DIAGRAM_04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70"/>
      <w:r>
        <w:drawing>
          <wp:inline xmlns:a="http://schemas.openxmlformats.org/drawingml/2006/main" xmlns:pic="http://schemas.openxmlformats.org/drawingml/2006/picture">
            <wp:extent cx="5220000" cy="2936250"/>
            <wp:docPr id="11" name="Picture 11" descr="前端、服务端、任务编排、模型服务和数据存储的技术分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4.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技术架构</w:t>
      </w:r>
    </w:p>
    <w:p>
      <w:pPr>
        <w:spacing w:after="120" w:line="360" w:lineRule="exact"/>
        <w:ind w:firstLine="480"/>
        <w:rPr>
          <w:lang w:eastAsia="zh-CN"/>
        </w:rPr>
      </w:pPr>
      <w:bookmarkStart w:id="72" w:name="DIAGRAM_04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前端、服务端、任务编排、模型服务和数据存储的技术分层。图中颜色用于区分参与角色、平台能力、数据资源与控制节点，箭头表示主要依赖或处理方向。</w:t>
      </w:r>
      <w:bookmarkEnd w:id="72"/>
    </w:p>
    <w:p>
      <w:pPr>
        <w:rPr>
          <w:lang w:eastAsia="zh-CN"/>
        </w:rPr>
        <w:spacing w:line="360" w:lineRule="exact"/>
        <w:outlineLvl w:val="1"/>
        <w:jc w:val="left"/>
      </w:pPr>
      <w:bookmarkStart w:id="73" w:name="DIAGRAM_09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安全架构</w:t>
      </w:r>
      <w:bookmarkEnd w:id="73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74" w:name="DIAGRAM_09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74"/>
      <w:r>
        <w:drawing>
          <wp:inline xmlns:a="http://schemas.openxmlformats.org/drawingml/2006/main" xmlns:pic="http://schemas.openxmlformats.org/drawingml/2006/picture">
            <wp:extent cx="5220000" cy="2936250"/>
            <wp:docPr id="12" name="Picture 12" descr="身份、网络、应用、数据和审计五个安全域的防护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4.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安全架构</w:t>
      </w:r>
    </w:p>
    <w:p>
      <w:pPr>
        <w:spacing w:after="120" w:line="360" w:lineRule="exact"/>
        <w:ind w:firstLine="480"/>
        <w:rPr>
          <w:lang w:eastAsia="zh-CN"/>
        </w:rPr>
      </w:pPr>
      <w:bookmarkStart w:id="76" w:name="DIAGRAM_09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身份、网络、应用、数据和审计五个安全域的防护关系。图中颜色用于区分参与角色、平台能力、数据资源与控制节点，箭头表示主要依赖或处理方向。</w:t>
      </w:r>
      <w:bookmarkEnd w:id="76"/>
    </w:p>
    <w:p>
      <w:pPr>
        <w:rPr>
          <w:lang w:eastAsia="zh-CN"/>
        </w:rPr>
        <w:spacing w:line="360" w:lineRule="exact"/>
        <w:outlineLvl w:val="1"/>
        <w:jc w:val="left"/>
      </w:pPr>
      <w:bookmarkStart w:id="77" w:name="DIAGRAM_14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监控告警</w:t>
      </w:r>
      <w:bookmarkEnd w:id="77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78" w:name="DIAGRAM_14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78"/>
      <w:r>
        <w:drawing>
          <wp:inline xmlns:a="http://schemas.openxmlformats.org/drawingml/2006/main" xmlns:pic="http://schemas.openxmlformats.org/drawingml/2006/picture">
            <wp:extent cx="5220000" cy="2936250"/>
            <wp:docPr id="13" name="Picture 13" descr="指标采集、规则判断、分级通知、处置和闭环复盘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4.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监控告警</w:t>
      </w:r>
    </w:p>
    <w:p>
      <w:pPr>
        <w:spacing w:after="120" w:line="360" w:lineRule="exact"/>
        <w:ind w:firstLine="480"/>
        <w:rPr>
          <w:lang w:eastAsia="zh-CN"/>
        </w:rPr>
      </w:pPr>
      <w:bookmarkStart w:id="80" w:name="DIAGRAM_14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指标采集、规则判断、分级通知、处置和闭环复盘流程。图中颜色用于区分参与角色、平台能力、数据资源与控制节点，箭头表示主要依赖或处理方向。</w:t>
      </w:r>
      <w:bookmarkEnd w:id="80"/>
    </w:p>
    <w:p>
      <w:pPr>
        <w:spacing w:before="0" w:after="0" w:line="2" w:lineRule="exact"/>
      </w:pPr>
      <w:r>
        <w:rPr>
          <w:sz w:val="2"/>
        </w:rPr>
        <w:br w:type="page"/>
      </w:r>
    </w:p>
    <w:p>
      <w:pPr>
        <w:jc w:val="center"/>
        <w:rPr>
          <w:rFonts w:hint="eastAsia"/>
          <w:lang w:eastAsia="zh-CN"/>
        </w:rPr>
        <w:spacing w:line="360" w:lineRule="exact"/>
        <w:outlineLvl w:val="0"/>
      </w:pPr>
      <w:bookmarkStart w:id="82" w:name="C5e9ad751b5e6102bb17b687e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5 经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济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资料边界</w:t>
      </w:r>
      <w:bookmarkEnd w:id="82"/>
    </w:p>
    <w:p>
      <w:pPr>
        <w:rPr>
          <w:lang w:eastAsia="zh-CN"/>
        </w:rPr>
        <w:spacing w:line="360" w:lineRule="exact"/>
        <w:outlineLvl w:val="1"/>
        <w:jc w:val="left"/>
      </w:pPr>
      <w:bookmarkStart w:id="83" w:name="C5e9ad751b5e6102bb17b687e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83"/>
    </w:p>
    <w:p>
      <w:pPr>
        <w:spacing w:after="120" w:line="360" w:lineRule="exact"/>
        <w:ind w:firstLine="480"/>
        <w:rPr>
          <w:lang w:eastAsia="zh-CN"/>
        </w:rPr>
      </w:pPr>
      <w:bookmarkStart w:id="84" w:name="C5e9ad751b5e6102bb17b687e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84"/>
    </w:p>
    <w:p>
      <w:pPr>
        <w:rPr>
          <w:lang w:eastAsia="zh-CN"/>
        </w:rPr>
        <w:spacing w:line="360" w:lineRule="exact"/>
        <w:outlineLvl w:val="1"/>
        <w:jc w:val="left"/>
      </w:pPr>
      <w:bookmarkStart w:id="85" w:name="C5e9ad751b5e6102bb17b687e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85"/>
    </w:p>
    <w:p>
      <w:pPr>
        <w:spacing w:after="120" w:line="360" w:lineRule="exact"/>
        <w:ind w:firstLine="480"/>
        <w:rPr>
          <w:lang w:eastAsia="zh-CN"/>
        </w:rPr>
      </w:pPr>
      <w:bookmarkStart w:id="86" w:name="C5e9ad751b5e6102bb17b687e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86"/>
    </w:p>
    <w:p>
      <w:pPr>
        <w:rPr>
          <w:lang w:eastAsia="zh-CN"/>
        </w:rPr>
        <w:spacing w:line="360" w:lineRule="exact"/>
        <w:outlineLvl w:val="1"/>
        <w:jc w:val="left"/>
      </w:pPr>
      <w:bookmarkStart w:id="87" w:name="C5e9ad751b5e6102bb17b687e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87"/>
    </w:p>
    <w:p>
      <w:pPr>
        <w:spacing w:after="120" w:line="360" w:lineRule="exact"/>
        <w:ind w:firstLine="480"/>
        <w:rPr>
          <w:lang w:eastAsia="zh-CN"/>
        </w:rPr>
      </w:pPr>
      <w:bookmarkStart w:id="88" w:name="C5e9ad751b5e6102bb17b687e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经济资料边界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88"/>
    </w:p>
    <w:p>
      <w:pPr>
        <w:rPr>
          <w:lang w:eastAsia="zh-CN"/>
        </w:rPr>
        <w:spacing w:line="360" w:lineRule="exact"/>
        <w:outlineLvl w:val="1"/>
        <w:jc w:val="left"/>
      </w:pPr>
      <w:bookmarkStart w:id="89" w:name="DIAGRAM_05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部署架构</w:t>
      </w:r>
      <w:bookmarkEnd w:id="89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90" w:name="DIAGRAM_05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90"/>
      <w:r>
        <w:drawing>
          <wp:inline xmlns:a="http://schemas.openxmlformats.org/drawingml/2006/main" xmlns:pic="http://schemas.openxmlformats.org/drawingml/2006/picture">
            <wp:extent cx="5220000" cy="2936250"/>
            <wp:docPr id="14" name="Picture 14" descr="访问区、应用区、数据区和运维区的部署与访问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5.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部署架构</w:t>
      </w:r>
    </w:p>
    <w:p>
      <w:pPr>
        <w:spacing w:after="120" w:line="360" w:lineRule="exact"/>
        <w:ind w:firstLine="480"/>
        <w:rPr>
          <w:lang w:eastAsia="zh-CN"/>
        </w:rPr>
      </w:pPr>
      <w:bookmarkStart w:id="92" w:name="DIAGRAM_05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访问区、应用区、数据区和运维区的部署与访问边界。图中颜色用于区分参与角色、平台能力、数据资源与控制节点，箭头表示主要依赖或处理方向。</w:t>
      </w:r>
      <w:bookmarkEnd w:id="92"/>
    </w:p>
    <w:p>
      <w:pPr>
        <w:rPr>
          <w:lang w:eastAsia="zh-CN"/>
        </w:rPr>
        <w:spacing w:line="360" w:lineRule="exact"/>
        <w:outlineLvl w:val="1"/>
        <w:jc w:val="left"/>
      </w:pPr>
      <w:bookmarkStart w:id="93" w:name="DIAGRAM_10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身份与权限</w:t>
      </w:r>
      <w:bookmarkEnd w:id="93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94" w:name="DIAGRAM_10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94"/>
      <w:r>
        <w:drawing>
          <wp:inline xmlns:a="http://schemas.openxmlformats.org/drawingml/2006/main" xmlns:pic="http://schemas.openxmlformats.org/drawingml/2006/picture">
            <wp:extent cx="5220000" cy="2936250"/>
            <wp:docPr id="15" name="Picture 15" descr="登录、首次改密、角色授权、访问校验和审计留痕的控制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5.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身份与权限</w:t>
      </w:r>
    </w:p>
    <w:p>
      <w:pPr>
        <w:spacing w:after="120" w:line="360" w:lineRule="exact"/>
        <w:ind w:firstLine="480"/>
        <w:rPr>
          <w:lang w:eastAsia="zh-CN"/>
        </w:rPr>
      </w:pPr>
      <w:bookmarkStart w:id="96" w:name="DIAGRAM_10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登录、首次改密、角色授权、访问校验和审计留痕的控制链。图中颜色用于区分参与角色、平台能力、数据资源与控制节点，箭头表示主要依赖或处理方向。</w:t>
      </w:r>
      <w:bookmarkEnd w:id="96"/>
    </w:p>
    <w:p>
      <w:pPr>
        <w:rPr>
          <w:lang w:eastAsia="zh-CN"/>
        </w:rPr>
        <w:spacing w:line="360" w:lineRule="exact"/>
        <w:outlineLvl w:val="1"/>
        <w:jc w:val="left"/>
      </w:pPr>
      <w:bookmarkStart w:id="97" w:name="DIAGRAM_15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发布与变更</w:t>
      </w:r>
      <w:bookmarkEnd w:id="97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98" w:name="DIAGRAM_15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98"/>
      <w:r>
        <w:drawing>
          <wp:inline xmlns:a="http://schemas.openxmlformats.org/drawingml/2006/main" xmlns:pic="http://schemas.openxmlformats.org/drawingml/2006/picture">
            <wp:extent cx="5220000" cy="2936250"/>
            <wp:docPr id="16" name="Picture 16" descr="开发验证、审批、灰度发布、观察和回滚的受控变更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5.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发布与变更</w:t>
      </w:r>
    </w:p>
    <w:p>
      <w:pPr>
        <w:spacing w:after="120" w:line="360" w:lineRule="exact"/>
        <w:ind w:firstLine="480"/>
        <w:rPr>
          <w:lang w:eastAsia="zh-CN"/>
        </w:rPr>
      </w:pPr>
      <w:bookmarkStart w:id="100" w:name="DIAGRAM_15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开发验证、审批、灰度发布、观察和回滚的受控变更流程。图中颜色用于区分参与角色、平台能力、数据资源与控制节点，箭头表示主要依赖或处理方向。</w:t>
      </w:r>
      <w:bookmarkEnd w:id="100"/>
    </w:p>
    <w:p>
      <w:pPr>
        <w:jc w:val="center"/>
        <w:rPr>
          <w:lang w:eastAsia="zh-CN"/>
        </w:rPr>
        <w:spacing w:line="360" w:lineRule="exact"/>
        <w:keepNext w:val="1"/>
        <w:keepLines w:val="1"/>
      </w:pPr>
      <w:bookmarkStart w:id="101" w:name="INPUT_TABLE"/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表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5.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输入设备清单</w:t>
      </w:r>
      <w:bookmarkEnd w:id="10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30"/>
        <w:gridCol w:w="3202"/>
        <w:gridCol w:w="1369"/>
        <w:gridCol w:w="1500"/>
        <w:gridCol w:w="1141"/>
      </w:tblGrid>
      <w:tr>
        <w:trPr>
          <w:jc w:val="center"/>
          <w:tblHeader/>
        </w:trPr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原行号</w:t>
            </w:r>
          </w:p>
        </w:tc>
        <w:tc>
          <w:tcPr>
            <w:tcW w:w="345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设备名称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</w: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</w: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数量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单位</w:t>
            </w:r>
          </w:p>
        </w:tc>
        <w:tc>
          <w:tcPr>
            <w:tcW w:w="115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来源</w:t>
            </w:r>
          </w:p>
        </w:tc>
      </w:tr>
      <w:tr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exact"/>
            </w:pP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  <w:t xml:space="preserve">r-001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安全接入网关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2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台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exact"/>
            </w:pP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  <w:t xml:space="preserve">人工录入</w:t>
            </w:r>
          </w:p>
        </w:tc>
      </w:tr>
      <w:tr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</w: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</w: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r-002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集中审计节点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exact"/>
            </w:pP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  <w:t xml:space="preserve">1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套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exact"/>
            </w:pP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  <w:t xml:space="preserve">人工录入</w:t>
            </w:r>
          </w:p>
        </w:tc>
      </w:tr>
    </w:tbl>
    <w:p>
      <w:pPr>
        <w:spacing w:before="0" w:after="0" w:line="2" w:lineRule="exact"/>
      </w:pPr>
      <w:r>
        <w:rPr>
          <w:sz w:val="2"/>
        </w:rPr>
        <w:br w:type="page"/>
      </w:r>
    </w:p>
    <w:p>
      <w:pPr>
        <w:jc w:val="center"/>
        <w:rPr>
          <w:rFonts w:hint="eastAsia"/>
          <w:lang w:eastAsia="zh-CN"/>
        </w:rPr>
        <w:spacing w:line="360" w:lineRule="exact"/>
        <w:outlineLvl w:val="0"/>
      </w:pPr>
      <w:bookmarkStart w:id="104" w:name="PENDING_HEADING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6 待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确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认事项</w:t>
      </w:r>
      <w:bookmarkEnd w:id="104"/>
    </w:p>
    <w:p>
      <w:pPr>
        <w:spacing w:after="120" w:line="360" w:lineRule="exact"/>
        <w:ind w:firstLine="480"/>
        <w:rPr>
          <w:lang w:eastAsia="zh-CN"/>
        </w:rPr>
      </w:pPr>
      <w:bookmarkStart w:id="105" w:name="PENDING_TEXT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运维责任人、最终IP地址、建设成本、运维成本和收益依据待确认</w:t>
      </w:r>
      <w:bookmarkEnd w:id="105"/>
    </w:p>
    <w:p>
      <w:pPr>
        <w:spacing w:after="120" w:line="360" w:lineRule="exact"/>
        <w:ind w:firstLine="480"/>
        <w:rPr>
          <w:lang w:eastAsia="zh-CN"/>
        </w:rPr>
      </w:pPr>
      <w:bookmarkStart w:id="106" w:name="PENDING_TEXT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日志留存180天与不少于6个月的口径待统一</w:t>
      </w:r>
      <w:bookmarkEnd w:id="106"/>
    </w:p>
    <w:sectPr>
      <w:footerReference w:type="default" r:id="rId9"/>
      <w:headerReference w:type="default" r:id="rId27"/>
      <w:headerReference w:type="first" r:id="rId28"/>
      <w:footerReference w:type="first" r:id="rId29"/>
      <w:pgSz w:w="11906" w:h="16838"/>
      <w:pgMar w:top="1440" w:right="1440" w:bottom="1440" w:left="1440" w:header="850" w:footer="992" w:gutter="0"/>
      <w:cols w:space="720"/>
      <w:titlePg/>
      <w:docGrid w:linePitch="360" w:type="linesAndChar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A1443" w14:textId="77777777" w:rsidR="009A63BE" w:rsidRDefault="009A63BE">
      <w:pPr>
        <w:spacing w:after="0" w:line="240" w:lineRule="auto"/>
      </w:pPr>
      <w:r>
        <w:separator/>
      </w:r>
    </w:p>
  </w:endnote>
  <w:endnote w:type="continuationSeparator" w:id="0">
    <w:p w14:paraId="78234FF8" w14:textId="77777777" w:rsidR="009A63BE" w:rsidRDefault="009A6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7"/>
      <w:jc w:val="center"/>
      <w:spacing w:line="360" w:lineRule="exact"/>
    </w:pPr>
    <w:r>
      <w:rPr>
        <w:rFonts w:ascii="宋体" w:hAnsi="宋体" w:eastAsia="宋体" w:cs="宋体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B02C" w14:textId="77777777" w:rsidR="009A63BE" w:rsidRDefault="009A63BE">
      <w:pPr>
        <w:spacing w:after="0" w:line="240" w:lineRule="auto"/>
      </w:pPr>
      <w:r>
        <w:separator/>
      </w:r>
    </w:p>
  </w:footnote>
  <w:footnote w:type="continuationSeparator" w:id="0">
    <w:p w14:paraId="18EA341C" w14:textId="77777777" w:rsidR="009A63BE" w:rsidRDefault="009A6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  <w:jc w:val="center"/>
      <w:rPr>
        <w:lang w:eastAsia="zh-CN"/>
      </w:rPr>
    </w:pPr>
    <w:r>
      <w:rPr>
        <w:sz w:val="18"/>
        <w:lang w:eastAsia="zh-CN"/>
      </w:rPr>
      <w:t xml:space="preserve">{{title}}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double" w:sz="8" w:space="1" w:color="000000"/>
      </w:pBdr>
    </w:pPr>
    <w:r>
      <w:rPr>
        <w:rFonts w:ascii="宋体" w:hAnsi="宋体" w:eastAsia="宋体" w:cs="宋体"/>
        <w:sz w:val="21"/>
      </w:rPr>
      <w:t>园区安全接入与集中审计技术方案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EAFA31"/>
  <w14:defaultImageDpi w14:val="300"/>
  <w15:docId w15:val="{FF9A4DAE-EC39-4F66-A2D6-D42F114DC89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header" Target="header2.xml"/><Relationship Id="rId28" Type="http://schemas.openxmlformats.org/officeDocument/2006/relationships/header" Target="header3.xml"/><Relationship Id="rId2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