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园区安全接入与集中审计技术方案（代表性草稿）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待核草稿 · 未获正式发布批准</w:t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2026-09-23</w:t>
      </w:r>
      <w:r>
        <w:rPr>
          <w:lang w:eastAsia="zh-CN"/>
        </w:rPr>
        <w:t xml:space="preserve"/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auto"/>
        <w:ind w:firstLine="480"/>
        <w:rPr>
          <w:lang w:eastAsia="zh-CN"/>
        </w:rPr>
      </w:pPr>
      <w:bookmarkStart w:id="1" w:name="DRAFT_NOTICE"/>
      <w:r>
        <w:rPr>
          <w:lang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2" w:name="C5b42e0e4af00bd412800e0fc"/>
      <w:r>
        <w:rPr>
          <w:rFonts w:ascii="Times New Roman" w:eastAsia="黑体" w:hAnsi="Times New Roman"/>
          <w:lang w:eastAsia="zh-CN"/>
        </w:rPr>
        <w:t xml:space="preserve"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项目理解与边界</w:t>
      </w:r>
      <w:bookmarkEnd w:id="2"/>
    </w:p>
    <w:p>
      <w:pPr>
        <w:spacing w:after="120" w:line="360" w:lineRule="auto"/>
        <w:ind w:firstLine="480"/>
        <w:rPr>
          <w:lang w:eastAsia="zh-CN"/>
        </w:rPr>
      </w:pPr>
      <w:bookmarkStart w:id="3" w:name="C5b42e0e4af00bd412800e0fcP1"/>
      <w:r>
        <w:rPr>
          <w:lang w:eastAsia="zh-CN"/>
        </w:rPr>
        <w:t xml:space="preserve">本项目的已知设备范围为安全接入网关2台、集中审计节点1套。资料同时表明现网边界采用双链路。</w:t>
      </w:r>
      <w:bookmarkEnd w:id="3"/>
    </w:p>
    <w:p>
      <w:pPr>
        <w:spacing w:after="120" w:line="360" w:lineRule="auto"/>
        <w:ind w:firstLine="480"/>
        <w:rPr>
          <w:lang w:eastAsia="zh-CN"/>
        </w:rPr>
      </w:pPr>
      <w:bookmarkStart w:id="4" w:name="C5b42e0e4af00bd412800e0fcP2"/>
      <w:r>
        <w:rPr>
          <w:lang w:eastAsia="zh-CN"/>
        </w:rPr>
        <w:t xml:space="preserve">日志留存口径存在180天与不少于6个月两种记载；运维责任人和最终IP地址尚未提供，均作为待确认事项保留。</w:t>
      </w:r>
      <w:bookmarkEnd w:id="4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5" w:name="C9412a695f0974d91c0a5b006"/>
      <w:r>
        <w:rPr>
          <w:rFonts w:ascii="Times New Roman" w:eastAsia="黑体" w:hAnsi="Times New Roman"/>
          <w:lang w:eastAsia="zh-CN"/>
        </w:rPr>
        <w:t xml:space="preserve"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总体技术方案</w:t>
      </w:r>
      <w:bookmarkEnd w:id="5"/>
    </w:p>
    <w:p>
      <w:pPr>
        <w:spacing w:after="120" w:line="360" w:lineRule="auto"/>
        <w:ind w:firstLine="480"/>
        <w:rPr>
          <w:lang w:eastAsia="zh-CN"/>
        </w:rPr>
      </w:pPr>
      <w:bookmarkStart w:id="6" w:name="C9412a695f0974d91c0a5b006P1"/>
      <w:r>
        <w:rPr>
          <w:lang w:eastAsia="zh-CN"/>
        </w:rPr>
        <w:t xml:space="preserve">事实边界是双链路现网、2台安全接入网关和1套集中审计节点。</w:t>
      </w:r>
      <w:bookmarkEnd w:id="6"/>
    </w:p>
    <w:p>
      <w:pPr>
        <w:spacing w:after="120" w:line="360" w:lineRule="auto"/>
        <w:ind w:firstLine="480"/>
        <w:rPr>
          <w:lang w:eastAsia="zh-CN"/>
        </w:rPr>
      </w:pPr>
      <w:bookmarkStart w:id="7" w:name="C9412a695f0974d91c0a5b006P2"/>
      <w:r>
        <w:rPr>
          <w:lang w:eastAsia="zh-CN"/>
        </w:rPr>
        <w:t xml:space="preserve">方案建议采用并行建设和分步切换，以响应不停机约束；该表述是工程推断，须由项目审核人确认后实施。</w:t>
      </w:r>
      <w:bookmarkEnd w:id="7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8" w:name="C4548966c18bbec441b3a8253"/>
      <w:r>
        <w:rPr>
          <w:rFonts w:ascii="Times New Roman" w:eastAsia="黑体" w:hAnsi="Times New Roman"/>
          <w:lang w:eastAsia="zh-CN"/>
        </w:rPr>
        <w:t xml:space="preserve"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实施与切换计划</w:t>
      </w:r>
      <w:bookmarkEnd w:id="8"/>
    </w:p>
    <w:p>
      <w:pPr>
        <w:spacing w:after="120" w:line="360" w:lineRule="auto"/>
        <w:ind w:firstLine="480"/>
        <w:rPr>
          <w:lang w:eastAsia="zh-CN"/>
        </w:rPr>
      </w:pPr>
      <w:bookmarkStart w:id="9" w:name="C4548966c18bbec441b3a8253P1"/>
      <w:r>
        <w:rPr>
          <w:lang w:eastAsia="zh-CN"/>
        </w:rPr>
        <w:t xml:space="preserve">代表性资料给出的计划实施窗口为2026-10-15至2026-10-18。实施前先确认运维责任人、最终IP地址和日志留存口径。</w:t>
      </w:r>
      <w:bookmarkEnd w:id="9"/>
    </w:p>
    <w:p>
      <w:pPr>
        <w:spacing w:after="120" w:line="360" w:lineRule="auto"/>
        <w:ind w:firstLine="480"/>
        <w:rPr>
          <w:lang w:eastAsia="zh-CN"/>
        </w:rPr>
      </w:pPr>
      <w:bookmarkStart w:id="10" w:name="C4548966c18bbec441b3a8253P2"/>
      <w:r>
        <w:rPr>
          <w:lang w:eastAsia="zh-CN"/>
        </w:rPr>
        <w:t xml:space="preserve">切换按准备、并行验证、分步迁移和回退确认执行；未确认事项不得在现场自行补造。</w:t>
      </w:r>
      <w:bookmarkEnd w:id="10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1" w:name="C20c5c98f220ab753d9aea10a"/>
      <w:r>
        <w:rPr>
          <w:rFonts w:ascii="Times New Roman" w:eastAsia="黑体" w:hAnsi="Times New Roman"/>
          <w:lang w:eastAsia="zh-CN"/>
        </w:rPr>
        <w:t xml:space="preserve">第四章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验收与风险控制</w:t>
      </w:r>
      <w:bookmarkEnd w:id="11"/>
    </w:p>
    <w:p>
      <w:pPr>
        <w:spacing w:after="120" w:line="360" w:lineRule="auto"/>
        <w:ind w:firstLine="480"/>
        <w:rPr>
          <w:lang w:eastAsia="zh-CN"/>
        </w:rPr>
      </w:pPr>
      <w:bookmarkStart w:id="12" w:name="C20c5c98f220ab753d9aea10aP1"/>
      <w:r>
        <w:rPr>
          <w:lang w:eastAsia="zh-CN"/>
        </w:rPr>
        <w:t xml:space="preserve">数量核对范围为安全接入网关2台、集中审计节点1套；验收记录必须关联当前输入版本与来源哈希。</w:t>
      </w:r>
      <w:bookmarkEnd w:id="12"/>
    </w:p>
    <w:p>
      <w:pPr>
        <w:spacing w:after="120" w:line="360" w:lineRule="auto"/>
        <w:ind w:firstLine="480"/>
        <w:rPr>
          <w:lang w:eastAsia="zh-CN"/>
        </w:rPr>
      </w:pPr>
      <w:bookmarkStart w:id="13" w:name="C20c5c98f220ab753d9aea10aP2"/>
      <w:r>
        <w:rPr>
          <w:lang w:eastAsia="zh-CN"/>
        </w:rPr>
        <w:t xml:space="preserve">内容检查必须分别核对事实、推断、冲突和缺项。冲突和缺项关闭前，本文件保持待核草稿状态。</w:t>
      </w:r>
      <w:bookmarkEnd w:id="13"/>
    </w:p>
    <w:p>
      <w:pPr>
        <w:jc w:val="center"/>
        <w:rPr>
          <w:lang w:eastAsia="zh-CN"/>
        </w:rPr>
      </w:pPr>
      <w:bookmarkStart w:id="14" w:name="INPUT_TABLE"/>
      <w:r>
        <w:rPr>
          <w:rFonts w:eastAsia="黑体"/>
          <w:b/>
          <w:sz w:val="21"/>
          <w:lang w:eastAsia="zh-CN"/>
        </w:rPr>
        <w:t xml:space="preserve">表</w:t>
      </w:r>
      <w:r>
        <w:rPr>
          <w:rFonts w:eastAsia="黑体"/>
          <w:b/>
          <w:sz w:val="21"/>
          <w:lang w:eastAsia="zh-CN"/>
        </w:rPr>
        <w:t xml:space="preserve">1 输</w:t>
      </w:r>
      <w:r>
        <w:rPr>
          <w:rFonts w:eastAsia="黑体"/>
          <w:b/>
          <w:sz w:val="21"/>
          <w:lang w:eastAsia="zh-CN"/>
        </w:rPr>
        <w:t xml:space="preserve">入设备清单（待核）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</w:tbl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6" w:name="PENDING_HEADING"/>
      <w:r>
        <w:rPr>
          <w:rFonts w:ascii="Times New Roman" w:eastAsia="黑体" w:hAnsi="Times New Roman"/>
          <w:lang w:eastAsia="zh-CN"/>
        </w:rPr>
        <w:t xml:space="preserve">第五章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待确认事项</w:t>
      </w:r>
      <w:bookmarkEnd w:id="16"/>
    </w:p>
    <w:p>
      <w:pPr>
        <w:spacing w:after="120" w:line="360" w:lineRule="auto"/>
        <w:ind w:firstLine="480"/>
        <w:rPr>
          <w:lang w:eastAsia="zh-CN"/>
        </w:rPr>
      </w:pPr>
      <w:bookmarkStart w:id="17" w:name="PENDING_TEXT1"/>
      <w:r>
        <w:rPr>
          <w:lang w:eastAsia="zh-CN"/>
        </w:rPr>
        <w:t xml:space="preserve">正式模板与样例、内容及格式批准尚未完成；本件始终为待核草稿。</w:t>
      </w:r>
      <w:bookmarkEnd w:id="17"/>
    </w:p>
    <w:p>
      <w:pPr>
        <w:spacing w:after="120" w:line="360" w:lineRule="auto"/>
        <w:ind w:firstLine="480"/>
        <w:rPr>
          <w:lang w:eastAsia="zh-CN"/>
        </w:rPr>
      </w:pPr>
      <w:bookmarkStart w:id="18" w:name="PENDING_TEXT2"/>
      <w:r>
        <w:rPr>
          <w:lang w:eastAsia="zh-CN"/>
        </w:rPr>
        <w:t xml:space="preserve">运维责任人和最终IP地址待业务确认</w:t>
      </w:r>
      <w:bookmarkEnd w:id="18"/>
    </w:p>
    <w:p>
      <w:pPr>
        <w:spacing w:after="120" w:line="360" w:lineRule="auto"/>
        <w:ind w:firstLine="480"/>
        <w:rPr>
          <w:lang w:eastAsia="zh-CN"/>
        </w:rPr>
      </w:pPr>
      <w:bookmarkStart w:id="19" w:name="PENDING_TEXT3"/>
      <w:r>
        <w:rPr>
          <w:lang w:eastAsia="zh-CN"/>
        </w:rPr>
        <w:t xml:space="preserve">日志留存180天与不少于6个月的口径待统一</w:t>
      </w:r>
      <w:bookmarkEnd w:id="19"/>
    </w:p>
    <w:sectPr>
      <w:headerReference w:type="default" r:id="rId8"/>
      <w:footerReference w:type="default" r:id="rId9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</w:pPr>
    <w:r>
      <w:rPr>
        <w:sz w:val="18"/>
      </w:rPr>
      <w:t xml:space="preserve"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/>
    <w:r>
      <w:fldChar w:fldCharType="end"/>
    </w:r>
    <w:r>
      <w:rPr>
        <w:sz w:val="18"/>
      </w:rPr>
      <w:t xml:space="preserve"> </w:t>
    </w:r>
    <w:r>
      <w:rPr>
        <w:sz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园区安全接入与集中审计技术方案（代表性草稿）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