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 xml:space="preserve">园区安全接入与集中审计三件套（代表性草稿）（技术方案）</w:t>
      </w:r>
      <w:r>
        <w:rPr>
          <w:b/>
          <w:lang w:eastAsia="zh-CN"/>
        </w:rPr>
      </w:r>
      <w:r>
        <w:rPr>
          <w:b/>
          <w:lang w:eastAsia="zh-CN"/>
        </w:rPr>
      </w:r>
    </w:p>
    <w:p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 xml:space="preserve">待核草稿 · 未获正式发布批准</w:t>
      </w:r>
    </w:p>
    <w:p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 xml:space="preserve">2026-09-24</w:t>
      </w:r>
      <w:r>
        <w:rPr>
          <w:lang w:eastAsia="zh-CN"/>
        </w:rPr>
        <w:t xml:space="preserve"/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>
      <w:pPr>
        <w:rPr>
          <w:rFonts w:hint="eastAsia"/>
          <w:lang w:eastAsia="zh-CN"/>
        </w:rPr>
      </w:pPr>
      <w:r>
        <w:rPr>
          <w:lang w:eastAsia="zh-CN"/>
        </w:rPr>
      </w:r>
      <w:r>
        <w:br w:type="page"/>
      </w:r>
    </w:p>
    <w:p>
      <w:pPr>
        <w:pStyle w:val="TOC"/>
        <w:jc w:val="center"/>
        <w:rPr>
          <w:rFonts w:hint="eastAsia"/>
        </w:rPr>
      </w:pPr>
      <w:r>
        <w:rPr>
          <w:rFonts w:ascii="微软雅黑" w:eastAsia="微软雅黑" w:hAnsi="微软雅黑" w:cs="微软雅黑"/>
          <w:lang w:val="zh-CN" w:eastAsia="zh-CN"/>
        </w:rPr>
        <w:t xml:space="preserve">目</w:t>
      </w:r>
      <w:r>
        <w:rPr>
          <w:rFonts w:ascii="微软雅黑" w:eastAsia="微软雅黑" w:hAnsi="微软雅黑" w:cs="微软雅黑" w:hint="eastAsia"/>
          <w:lang w:val="zh-CN" w:eastAsia="zh-CN"/>
        </w:rPr>
        <w:t xml:space="preserve">录</w:t>
      </w:r>
    </w:p>
    <w:p>
      <w:pPr>
        <w:pStyle w:val="TOC1"/>
        <w:tabs>
          <w:tab w:val="right" w:leader="dot" w:pos="883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\h \z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>
      <w:r/>
      <w:r>
        <w:br w:type="page"/>
      </w:r>
    </w:p>
    <w:p>
      <w:pPr>
        <w:spacing w:after="120" w:line="360" w:lineRule="auto"/>
        <w:ind w:firstLine="480"/>
        <w:rPr>
          <w:lang w:eastAsia="zh-CN"/>
        </w:rPr>
      </w:pPr>
      <w:bookmarkStart w:id="1" w:name="DRAFT_NOTICE"/>
      <w:r>
        <w:rPr>
          <w:lang w:eastAsia="zh-CN"/>
        </w:rPr>
        <w:t xml:space="preserve">待核草稿：未经正式内容、格式及产品负责人批准，不得作为正式方案使用。</w:t>
      </w:r>
      <w:bookmarkEnd w:id="1"/>
    </w:p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2" w:name="Cb6451cc6dd815a950de3dcc4"/>
      <w:r>
        <w:rPr>
          <w:rFonts w:ascii="Times New Roman" w:eastAsia="黑体" w:hAnsi="Times New Roman"/>
          <w:lang w:eastAsia="zh-CN"/>
        </w:rPr>
        <w:t xml:space="preserve">第一章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现状与建设必要性</w:t>
      </w:r>
      <w:bookmarkEnd w:id="2"/>
    </w:p>
    <w:p>
      <w:pPr>
        <w:spacing w:after="120" w:line="360" w:lineRule="auto"/>
        <w:ind w:firstLine="480"/>
        <w:rPr>
          <w:lang w:eastAsia="zh-CN"/>
        </w:rPr>
      </w:pPr>
      <w:bookmarkStart w:id="3" w:name="Cb6451cc6dd815a950de3dcc4P1"/>
      <w:r>
        <w:rPr>
          <w:lang w:eastAsia="zh-CN"/>
        </w:rPr>
        <w:t xml:space="preserve">现网双链路需要统一远程接入控制与集中审计，设备事实范围为2台网关和1套审计节点。</w:t>
      </w:r>
      <w:bookmarkEnd w:id="3"/>
    </w:p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4" w:name="C8a1eb106427026fd9f7daef2"/>
      <w:r>
        <w:rPr>
          <w:rFonts w:ascii="Times New Roman" w:eastAsia="黑体" w:hAnsi="Times New Roman"/>
          <w:lang w:eastAsia="zh-CN"/>
        </w:rPr>
        <w:t xml:space="preserve">第二章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备选技术路线</w:t>
      </w:r>
      <w:bookmarkEnd w:id="4"/>
    </w:p>
    <w:p>
      <w:pPr>
        <w:spacing w:after="120" w:line="360" w:lineRule="auto"/>
        <w:ind w:firstLine="480"/>
        <w:rPr>
          <w:lang w:eastAsia="zh-CN"/>
        </w:rPr>
      </w:pPr>
      <w:bookmarkStart w:id="5" w:name="C8a1eb106427026fd9f7daef2P1"/>
      <w:r>
        <w:rPr>
          <w:lang w:eastAsia="zh-CN"/>
        </w:rPr>
        <w:t xml:space="preserve">技术路线A为现网旁挂并行验证，路线B为窗口内直接切换；建议A属于工程推断，须人工确认。</w:t>
      </w:r>
      <w:bookmarkEnd w:id="5"/>
    </w:p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6" w:name="C562a77a7ae22fe1bb05561df"/>
      <w:r>
        <w:rPr>
          <w:rFonts w:ascii="Times New Roman" w:eastAsia="黑体" w:hAnsi="Times New Roman"/>
          <w:lang w:eastAsia="zh-CN"/>
        </w:rPr>
        <w:t xml:space="preserve">第三章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实施条件与技术方案</w:t>
      </w:r>
      <w:bookmarkEnd w:id="6"/>
    </w:p>
    <w:p>
      <w:pPr>
        <w:spacing w:after="120" w:line="360" w:lineRule="auto"/>
        <w:ind w:firstLine="480"/>
        <w:rPr>
          <w:lang w:eastAsia="zh-CN"/>
        </w:rPr>
      </w:pPr>
      <w:bookmarkStart w:id="7" w:name="C562a77a7ae22fe1bb05561dfP1"/>
      <w:r>
        <w:rPr>
          <w:lang w:eastAsia="zh-CN"/>
        </w:rPr>
        <w:t xml:space="preserve">按准备、并行验证、分步迁移和回退确认实施；最终IP和运维责任人确认前不得进入正式切换。</w:t>
      </w:r>
      <w:bookmarkEnd w:id="7"/>
    </w:p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8" w:name="C37c48e35b50ae9c90981b34b"/>
      <w:r>
        <w:rPr>
          <w:rFonts w:ascii="Times New Roman" w:eastAsia="黑体" w:hAnsi="Times New Roman"/>
          <w:lang w:eastAsia="zh-CN"/>
        </w:rPr>
        <w:t xml:space="preserve">第四章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风险与控制</w:t>
      </w:r>
      <w:bookmarkEnd w:id="8"/>
    </w:p>
    <w:p>
      <w:pPr>
        <w:spacing w:after="120" w:line="360" w:lineRule="auto"/>
        <w:ind w:firstLine="480"/>
        <w:rPr>
          <w:lang w:eastAsia="zh-CN"/>
        </w:rPr>
      </w:pPr>
      <w:bookmarkStart w:id="9" w:name="C37c48e35b50ae9c90981b34bP1"/>
      <w:r>
        <w:rPr>
          <w:lang w:eastAsia="zh-CN"/>
        </w:rPr>
        <w:t xml:space="preserve">日志留存口径冲突会影响存储配置和验收，必须在正式实施前统一。</w:t>
      </w:r>
      <w:bookmarkEnd w:id="9"/>
    </w:p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10" w:name="C5e9ad751b5e6102bb17b687e"/>
      <w:r>
        <w:rPr>
          <w:rFonts w:ascii="Times New Roman" w:eastAsia="黑体" w:hAnsi="Times New Roman"/>
          <w:lang w:eastAsia="zh-CN"/>
        </w:rPr>
        <w:t xml:space="preserve">第五章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经济资料边界</w:t>
      </w:r>
      <w:bookmarkEnd w:id="10"/>
    </w:p>
    <w:p>
      <w:pPr>
        <w:spacing w:after="120" w:line="360" w:lineRule="auto"/>
        <w:ind w:firstLine="480"/>
        <w:rPr>
          <w:lang w:eastAsia="zh-CN"/>
        </w:rPr>
      </w:pPr>
      <w:bookmarkStart w:id="11" w:name="C5e9ad751b5e6102bb17b687eP1"/>
      <w:r>
        <w:rPr>
          <w:lang w:eastAsia="zh-CN"/>
        </w:rPr>
        <w:t xml:space="preserve">技术方案不承担经济结论；当前未取得经核实的成本或收益依据。</w:t>
      </w:r>
      <w:bookmarkEnd w:id="11"/>
    </w:p>
    <w:p>
      <w:pPr>
        <w:jc w:val="center"/>
        <w:rPr>
          <w:lang w:eastAsia="zh-CN"/>
        </w:rPr>
      </w:pPr>
      <w:bookmarkStart w:id="12" w:name="INPUT_TABLE"/>
      <w:r>
        <w:rPr>
          <w:rFonts w:eastAsia="黑体"/>
          <w:b/>
          <w:sz w:val="21"/>
          <w:lang w:eastAsia="zh-CN"/>
        </w:rPr>
        <w:t xml:space="preserve">表</w:t>
      </w:r>
      <w:r>
        <w:rPr>
          <w:rFonts w:eastAsia="黑体"/>
          <w:b/>
          <w:sz w:val="21"/>
          <w:lang w:eastAsia="zh-CN"/>
        </w:rPr>
        <w:t xml:space="preserve">1 输</w:t>
      </w:r>
      <w:r>
        <w:rPr>
          <w:rFonts w:eastAsia="黑体"/>
          <w:b/>
          <w:sz w:val="21"/>
          <w:lang w:eastAsia="zh-CN"/>
        </w:rPr>
        <w:t xml:space="preserve">入设备清单（待核）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30"/>
        <w:gridCol w:w="3202"/>
        <w:gridCol w:w="1369"/>
        <w:gridCol w:w="1500"/>
        <w:gridCol w:w="1141"/>
      </w:tblGrid>
      <w:tr>
        <w:trPr>
          <w:jc w:val="center"/>
          <w:tblHeader/>
        </w:trPr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  <w:t xml:space="preserve">原行号</w:t>
            </w:r>
          </w:p>
        </w:tc>
        <w:tc>
          <w:tcPr>
            <w:tcW w:w="34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  <w:t xml:space="preserve">设备名称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</w:r>
            <w:r>
              <w:rPr>
                <w:rFonts w:eastAsia="黑体"/>
                <w:b/>
                <w:sz w:val="21"/>
              </w:rPr>
            </w:r>
            <w:r>
              <w:rPr>
                <w:rFonts w:eastAsia="黑体"/>
                <w:b/>
                <w:sz w:val="21"/>
              </w:rPr>
              <w:t xml:space="preserve">数量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  <w:t xml:space="preserve">单位</w:t>
            </w:r>
          </w:p>
        </w:tc>
        <w:tc>
          <w:tcPr>
            <w:tcW w:w="115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  <w:t xml:space="preserve">来源</w:t>
            </w:r>
          </w:p>
        </w:tc>
      </w:tr>
      <w:tr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  <w:t xml:space="preserve">r-001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安全接入网关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台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  <w:t xml:space="preserve">人工录入</w:t>
            </w:r>
          </w:p>
        </w:tc>
      </w:tr>
      <w:tr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  <w:t xml:space="preserve">r-002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集中审计节点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1"/>
              </w:rPr>
              <w:t xml:space="preserve">1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套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  <w:t xml:space="preserve">人工录入</w:t>
            </w:r>
          </w:p>
        </w:tc>
      </w:tr>
    </w:tbl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14" w:name="PENDING_HEADING"/>
      <w:r>
        <w:rPr>
          <w:rFonts w:ascii="Times New Roman" w:eastAsia="黑体" w:hAnsi="Times New Roman"/>
          <w:lang w:eastAsia="zh-CN"/>
        </w:rPr>
        <w:t xml:space="preserve">第六章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待确认事项</w:t>
      </w:r>
      <w:bookmarkEnd w:id="14"/>
    </w:p>
    <w:p>
      <w:pPr>
        <w:spacing w:after="120" w:line="360" w:lineRule="auto"/>
        <w:ind w:firstLine="480"/>
        <w:rPr>
          <w:lang w:eastAsia="zh-CN"/>
        </w:rPr>
      </w:pPr>
      <w:bookmarkStart w:id="15" w:name="PENDING_TEXT1"/>
      <w:r>
        <w:rPr>
          <w:lang w:eastAsia="zh-CN"/>
        </w:rPr>
        <w:t xml:space="preserve">正式模板与样例、内容及格式批准尚未完成；本件始终为待核草稿。</w:t>
      </w:r>
      <w:bookmarkEnd w:id="15"/>
    </w:p>
    <w:p>
      <w:pPr>
        <w:spacing w:after="120" w:line="360" w:lineRule="auto"/>
        <w:ind w:firstLine="480"/>
        <w:rPr>
          <w:lang w:eastAsia="zh-CN"/>
        </w:rPr>
      </w:pPr>
      <w:bookmarkStart w:id="16" w:name="PENDING_TEXT2"/>
      <w:r>
        <w:rPr>
          <w:lang w:eastAsia="zh-CN"/>
        </w:rPr>
        <w:t xml:space="preserve">运维责任人、最终IP地址、建设成本、运维成本和收益依据待确认</w:t>
      </w:r>
      <w:bookmarkEnd w:id="16"/>
    </w:p>
    <w:p>
      <w:pPr>
        <w:spacing w:after="120" w:line="360" w:lineRule="auto"/>
        <w:ind w:firstLine="480"/>
        <w:rPr>
          <w:lang w:eastAsia="zh-CN"/>
        </w:rPr>
      </w:pPr>
      <w:bookmarkStart w:id="17" w:name="PENDING_TEXT3"/>
      <w:r>
        <w:rPr>
          <w:lang w:eastAsia="zh-CN"/>
        </w:rPr>
        <w:t xml:space="preserve">日志留存180天与不少于6个月的口径待统一</w:t>
      </w:r>
      <w:bookmarkEnd w:id="17"/>
    </w:p>
    <w:sectPr>
      <w:headerReference w:type="default" r:id="rId8"/>
      <w:footerReference w:type="default" r:id="rId9"/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A1443" w14:textId="77777777" w:rsidR="009A63BE" w:rsidRDefault="009A63BE">
      <w:pPr>
        <w:spacing w:after="0" w:line="240" w:lineRule="auto"/>
      </w:pPr>
      <w:r>
        <w:separator/>
      </w:r>
    </w:p>
  </w:endnote>
  <w:endnote w:type="continuationSeparator" w:id="0">
    <w:p w14:paraId="78234FF8" w14:textId="77777777" w:rsidR="009A63BE" w:rsidRDefault="009A6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7"/>
      <w:jc w:val="center"/>
    </w:pPr>
    <w:r>
      <w:rPr>
        <w:sz w:val="18"/>
      </w:rPr>
      <w:t xml:space="preserve"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/>
    <w:r>
      <w:fldChar w:fldCharType="end"/>
    </w:r>
    <w:r>
      <w:rPr>
        <w:sz w:val="18"/>
      </w:rPr>
      <w:t xml:space="preserve"> </w:t>
    </w:r>
    <w:r>
      <w:rPr>
        <w:sz w:val="18"/>
      </w:rPr>
      <w:t xml:space="preserve"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B02C" w14:textId="77777777" w:rsidR="009A63BE" w:rsidRDefault="009A63BE">
      <w:pPr>
        <w:spacing w:after="0" w:line="240" w:lineRule="auto"/>
      </w:pPr>
      <w:r>
        <w:separator/>
      </w:r>
    </w:p>
  </w:footnote>
  <w:footnote w:type="continuationSeparator" w:id="0">
    <w:p w14:paraId="18EA341C" w14:textId="77777777" w:rsidR="009A63BE" w:rsidRDefault="009A6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  <w:jc w:val="center"/>
      <w:rPr>
        <w:lang w:eastAsia="zh-CN"/>
      </w:rPr>
    </w:pPr>
    <w:r>
      <w:rPr>
        <w:sz w:val="18"/>
        <w:lang w:eastAsia="zh-CN"/>
      </w:rPr>
      <w:t xml:space="preserve">园区安全接入与集中审计三件套（代表性草稿）（技术方案）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EAFA31"/>
  <w14:defaultImageDpi w14:val="300"/>
  <w15:docId w15:val="{FF9A4DAE-EC39-4F66-A2D6-D42F114DC89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