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2FA3" w14:textId="77777777" w:rsidR="00E31FF9" w:rsidRDefault="00000000">
      <w:pPr>
        <w:pStyle w:val="Title"/>
      </w:pPr>
      <w:r>
        <w:t>AI Workflow Automation Platform</w:t>
      </w:r>
    </w:p>
    <w:p w14:paraId="649A309E" w14:textId="77777777" w:rsidR="00E31FF9" w:rsidRDefault="00000000">
      <w:pPr>
        <w:spacing w:after="100"/>
      </w:pPr>
      <w:r>
        <w:rPr>
          <w:b/>
          <w:color w:val="286891"/>
          <w:sz w:val="21"/>
        </w:rPr>
        <w:t>Architecture business case  |  Proposed approach for NCS and the CodeSpark Team</w:t>
      </w:r>
    </w:p>
    <w:p w14:paraId="0A480447" w14:textId="77777777" w:rsidR="00E31FF9" w:rsidRDefault="00000000">
      <w:pPr>
        <w:spacing w:after="260"/>
      </w:pPr>
      <w:r>
        <w:rPr>
          <w:color w:val="627181"/>
        </w:rPr>
        <w:t>A focused implementation plan, fair n8n comparison, and sustainable handover.</w:t>
      </w:r>
    </w:p>
    <w:p w14:paraId="07D8DA55" w14:textId="77777777" w:rsidR="00E31FF9" w:rsidRDefault="00000000">
      <w:pPr>
        <w:pStyle w:val="Heading1"/>
      </w:pPr>
      <w:r>
        <w:t>Executive proposition</w:t>
      </w:r>
    </w:p>
    <w:p w14:paraId="253CADBF" w14:textId="77777777" w:rsidR="00E31FF9" w:rsidRDefault="00000000">
      <w:r>
        <w:t>We propose to retain a focused, LangGraph-based AI workflow platform as the capstone implementation and compare it with n8n using one shared operational workflow. The project will test whether NCS's internal LLM can help the CodeSpark Team make supported workflow changes through natural language, with independent validation and approvals.</w:t>
      </w:r>
    </w:p>
    <w:p w14:paraId="23E23B13" w14:textId="77777777" w:rsidR="00E31FF9" w:rsidRDefault="00000000">
      <w:r>
        <w:t>n8n offers a mature workflow engine and ready-made integrations. Our custom approach offers more control over NCS-specific workflow behaviour and governance, but also introduces responsibility for engineering support, vulnerability fixes and upgrades. The purpose of the comparison is to measure that trade-off, not assume a custom platform is better.</w:t>
      </w:r>
    </w:p>
    <w:p w14:paraId="390114B4" w14:textId="77777777" w:rsidR="00E31FF9" w:rsidRDefault="00000000">
      <w:pPr>
        <w:pStyle w:val="Heading1"/>
      </w:pPr>
      <w:r>
        <w:t>Three-way architecture comparison</w:t>
      </w:r>
    </w:p>
    <w:tbl>
      <w:tblPr>
        <w:tblW w:w="0" w:type="auto"/>
        <w:jc w:val="center"/>
        <w:tblLayout w:type="fixed"/>
        <w:tblLook w:val="04A0" w:firstRow="1" w:lastRow="0" w:firstColumn="1" w:lastColumn="0" w:noHBand="0" w:noVBand="1"/>
      </w:tblPr>
      <w:tblGrid>
        <w:gridCol w:w="1642"/>
        <w:gridCol w:w="2448"/>
        <w:gridCol w:w="2491"/>
        <w:gridCol w:w="3442"/>
      </w:tblGrid>
      <w:tr w:rsidR="00E31FF9" w14:paraId="5E18AA12" w14:textId="77777777">
        <w:trPr>
          <w:jc w:val="center"/>
        </w:trPr>
        <w:tc>
          <w:tcPr>
            <w:tcW w:w="1642" w:type="dxa"/>
            <w:shd w:val="clear" w:color="auto" w:fill="183653"/>
            <w:tcMar>
              <w:top w:w="130" w:type="dxa"/>
              <w:left w:w="120" w:type="dxa"/>
              <w:bottom w:w="130" w:type="dxa"/>
              <w:right w:w="120" w:type="dxa"/>
            </w:tcMar>
            <w:vAlign w:val="center"/>
          </w:tcPr>
          <w:p w14:paraId="79841E32" w14:textId="77777777" w:rsidR="00E31FF9" w:rsidRDefault="00000000">
            <w:pPr>
              <w:spacing w:after="0" w:line="257" w:lineRule="auto"/>
            </w:pPr>
            <w:r>
              <w:rPr>
                <w:b/>
                <w:color w:val="FFFFFF"/>
                <w:sz w:val="15"/>
              </w:rPr>
              <w:t>Dimension</w:t>
            </w:r>
          </w:p>
        </w:tc>
        <w:tc>
          <w:tcPr>
            <w:tcW w:w="2448" w:type="dxa"/>
            <w:shd w:val="clear" w:color="auto" w:fill="183653"/>
            <w:tcMar>
              <w:top w:w="130" w:type="dxa"/>
              <w:left w:w="120" w:type="dxa"/>
              <w:bottom w:w="130" w:type="dxa"/>
              <w:right w:w="120" w:type="dxa"/>
            </w:tcMar>
            <w:vAlign w:val="center"/>
          </w:tcPr>
          <w:p w14:paraId="5C875814" w14:textId="77777777" w:rsidR="00E31FF9" w:rsidRDefault="00000000">
            <w:pPr>
              <w:spacing w:after="0" w:line="257" w:lineRule="auto"/>
            </w:pPr>
            <w:r>
              <w:rPr>
                <w:b/>
                <w:color w:val="FFFFFF"/>
                <w:sz w:val="15"/>
              </w:rPr>
              <w:t>n8n Community</w:t>
            </w:r>
          </w:p>
        </w:tc>
        <w:tc>
          <w:tcPr>
            <w:tcW w:w="2491" w:type="dxa"/>
            <w:shd w:val="clear" w:color="auto" w:fill="183653"/>
            <w:tcMar>
              <w:top w:w="130" w:type="dxa"/>
              <w:left w:w="120" w:type="dxa"/>
              <w:bottom w:w="130" w:type="dxa"/>
              <w:right w:w="120" w:type="dxa"/>
            </w:tcMar>
            <w:vAlign w:val="center"/>
          </w:tcPr>
          <w:p w14:paraId="4F4AD11B" w14:textId="77777777" w:rsidR="00E31FF9" w:rsidRDefault="00000000">
            <w:pPr>
              <w:spacing w:after="0" w:line="257" w:lineRule="auto"/>
            </w:pPr>
            <w:r>
              <w:rPr>
                <w:b/>
                <w:color w:val="FFFFFF"/>
                <w:sz w:val="15"/>
              </w:rPr>
              <w:t>n8n Business / Enterprise</w:t>
            </w:r>
          </w:p>
        </w:tc>
        <w:tc>
          <w:tcPr>
            <w:tcW w:w="3442" w:type="dxa"/>
            <w:shd w:val="clear" w:color="auto" w:fill="183653"/>
            <w:tcMar>
              <w:top w:w="130" w:type="dxa"/>
              <w:left w:w="120" w:type="dxa"/>
              <w:bottom w:w="130" w:type="dxa"/>
              <w:right w:w="120" w:type="dxa"/>
            </w:tcMar>
            <w:vAlign w:val="center"/>
          </w:tcPr>
          <w:p w14:paraId="0444CA7C" w14:textId="77777777" w:rsidR="00E31FF9" w:rsidRDefault="00000000">
            <w:pPr>
              <w:spacing w:after="0" w:line="257" w:lineRule="auto"/>
            </w:pPr>
            <w:r>
              <w:rPr>
                <w:b/>
                <w:color w:val="FFFFFF"/>
                <w:sz w:val="15"/>
              </w:rPr>
              <w:t>Proposed custom platform</w:t>
            </w:r>
          </w:p>
        </w:tc>
      </w:tr>
      <w:tr w:rsidR="00E31FF9" w14:paraId="40611383" w14:textId="77777777">
        <w:trPr>
          <w:jc w:val="center"/>
        </w:trPr>
        <w:tc>
          <w:tcPr>
            <w:tcW w:w="1642" w:type="dxa"/>
            <w:tcBorders>
              <w:bottom w:val="single" w:sz="4" w:space="0" w:color="D7E1E8"/>
            </w:tcBorders>
            <w:shd w:val="clear" w:color="auto" w:fill="F0F5F8"/>
            <w:tcMar>
              <w:top w:w="115" w:type="dxa"/>
              <w:left w:w="120" w:type="dxa"/>
              <w:bottom w:w="115" w:type="dxa"/>
              <w:right w:w="120" w:type="dxa"/>
            </w:tcMar>
            <w:vAlign w:val="center"/>
          </w:tcPr>
          <w:p w14:paraId="73416920" w14:textId="77777777" w:rsidR="00E31FF9" w:rsidRDefault="00000000">
            <w:pPr>
              <w:spacing w:after="0" w:line="264" w:lineRule="auto"/>
            </w:pPr>
            <w:r>
              <w:rPr>
                <w:b/>
                <w:sz w:val="15"/>
              </w:rPr>
              <w:t>Authoring</w:t>
            </w:r>
          </w:p>
        </w:tc>
        <w:tc>
          <w:tcPr>
            <w:tcW w:w="2448" w:type="dxa"/>
            <w:tcBorders>
              <w:bottom w:val="single" w:sz="4" w:space="0" w:color="D7E1E8"/>
            </w:tcBorders>
            <w:tcMar>
              <w:top w:w="115" w:type="dxa"/>
              <w:left w:w="120" w:type="dxa"/>
              <w:bottom w:w="115" w:type="dxa"/>
              <w:right w:w="120" w:type="dxa"/>
            </w:tcMar>
            <w:vAlign w:val="center"/>
          </w:tcPr>
          <w:p w14:paraId="2F6AE2BE" w14:textId="77777777" w:rsidR="00E31FF9" w:rsidRDefault="00000000">
            <w:pPr>
              <w:spacing w:after="0" w:line="264" w:lineRule="auto"/>
            </w:pPr>
            <w:r>
              <w:rPr>
                <w:sz w:val="15"/>
              </w:rPr>
              <w:t>Visual workflow/node editor</w:t>
            </w:r>
          </w:p>
        </w:tc>
        <w:tc>
          <w:tcPr>
            <w:tcW w:w="2491" w:type="dxa"/>
            <w:tcBorders>
              <w:bottom w:val="single" w:sz="4" w:space="0" w:color="D7E1E8"/>
            </w:tcBorders>
            <w:tcMar>
              <w:top w:w="115" w:type="dxa"/>
              <w:left w:w="120" w:type="dxa"/>
              <w:bottom w:w="115" w:type="dxa"/>
              <w:right w:w="120" w:type="dxa"/>
            </w:tcMar>
            <w:vAlign w:val="center"/>
          </w:tcPr>
          <w:p w14:paraId="32895F14" w14:textId="77777777" w:rsidR="00E31FF9" w:rsidRDefault="00000000">
            <w:pPr>
              <w:spacing w:after="0" w:line="264" w:lineRule="auto"/>
            </w:pPr>
            <w:r>
              <w:rPr>
                <w:sz w:val="15"/>
              </w:rPr>
              <w:t>Visual editor plus plan-dependent lifecycle features</w:t>
            </w:r>
          </w:p>
        </w:tc>
        <w:tc>
          <w:tcPr>
            <w:tcW w:w="3442" w:type="dxa"/>
            <w:tcBorders>
              <w:bottom w:val="single" w:sz="4" w:space="0" w:color="D7E1E8"/>
            </w:tcBorders>
            <w:tcMar>
              <w:top w:w="115" w:type="dxa"/>
              <w:left w:w="120" w:type="dxa"/>
              <w:bottom w:w="115" w:type="dxa"/>
              <w:right w:w="120" w:type="dxa"/>
            </w:tcMar>
            <w:vAlign w:val="center"/>
          </w:tcPr>
          <w:p w14:paraId="5B1143C0" w14:textId="77777777" w:rsidR="00E31FF9" w:rsidRDefault="00000000">
            <w:pPr>
              <w:spacing w:after="0" w:line="264" w:lineRule="auto"/>
            </w:pPr>
            <w:r>
              <w:rPr>
                <w:sz w:val="15"/>
              </w:rPr>
              <w:t>Natural-language requests mapped to approved workflow blocks</w:t>
            </w:r>
          </w:p>
        </w:tc>
      </w:tr>
      <w:tr w:rsidR="00E31FF9" w14:paraId="480A04AF" w14:textId="77777777">
        <w:trPr>
          <w:jc w:val="center"/>
        </w:trPr>
        <w:tc>
          <w:tcPr>
            <w:tcW w:w="1642" w:type="dxa"/>
            <w:tcBorders>
              <w:bottom w:val="single" w:sz="4" w:space="0" w:color="D7E1E8"/>
            </w:tcBorders>
            <w:shd w:val="clear" w:color="auto" w:fill="F0F5F8"/>
            <w:tcMar>
              <w:top w:w="115" w:type="dxa"/>
              <w:left w:w="120" w:type="dxa"/>
              <w:bottom w:w="115" w:type="dxa"/>
              <w:right w:w="120" w:type="dxa"/>
            </w:tcMar>
            <w:vAlign w:val="center"/>
          </w:tcPr>
          <w:p w14:paraId="67365E9B" w14:textId="77777777" w:rsidR="00E31FF9" w:rsidRDefault="00000000">
            <w:pPr>
              <w:spacing w:after="0" w:line="264" w:lineRule="auto"/>
            </w:pPr>
            <w:r>
              <w:rPr>
                <w:b/>
                <w:sz w:val="15"/>
              </w:rPr>
              <w:t>Routine change</w:t>
            </w:r>
          </w:p>
        </w:tc>
        <w:tc>
          <w:tcPr>
            <w:tcW w:w="2448" w:type="dxa"/>
            <w:tcBorders>
              <w:bottom w:val="single" w:sz="4" w:space="0" w:color="D7E1E8"/>
            </w:tcBorders>
            <w:tcMar>
              <w:top w:w="115" w:type="dxa"/>
              <w:left w:w="120" w:type="dxa"/>
              <w:bottom w:w="115" w:type="dxa"/>
              <w:right w:w="120" w:type="dxa"/>
            </w:tcMar>
            <w:vAlign w:val="center"/>
          </w:tcPr>
          <w:p w14:paraId="2BD84E3B" w14:textId="77777777" w:rsidR="00E31FF9" w:rsidRDefault="00000000">
            <w:pPr>
              <w:spacing w:after="0" w:line="264" w:lineRule="auto"/>
            </w:pPr>
            <w:r>
              <w:rPr>
                <w:sz w:val="15"/>
              </w:rPr>
              <w:t>Edit nodes/settings; external AI help possible</w:t>
            </w:r>
          </w:p>
        </w:tc>
        <w:tc>
          <w:tcPr>
            <w:tcW w:w="2491" w:type="dxa"/>
            <w:tcBorders>
              <w:bottom w:val="single" w:sz="4" w:space="0" w:color="D7E1E8"/>
            </w:tcBorders>
            <w:tcMar>
              <w:top w:w="115" w:type="dxa"/>
              <w:left w:w="120" w:type="dxa"/>
              <w:bottom w:w="115" w:type="dxa"/>
              <w:right w:w="120" w:type="dxa"/>
            </w:tcMar>
            <w:vAlign w:val="center"/>
          </w:tcPr>
          <w:p w14:paraId="243DF2D2" w14:textId="77777777" w:rsidR="00E31FF9" w:rsidRDefault="00000000">
            <w:pPr>
              <w:spacing w:after="0" w:line="264" w:lineRule="auto"/>
            </w:pPr>
            <w:r>
              <w:rPr>
                <w:sz w:val="15"/>
              </w:rPr>
              <w:t>Same approach with eligible governance features</w:t>
            </w:r>
          </w:p>
        </w:tc>
        <w:tc>
          <w:tcPr>
            <w:tcW w:w="3442" w:type="dxa"/>
            <w:tcBorders>
              <w:bottom w:val="single" w:sz="4" w:space="0" w:color="D7E1E8"/>
            </w:tcBorders>
            <w:tcMar>
              <w:top w:w="115" w:type="dxa"/>
              <w:left w:w="120" w:type="dxa"/>
              <w:bottom w:w="115" w:type="dxa"/>
              <w:right w:w="120" w:type="dxa"/>
            </w:tcMar>
            <w:vAlign w:val="center"/>
          </w:tcPr>
          <w:p w14:paraId="77991D68" w14:textId="77777777" w:rsidR="00E31FF9" w:rsidRDefault="00000000">
            <w:pPr>
              <w:spacing w:after="0" w:line="264" w:lineRule="auto"/>
            </w:pPr>
            <w:r>
              <w:rPr>
                <w:sz w:val="15"/>
              </w:rPr>
              <w:t>Internal LLM proposes a configuration change; no app-code edit for supported tasks</w:t>
            </w:r>
          </w:p>
        </w:tc>
      </w:tr>
      <w:tr w:rsidR="00E31FF9" w14:paraId="448DF824" w14:textId="77777777">
        <w:trPr>
          <w:jc w:val="center"/>
        </w:trPr>
        <w:tc>
          <w:tcPr>
            <w:tcW w:w="1642" w:type="dxa"/>
            <w:tcBorders>
              <w:bottom w:val="single" w:sz="4" w:space="0" w:color="D7E1E8"/>
            </w:tcBorders>
            <w:shd w:val="clear" w:color="auto" w:fill="F0F5F8"/>
            <w:tcMar>
              <w:top w:w="115" w:type="dxa"/>
              <w:left w:w="120" w:type="dxa"/>
              <w:bottom w:w="115" w:type="dxa"/>
              <w:right w:w="120" w:type="dxa"/>
            </w:tcMar>
            <w:vAlign w:val="center"/>
          </w:tcPr>
          <w:p w14:paraId="4362889D" w14:textId="77777777" w:rsidR="00E31FF9" w:rsidRDefault="00000000">
            <w:pPr>
              <w:spacing w:after="0" w:line="264" w:lineRule="auto"/>
            </w:pPr>
            <w:r>
              <w:rPr>
                <w:b/>
                <w:sz w:val="15"/>
              </w:rPr>
              <w:t>Integrations</w:t>
            </w:r>
          </w:p>
        </w:tc>
        <w:tc>
          <w:tcPr>
            <w:tcW w:w="2448" w:type="dxa"/>
            <w:tcBorders>
              <w:bottom w:val="single" w:sz="4" w:space="0" w:color="D7E1E8"/>
            </w:tcBorders>
            <w:tcMar>
              <w:top w:w="115" w:type="dxa"/>
              <w:left w:w="120" w:type="dxa"/>
              <w:bottom w:w="115" w:type="dxa"/>
              <w:right w:w="120" w:type="dxa"/>
            </w:tcMar>
            <w:vAlign w:val="center"/>
          </w:tcPr>
          <w:p w14:paraId="361FBD1D" w14:textId="77777777" w:rsidR="00E31FF9" w:rsidRDefault="00000000">
            <w:pPr>
              <w:spacing w:after="0" w:line="264" w:lineRule="auto"/>
            </w:pPr>
            <w:r>
              <w:rPr>
                <w:sz w:val="15"/>
              </w:rPr>
              <w:t>Existing and custom nodes; managed credentials</w:t>
            </w:r>
          </w:p>
        </w:tc>
        <w:tc>
          <w:tcPr>
            <w:tcW w:w="2491" w:type="dxa"/>
            <w:tcBorders>
              <w:bottom w:val="single" w:sz="4" w:space="0" w:color="D7E1E8"/>
            </w:tcBorders>
            <w:tcMar>
              <w:top w:w="115" w:type="dxa"/>
              <w:left w:w="120" w:type="dxa"/>
              <w:bottom w:w="115" w:type="dxa"/>
              <w:right w:w="120" w:type="dxa"/>
            </w:tcMar>
            <w:vAlign w:val="center"/>
          </w:tcPr>
          <w:p w14:paraId="7AA6BF59" w14:textId="77777777" w:rsidR="00E31FF9" w:rsidRDefault="00000000">
            <w:pPr>
              <w:spacing w:after="0" w:line="264" w:lineRule="auto"/>
            </w:pPr>
            <w:r>
              <w:rPr>
                <w:sz w:val="15"/>
              </w:rPr>
              <w:t>Same connectors with additional enterprise options by plan</w:t>
            </w:r>
          </w:p>
        </w:tc>
        <w:tc>
          <w:tcPr>
            <w:tcW w:w="3442" w:type="dxa"/>
            <w:tcBorders>
              <w:bottom w:val="single" w:sz="4" w:space="0" w:color="D7E1E8"/>
            </w:tcBorders>
            <w:tcMar>
              <w:top w:w="115" w:type="dxa"/>
              <w:left w:w="120" w:type="dxa"/>
              <w:bottom w:w="115" w:type="dxa"/>
              <w:right w:w="120" w:type="dxa"/>
            </w:tcMar>
            <w:vAlign w:val="center"/>
          </w:tcPr>
          <w:p w14:paraId="6A07B3EA" w14:textId="77777777" w:rsidR="00E31FF9" w:rsidRDefault="00000000">
            <w:pPr>
              <w:spacing w:after="0" w:line="264" w:lineRule="auto"/>
            </w:pPr>
            <w:r>
              <w:rPr>
                <w:sz w:val="15"/>
              </w:rPr>
              <w:t>Approved connector functions with server-side credentials and scoped operations</w:t>
            </w:r>
          </w:p>
        </w:tc>
      </w:tr>
      <w:tr w:rsidR="00E31FF9" w14:paraId="4E6C2B0A" w14:textId="77777777">
        <w:trPr>
          <w:jc w:val="center"/>
        </w:trPr>
        <w:tc>
          <w:tcPr>
            <w:tcW w:w="1642" w:type="dxa"/>
            <w:tcBorders>
              <w:bottom w:val="single" w:sz="4" w:space="0" w:color="D7E1E8"/>
            </w:tcBorders>
            <w:shd w:val="clear" w:color="auto" w:fill="F0F5F8"/>
            <w:tcMar>
              <w:top w:w="115" w:type="dxa"/>
              <w:left w:w="120" w:type="dxa"/>
              <w:bottom w:w="115" w:type="dxa"/>
              <w:right w:w="120" w:type="dxa"/>
            </w:tcMar>
            <w:vAlign w:val="center"/>
          </w:tcPr>
          <w:p w14:paraId="157558A5" w14:textId="77777777" w:rsidR="00E31FF9" w:rsidRDefault="00000000">
            <w:pPr>
              <w:spacing w:after="0" w:line="264" w:lineRule="auto"/>
            </w:pPr>
            <w:r>
              <w:rPr>
                <w:b/>
                <w:sz w:val="15"/>
              </w:rPr>
              <w:t>Approval &amp; audit</w:t>
            </w:r>
          </w:p>
        </w:tc>
        <w:tc>
          <w:tcPr>
            <w:tcW w:w="2448" w:type="dxa"/>
            <w:tcBorders>
              <w:bottom w:val="single" w:sz="4" w:space="0" w:color="D7E1E8"/>
            </w:tcBorders>
            <w:tcMar>
              <w:top w:w="115" w:type="dxa"/>
              <w:left w:w="120" w:type="dxa"/>
              <w:bottom w:w="115" w:type="dxa"/>
              <w:right w:w="120" w:type="dxa"/>
            </w:tcMar>
            <w:vAlign w:val="center"/>
          </w:tcPr>
          <w:p w14:paraId="51D66411" w14:textId="77777777" w:rsidR="00E31FF9" w:rsidRDefault="00000000">
            <w:pPr>
              <w:spacing w:after="0" w:line="264" w:lineRule="auto"/>
            </w:pPr>
            <w:r>
              <w:rPr>
                <w:sz w:val="15"/>
              </w:rPr>
              <w:t>Implemented in workflows or external policy services</w:t>
            </w:r>
          </w:p>
        </w:tc>
        <w:tc>
          <w:tcPr>
            <w:tcW w:w="2491" w:type="dxa"/>
            <w:tcBorders>
              <w:bottom w:val="single" w:sz="4" w:space="0" w:color="D7E1E8"/>
            </w:tcBorders>
            <w:tcMar>
              <w:top w:w="115" w:type="dxa"/>
              <w:left w:w="120" w:type="dxa"/>
              <w:bottom w:w="115" w:type="dxa"/>
              <w:right w:w="120" w:type="dxa"/>
            </w:tcMar>
            <w:vAlign w:val="center"/>
          </w:tcPr>
          <w:p w14:paraId="28C9CDDF" w14:textId="77777777" w:rsidR="00E31FF9" w:rsidRDefault="00000000">
            <w:pPr>
              <w:spacing w:after="0" w:line="264" w:lineRule="auto"/>
            </w:pPr>
            <w:r>
              <w:rPr>
                <w:sz w:val="15"/>
              </w:rPr>
              <w:t>Additional administrative/security capabilities by plan</w:t>
            </w:r>
          </w:p>
        </w:tc>
        <w:tc>
          <w:tcPr>
            <w:tcW w:w="3442" w:type="dxa"/>
            <w:tcBorders>
              <w:bottom w:val="single" w:sz="4" w:space="0" w:color="D7E1E8"/>
            </w:tcBorders>
            <w:tcMar>
              <w:top w:w="115" w:type="dxa"/>
              <w:left w:w="120" w:type="dxa"/>
              <w:bottom w:w="115" w:type="dxa"/>
              <w:right w:w="120" w:type="dxa"/>
            </w:tcMar>
            <w:vAlign w:val="center"/>
          </w:tcPr>
          <w:p w14:paraId="60EBBADA" w14:textId="77777777" w:rsidR="00E31FF9" w:rsidRDefault="00000000">
            <w:pPr>
              <w:spacing w:after="0" w:line="264" w:lineRule="auto"/>
            </w:pPr>
            <w:r>
              <w:rPr>
                <w:sz w:val="15"/>
              </w:rPr>
              <w:t>Target: centrally enforced approvals, separation of duties and audit evidence</w:t>
            </w:r>
          </w:p>
        </w:tc>
      </w:tr>
      <w:tr w:rsidR="00E31FF9" w14:paraId="4C1DAC5B" w14:textId="77777777">
        <w:trPr>
          <w:jc w:val="center"/>
        </w:trPr>
        <w:tc>
          <w:tcPr>
            <w:tcW w:w="1642" w:type="dxa"/>
            <w:tcBorders>
              <w:bottom w:val="single" w:sz="4" w:space="0" w:color="D7E1E8"/>
            </w:tcBorders>
            <w:shd w:val="clear" w:color="auto" w:fill="F0F5F8"/>
            <w:tcMar>
              <w:top w:w="115" w:type="dxa"/>
              <w:left w:w="120" w:type="dxa"/>
              <w:bottom w:w="115" w:type="dxa"/>
              <w:right w:w="120" w:type="dxa"/>
            </w:tcMar>
            <w:vAlign w:val="center"/>
          </w:tcPr>
          <w:p w14:paraId="26BC036A" w14:textId="77777777" w:rsidR="00E31FF9" w:rsidRDefault="00000000">
            <w:pPr>
              <w:spacing w:after="0" w:line="264" w:lineRule="auto"/>
            </w:pPr>
            <w:r>
              <w:rPr>
                <w:b/>
                <w:sz w:val="15"/>
              </w:rPr>
              <w:t>Core security updates</w:t>
            </w:r>
          </w:p>
        </w:tc>
        <w:tc>
          <w:tcPr>
            <w:tcW w:w="2448" w:type="dxa"/>
            <w:tcBorders>
              <w:bottom w:val="single" w:sz="4" w:space="0" w:color="D7E1E8"/>
            </w:tcBorders>
            <w:tcMar>
              <w:top w:w="115" w:type="dxa"/>
              <w:left w:w="120" w:type="dxa"/>
              <w:bottom w:w="115" w:type="dxa"/>
              <w:right w:w="120" w:type="dxa"/>
            </w:tcMar>
            <w:vAlign w:val="center"/>
          </w:tcPr>
          <w:p w14:paraId="15DBB8C0" w14:textId="77777777" w:rsidR="00E31FF9" w:rsidRDefault="00000000">
            <w:pPr>
              <w:spacing w:after="0" w:line="264" w:lineRule="auto"/>
            </w:pPr>
            <w:r>
              <w:rPr>
                <w:sz w:val="15"/>
              </w:rPr>
              <w:t>n8n maintains product; NCS patches its deployment</w:t>
            </w:r>
          </w:p>
        </w:tc>
        <w:tc>
          <w:tcPr>
            <w:tcW w:w="2491" w:type="dxa"/>
            <w:tcBorders>
              <w:bottom w:val="single" w:sz="4" w:space="0" w:color="D7E1E8"/>
            </w:tcBorders>
            <w:tcMar>
              <w:top w:w="115" w:type="dxa"/>
              <w:left w:w="120" w:type="dxa"/>
              <w:bottom w:w="115" w:type="dxa"/>
              <w:right w:w="120" w:type="dxa"/>
            </w:tcMar>
            <w:vAlign w:val="center"/>
          </w:tcPr>
          <w:p w14:paraId="294B5CEB" w14:textId="77777777" w:rsidR="00E31FF9" w:rsidRDefault="00000000">
            <w:pPr>
              <w:spacing w:after="0" w:line="264" w:lineRule="auto"/>
            </w:pPr>
            <w:r>
              <w:rPr>
                <w:sz w:val="15"/>
              </w:rPr>
              <w:t>Vendor-maintained core; support depends on agreement</w:t>
            </w:r>
          </w:p>
        </w:tc>
        <w:tc>
          <w:tcPr>
            <w:tcW w:w="3442" w:type="dxa"/>
            <w:tcBorders>
              <w:bottom w:val="single" w:sz="4" w:space="0" w:color="D7E1E8"/>
            </w:tcBorders>
            <w:tcMar>
              <w:top w:w="115" w:type="dxa"/>
              <w:left w:w="120" w:type="dxa"/>
              <w:bottom w:w="115" w:type="dxa"/>
              <w:right w:w="120" w:type="dxa"/>
            </w:tcMar>
            <w:vAlign w:val="center"/>
          </w:tcPr>
          <w:p w14:paraId="4B385B91" w14:textId="77777777" w:rsidR="00E31FF9" w:rsidRDefault="00000000">
            <w:pPr>
              <w:spacing w:after="0" w:line="264" w:lineRule="auto"/>
            </w:pPr>
            <w:r>
              <w:rPr>
                <w:sz w:val="15"/>
              </w:rPr>
              <w:t>NCS patches custom code, dependencies and connectors</w:t>
            </w:r>
          </w:p>
        </w:tc>
      </w:tr>
      <w:tr w:rsidR="00E31FF9" w14:paraId="1FBC1D3F" w14:textId="77777777">
        <w:trPr>
          <w:jc w:val="center"/>
        </w:trPr>
        <w:tc>
          <w:tcPr>
            <w:tcW w:w="1642" w:type="dxa"/>
            <w:tcBorders>
              <w:bottom w:val="single" w:sz="4" w:space="0" w:color="D7E1E8"/>
            </w:tcBorders>
            <w:shd w:val="clear" w:color="auto" w:fill="F0F5F8"/>
            <w:tcMar>
              <w:top w:w="115" w:type="dxa"/>
              <w:left w:w="120" w:type="dxa"/>
              <w:bottom w:w="115" w:type="dxa"/>
              <w:right w:w="120" w:type="dxa"/>
            </w:tcMar>
            <w:vAlign w:val="center"/>
          </w:tcPr>
          <w:p w14:paraId="296A015E" w14:textId="77777777" w:rsidR="00E31FF9" w:rsidRDefault="00000000">
            <w:pPr>
              <w:spacing w:after="0" w:line="264" w:lineRule="auto"/>
            </w:pPr>
            <w:r>
              <w:rPr>
                <w:b/>
                <w:sz w:val="15"/>
              </w:rPr>
              <w:t>Ownership costs</w:t>
            </w:r>
          </w:p>
        </w:tc>
        <w:tc>
          <w:tcPr>
            <w:tcW w:w="2448" w:type="dxa"/>
            <w:tcBorders>
              <w:bottom w:val="single" w:sz="4" w:space="0" w:color="D7E1E8"/>
            </w:tcBorders>
            <w:tcMar>
              <w:top w:w="115" w:type="dxa"/>
              <w:left w:w="120" w:type="dxa"/>
              <w:bottom w:w="115" w:type="dxa"/>
              <w:right w:w="120" w:type="dxa"/>
            </w:tcMar>
            <w:vAlign w:val="center"/>
          </w:tcPr>
          <w:p w14:paraId="62C3329C" w14:textId="77777777" w:rsidR="00E31FF9" w:rsidRDefault="00000000">
            <w:pPr>
              <w:spacing w:after="0" w:line="264" w:lineRule="auto"/>
            </w:pPr>
            <w:r>
              <w:rPr>
                <w:sz w:val="15"/>
              </w:rPr>
              <w:t>No Community license fee; hosting and operational support</w:t>
            </w:r>
          </w:p>
        </w:tc>
        <w:tc>
          <w:tcPr>
            <w:tcW w:w="2491" w:type="dxa"/>
            <w:tcBorders>
              <w:bottom w:val="single" w:sz="4" w:space="0" w:color="D7E1E8"/>
            </w:tcBorders>
            <w:tcMar>
              <w:top w:w="115" w:type="dxa"/>
              <w:left w:w="120" w:type="dxa"/>
              <w:bottom w:w="115" w:type="dxa"/>
              <w:right w:w="120" w:type="dxa"/>
            </w:tcMar>
            <w:vAlign w:val="center"/>
          </w:tcPr>
          <w:p w14:paraId="7579851A" w14:textId="77777777" w:rsidR="00E31FF9" w:rsidRDefault="00000000">
            <w:pPr>
              <w:spacing w:after="0" w:line="264" w:lineRule="auto"/>
            </w:pPr>
            <w:r>
              <w:rPr>
                <w:sz w:val="15"/>
              </w:rPr>
              <w:t>Subscription plus hosting/support when self-hosted</w:t>
            </w:r>
          </w:p>
        </w:tc>
        <w:tc>
          <w:tcPr>
            <w:tcW w:w="3442" w:type="dxa"/>
            <w:tcBorders>
              <w:bottom w:val="single" w:sz="4" w:space="0" w:color="D7E1E8"/>
            </w:tcBorders>
            <w:tcMar>
              <w:top w:w="115" w:type="dxa"/>
              <w:left w:w="120" w:type="dxa"/>
              <w:bottom w:w="115" w:type="dxa"/>
              <w:right w:w="120" w:type="dxa"/>
            </w:tcMar>
            <w:vAlign w:val="center"/>
          </w:tcPr>
          <w:p w14:paraId="51F42F01" w14:textId="77777777" w:rsidR="00E31FF9" w:rsidRDefault="00000000">
            <w:pPr>
              <w:spacing w:after="0" w:line="264" w:lineRule="auto"/>
            </w:pPr>
            <w:r>
              <w:rPr>
                <w:sz w:val="15"/>
              </w:rPr>
              <w:t>No n8n engine fee; higher initial engineering and long-term technical maintenance</w:t>
            </w:r>
          </w:p>
        </w:tc>
      </w:tr>
    </w:tbl>
    <w:p w14:paraId="0EBAB23C" w14:textId="77777777" w:rsidR="00E31FF9" w:rsidRDefault="00000000">
      <w:pPr>
        <w:spacing w:before="120" w:after="140"/>
      </w:pPr>
      <w:r>
        <w:rPr>
          <w:i/>
          <w:color w:val="627181"/>
          <w:sz w:val="17"/>
        </w:rPr>
        <w:t>Custom-platform capabilities are intended outcomes, not yet verified performance. Paid n8n features vary by plan. Both approaches can be paired with NCS's internal LLM and managed credentials.</w:t>
      </w:r>
    </w:p>
    <w:p w14:paraId="2B54720D" w14:textId="77777777" w:rsidR="00E31FF9" w:rsidRDefault="00000000">
      <w:r>
        <w:br w:type="page"/>
      </w:r>
    </w:p>
    <w:p w14:paraId="61A836C9" w14:textId="77777777" w:rsidR="00E31FF9" w:rsidRDefault="00000000">
      <w:pPr>
        <w:pStyle w:val="Heading1"/>
      </w:pPr>
      <w:r>
        <w:lastRenderedPageBreak/>
        <w:t>Where the custom approach can add value</w:t>
      </w:r>
    </w:p>
    <w:p w14:paraId="0D4AA39A" w14:textId="77777777" w:rsidR="00E31FF9" w:rsidRDefault="00000000">
      <w:pPr>
        <w:keepLines/>
        <w:spacing w:after="200"/>
      </w:pPr>
      <w:r>
        <w:rPr>
          <w:b/>
          <w:color w:val="183653"/>
        </w:rPr>
        <w:t xml:space="preserve">01  Non-technical workflow changes.  </w:t>
      </w:r>
      <w:r>
        <w:t>The CodeSpark Team could ask the internal LLM to change a notification, add an existing approval block or adjust a severity condition. The proposed change is checked against a constrained workflow schema, simulated and approved before publishing. Existing connector code remains unchanged.</w:t>
      </w:r>
    </w:p>
    <w:p w14:paraId="0372F19D" w14:textId="77777777" w:rsidR="00E31FF9" w:rsidRDefault="00000000">
      <w:pPr>
        <w:keepLines/>
        <w:spacing w:after="200"/>
      </w:pPr>
      <w:r>
        <w:rPr>
          <w:b/>
          <w:color w:val="183653"/>
        </w:rPr>
        <w:t xml:space="preserve">02  Controlled enterprise access.  </w:t>
      </w:r>
      <w:r>
        <w:t>Workflow authors use approved Jira, Confluence and Teams blocks without receiving service-account tokens. Backend connectors use centrally managed credentials and apply scoped permissions; write actions require independent authorization. n8n can use managed credentials too, so this is a governance-design goal, not a unique property of custom software.</w:t>
      </w:r>
    </w:p>
    <w:p w14:paraId="6BABBD05" w14:textId="77777777" w:rsidR="00E31FF9" w:rsidRDefault="00000000">
      <w:pPr>
        <w:keepLines/>
        <w:spacing w:after="200"/>
      </w:pPr>
      <w:r>
        <w:rPr>
          <w:b/>
          <w:color w:val="183653"/>
        </w:rPr>
        <w:t xml:space="preserve">03  Reusable building blocks.  </w:t>
      </w:r>
      <w:r>
        <w:t>New operational workflows can be composed from tested blocks and versioned configurations. New connector code is a different task: it still requires technical review, security testing and an engineering owner.</w:t>
      </w:r>
    </w:p>
    <w:p w14:paraId="367F505E" w14:textId="77777777" w:rsidR="00E31FF9" w:rsidRDefault="00000000">
      <w:pPr>
        <w:keepLines/>
        <w:spacing w:after="200"/>
      </w:pPr>
      <w:r>
        <w:rPr>
          <w:b/>
          <w:color w:val="183653"/>
        </w:rPr>
        <w:t xml:space="preserve">04  NCS-directed development.  </w:t>
      </w:r>
      <w:r>
        <w:t>A custom platform can prioritize NCS-specific workflow behaviour and internal AI integration without depending on n8n's execution model or licensing roadmap. This flexibility must be weighed against ongoing support obligations.</w:t>
      </w:r>
    </w:p>
    <w:p w14:paraId="4D3B0130" w14:textId="77777777" w:rsidR="00E31FF9" w:rsidRDefault="00000000">
      <w:pPr>
        <w:pStyle w:val="Heading1"/>
      </w:pPr>
      <w:r>
        <w:t>Maintenance after handover: two distinct responsibilities</w:t>
      </w:r>
    </w:p>
    <w:tbl>
      <w:tblPr>
        <w:tblW w:w="0" w:type="auto"/>
        <w:jc w:val="center"/>
        <w:tblLayout w:type="fixed"/>
        <w:tblLook w:val="04A0" w:firstRow="1" w:lastRow="0" w:firstColumn="1" w:lastColumn="0" w:noHBand="0" w:noVBand="1"/>
      </w:tblPr>
      <w:tblGrid>
        <w:gridCol w:w="5026"/>
        <w:gridCol w:w="5026"/>
      </w:tblGrid>
      <w:tr w:rsidR="00E31FF9" w14:paraId="7E9DE6DB" w14:textId="77777777">
        <w:trPr>
          <w:jc w:val="center"/>
        </w:trPr>
        <w:tc>
          <w:tcPr>
            <w:tcW w:w="5026" w:type="dxa"/>
            <w:shd w:val="clear" w:color="auto" w:fill="183653"/>
            <w:tcMar>
              <w:top w:w="130" w:type="dxa"/>
              <w:left w:w="120" w:type="dxa"/>
              <w:bottom w:w="130" w:type="dxa"/>
              <w:right w:w="120" w:type="dxa"/>
            </w:tcMar>
            <w:vAlign w:val="center"/>
          </w:tcPr>
          <w:p w14:paraId="6BA95C83" w14:textId="77777777" w:rsidR="00E31FF9" w:rsidRDefault="00000000">
            <w:pPr>
              <w:spacing w:after="0" w:line="257" w:lineRule="auto"/>
            </w:pPr>
            <w:r>
              <w:rPr>
                <w:b/>
                <w:color w:val="FFFFFF"/>
                <w:sz w:val="16"/>
              </w:rPr>
              <w:t>Workflow-level maintenance</w:t>
            </w:r>
          </w:p>
        </w:tc>
        <w:tc>
          <w:tcPr>
            <w:tcW w:w="5026" w:type="dxa"/>
            <w:shd w:val="clear" w:color="auto" w:fill="183653"/>
            <w:tcMar>
              <w:top w:w="130" w:type="dxa"/>
              <w:left w:w="120" w:type="dxa"/>
              <w:bottom w:w="130" w:type="dxa"/>
              <w:right w:w="120" w:type="dxa"/>
            </w:tcMar>
            <w:vAlign w:val="center"/>
          </w:tcPr>
          <w:p w14:paraId="5B4EF1C5" w14:textId="77777777" w:rsidR="00E31FF9" w:rsidRDefault="00000000">
            <w:pPr>
              <w:spacing w:after="0" w:line="257" w:lineRule="auto"/>
            </w:pPr>
            <w:r>
              <w:rPr>
                <w:b/>
                <w:color w:val="FFFFFF"/>
                <w:sz w:val="16"/>
              </w:rPr>
              <w:t>Platform-level maintenance</w:t>
            </w:r>
          </w:p>
        </w:tc>
      </w:tr>
      <w:tr w:rsidR="00E31FF9" w14:paraId="759CEAA0" w14:textId="77777777">
        <w:trPr>
          <w:jc w:val="center"/>
        </w:trPr>
        <w:tc>
          <w:tcPr>
            <w:tcW w:w="5026" w:type="dxa"/>
            <w:tcBorders>
              <w:bottom w:val="single" w:sz="4" w:space="0" w:color="D7E1E8"/>
            </w:tcBorders>
            <w:shd w:val="clear" w:color="auto" w:fill="F0F5F8"/>
            <w:tcMar>
              <w:top w:w="115" w:type="dxa"/>
              <w:left w:w="120" w:type="dxa"/>
              <w:bottom w:w="115" w:type="dxa"/>
              <w:right w:w="120" w:type="dxa"/>
            </w:tcMar>
            <w:vAlign w:val="center"/>
          </w:tcPr>
          <w:p w14:paraId="0AAE6D07" w14:textId="77777777" w:rsidR="00E31FF9" w:rsidRDefault="00000000">
            <w:pPr>
              <w:spacing w:after="0" w:line="264" w:lineRule="auto"/>
            </w:pPr>
            <w:r>
              <w:rPr>
                <w:b/>
                <w:sz w:val="16"/>
              </w:rPr>
              <w:t>Change a schedule, recipient, condition or existing approval block.</w:t>
            </w:r>
          </w:p>
        </w:tc>
        <w:tc>
          <w:tcPr>
            <w:tcW w:w="5026" w:type="dxa"/>
            <w:tcBorders>
              <w:bottom w:val="single" w:sz="4" w:space="0" w:color="D7E1E8"/>
            </w:tcBorders>
            <w:tcMar>
              <w:top w:w="115" w:type="dxa"/>
              <w:left w:w="120" w:type="dxa"/>
              <w:bottom w:w="115" w:type="dxa"/>
              <w:right w:w="120" w:type="dxa"/>
            </w:tcMar>
            <w:vAlign w:val="center"/>
          </w:tcPr>
          <w:p w14:paraId="6099569F" w14:textId="77777777" w:rsidR="00E31FF9" w:rsidRDefault="00000000">
            <w:pPr>
              <w:spacing w:after="0" w:line="264" w:lineRule="auto"/>
            </w:pPr>
            <w:r>
              <w:rPr>
                <w:sz w:val="16"/>
              </w:rPr>
              <w:t>Patch vulnerabilities, upgrade framework dependencies or modify authentication/connector code.</w:t>
            </w:r>
          </w:p>
        </w:tc>
      </w:tr>
      <w:tr w:rsidR="00E31FF9" w14:paraId="775EF2D7" w14:textId="77777777">
        <w:trPr>
          <w:jc w:val="center"/>
        </w:trPr>
        <w:tc>
          <w:tcPr>
            <w:tcW w:w="5026" w:type="dxa"/>
            <w:tcBorders>
              <w:bottom w:val="single" w:sz="4" w:space="0" w:color="D7E1E8"/>
            </w:tcBorders>
            <w:shd w:val="clear" w:color="auto" w:fill="F0F5F8"/>
            <w:tcMar>
              <w:top w:w="115" w:type="dxa"/>
              <w:left w:w="120" w:type="dxa"/>
              <w:bottom w:w="115" w:type="dxa"/>
              <w:right w:w="120" w:type="dxa"/>
            </w:tcMar>
            <w:vAlign w:val="center"/>
          </w:tcPr>
          <w:p w14:paraId="1FE1E64D" w14:textId="77777777" w:rsidR="00E31FF9" w:rsidRDefault="00000000">
            <w:pPr>
              <w:spacing w:after="0" w:line="264" w:lineRule="auto"/>
            </w:pPr>
            <w:r>
              <w:rPr>
                <w:b/>
                <w:sz w:val="16"/>
              </w:rPr>
              <w:t>Target user: CodeSpark staff using natural language with controlled preview and validation.</w:t>
            </w:r>
          </w:p>
        </w:tc>
        <w:tc>
          <w:tcPr>
            <w:tcW w:w="5026" w:type="dxa"/>
            <w:tcBorders>
              <w:bottom w:val="single" w:sz="4" w:space="0" w:color="D7E1E8"/>
            </w:tcBorders>
            <w:tcMar>
              <w:top w:w="115" w:type="dxa"/>
              <w:left w:w="120" w:type="dxa"/>
              <w:bottom w:w="115" w:type="dxa"/>
              <w:right w:w="120" w:type="dxa"/>
            </w:tcMar>
            <w:vAlign w:val="center"/>
          </w:tcPr>
          <w:p w14:paraId="384CDA49" w14:textId="77777777" w:rsidR="00E31FF9" w:rsidRDefault="00000000">
            <w:pPr>
              <w:spacing w:after="0" w:line="264" w:lineRule="auto"/>
            </w:pPr>
            <w:r>
              <w:rPr>
                <w:sz w:val="16"/>
              </w:rPr>
              <w:t>Required owner: qualified engineering/DevSecOps support; internal AI may assist but not replace review.</w:t>
            </w:r>
          </w:p>
        </w:tc>
      </w:tr>
      <w:tr w:rsidR="00E31FF9" w14:paraId="0D2B1F85" w14:textId="77777777">
        <w:trPr>
          <w:jc w:val="center"/>
        </w:trPr>
        <w:tc>
          <w:tcPr>
            <w:tcW w:w="5026" w:type="dxa"/>
            <w:tcBorders>
              <w:bottom w:val="single" w:sz="4" w:space="0" w:color="D7E1E8"/>
            </w:tcBorders>
            <w:shd w:val="clear" w:color="auto" w:fill="F0F5F8"/>
            <w:tcMar>
              <w:top w:w="115" w:type="dxa"/>
              <w:left w:w="120" w:type="dxa"/>
              <w:bottom w:w="115" w:type="dxa"/>
              <w:right w:w="120" w:type="dxa"/>
            </w:tcMar>
            <w:vAlign w:val="center"/>
          </w:tcPr>
          <w:p w14:paraId="10971785" w14:textId="77777777" w:rsidR="00E31FF9" w:rsidRDefault="00000000">
            <w:pPr>
              <w:spacing w:after="0" w:line="264" w:lineRule="auto"/>
            </w:pPr>
            <w:r>
              <w:rPr>
                <w:b/>
                <w:sz w:val="16"/>
              </w:rPr>
              <w:t>Safety controls: schema checks, simulation, authorization, versioning and rollback.</w:t>
            </w:r>
          </w:p>
        </w:tc>
        <w:tc>
          <w:tcPr>
            <w:tcW w:w="5026" w:type="dxa"/>
            <w:tcBorders>
              <w:bottom w:val="single" w:sz="4" w:space="0" w:color="D7E1E8"/>
            </w:tcBorders>
            <w:tcMar>
              <w:top w:w="115" w:type="dxa"/>
              <w:left w:w="120" w:type="dxa"/>
              <w:bottom w:w="115" w:type="dxa"/>
              <w:right w:w="120" w:type="dxa"/>
            </w:tcMar>
            <w:vAlign w:val="center"/>
          </w:tcPr>
          <w:p w14:paraId="0F6E1512" w14:textId="77777777" w:rsidR="00E31FF9" w:rsidRDefault="00000000">
            <w:pPr>
              <w:spacing w:after="0" w:line="264" w:lineRule="auto"/>
            </w:pPr>
            <w:r>
              <w:rPr>
                <w:sz w:val="16"/>
              </w:rPr>
              <w:t>Safety controls: vulnerability scanning, CI/CD, regression tests, runbooks and incident escalation.</w:t>
            </w:r>
          </w:p>
        </w:tc>
      </w:tr>
    </w:tbl>
    <w:p w14:paraId="4A64EBD6" w14:textId="77777777" w:rsidR="00E31FF9" w:rsidRDefault="00000000">
      <w:pPr>
        <w:pStyle w:val="Heading1"/>
      </w:pPr>
      <w:r>
        <w:t>Focused implementation approach</w:t>
      </w:r>
    </w:p>
    <w:p w14:paraId="1CB84544" w14:textId="77777777" w:rsidR="00E31FF9" w:rsidRDefault="00000000">
      <w:r>
        <w:t>We propose using established services for identity, secrets and infrastructure rather than rebuilding them. Our development focus will be configuration-driven LangGraph orchestration, reusable blocks, a focused natural-language editor, approval enforcement and audit evidence. We would prioritize these capabilities over advanced visualizations, general-purpose AI-generated connectors or production-scale features during the capstone.</w:t>
      </w:r>
    </w:p>
    <w:p w14:paraId="6445F0FB" w14:textId="77777777" w:rsidR="00E31FF9" w:rsidRDefault="00000000">
      <w:r>
        <w:br w:type="page"/>
      </w:r>
    </w:p>
    <w:p w14:paraId="6A3ABE9F" w14:textId="77777777" w:rsidR="00E31FF9" w:rsidRDefault="00000000">
      <w:pPr>
        <w:pStyle w:val="Heading1"/>
      </w:pPr>
      <w:r>
        <w:lastRenderedPageBreak/>
        <w:t>Proposed delivery focus: November 2026 to April 2027</w:t>
      </w:r>
    </w:p>
    <w:p w14:paraId="6AAFDA1D" w14:textId="77777777" w:rsidR="00E31FF9" w:rsidRDefault="00000000">
      <w:r>
        <w:t>The milestones prioritize a working November MVP, followed by AI-assisted maintenance and a focused n8n evaluation ahead of the April 2027 final presentation. We welcome your feedback to align the plan with NCS objectives; any material changes to the agreed scope will be confirmed together.</w:t>
      </w:r>
    </w:p>
    <w:tbl>
      <w:tblPr>
        <w:tblW w:w="0" w:type="auto"/>
        <w:jc w:val="center"/>
        <w:tblLayout w:type="fixed"/>
        <w:tblLook w:val="04A0" w:firstRow="1" w:lastRow="0" w:firstColumn="1" w:lastColumn="0" w:noHBand="0" w:noVBand="1"/>
      </w:tblPr>
      <w:tblGrid>
        <w:gridCol w:w="1728"/>
        <w:gridCol w:w="3859"/>
        <w:gridCol w:w="4464"/>
      </w:tblGrid>
      <w:tr w:rsidR="00E31FF9" w14:paraId="6A3C30F5" w14:textId="77777777">
        <w:trPr>
          <w:jc w:val="center"/>
        </w:trPr>
        <w:tc>
          <w:tcPr>
            <w:tcW w:w="1728" w:type="dxa"/>
            <w:shd w:val="clear" w:color="auto" w:fill="183653"/>
            <w:tcMar>
              <w:top w:w="130" w:type="dxa"/>
              <w:left w:w="120" w:type="dxa"/>
              <w:bottom w:w="130" w:type="dxa"/>
              <w:right w:w="120" w:type="dxa"/>
            </w:tcMar>
            <w:vAlign w:val="center"/>
          </w:tcPr>
          <w:p w14:paraId="774F6A24" w14:textId="77777777" w:rsidR="00E31FF9" w:rsidRDefault="00000000">
            <w:pPr>
              <w:spacing w:after="0" w:line="257" w:lineRule="auto"/>
            </w:pPr>
            <w:r>
              <w:rPr>
                <w:b/>
                <w:color w:val="FFFFFF"/>
                <w:sz w:val="16"/>
              </w:rPr>
              <w:t>When</w:t>
            </w:r>
          </w:p>
        </w:tc>
        <w:tc>
          <w:tcPr>
            <w:tcW w:w="3859" w:type="dxa"/>
            <w:shd w:val="clear" w:color="auto" w:fill="183653"/>
            <w:tcMar>
              <w:top w:w="130" w:type="dxa"/>
              <w:left w:w="120" w:type="dxa"/>
              <w:bottom w:w="130" w:type="dxa"/>
              <w:right w:w="120" w:type="dxa"/>
            </w:tcMar>
            <w:vAlign w:val="center"/>
          </w:tcPr>
          <w:p w14:paraId="3CA7DE97" w14:textId="77777777" w:rsidR="00E31FF9" w:rsidRDefault="00000000">
            <w:pPr>
              <w:spacing w:after="0" w:line="257" w:lineRule="auto"/>
            </w:pPr>
            <w:r>
              <w:rPr>
                <w:b/>
                <w:color w:val="FFFFFF"/>
                <w:sz w:val="16"/>
              </w:rPr>
              <w:t>Proposed focus</w:t>
            </w:r>
          </w:p>
        </w:tc>
        <w:tc>
          <w:tcPr>
            <w:tcW w:w="4464" w:type="dxa"/>
            <w:shd w:val="clear" w:color="auto" w:fill="183653"/>
            <w:tcMar>
              <w:top w:w="130" w:type="dxa"/>
              <w:left w:w="120" w:type="dxa"/>
              <w:bottom w:w="130" w:type="dxa"/>
              <w:right w:w="120" w:type="dxa"/>
            </w:tcMar>
            <w:vAlign w:val="center"/>
          </w:tcPr>
          <w:p w14:paraId="0F1315E8" w14:textId="77777777" w:rsidR="00E31FF9" w:rsidRDefault="00000000">
            <w:pPr>
              <w:spacing w:after="0" w:line="257" w:lineRule="auto"/>
            </w:pPr>
            <w:r>
              <w:rPr>
                <w:b/>
                <w:color w:val="FFFFFF"/>
                <w:sz w:val="16"/>
              </w:rPr>
              <w:t>Evidence / outcome</w:t>
            </w:r>
          </w:p>
        </w:tc>
      </w:tr>
      <w:tr w:rsidR="00E31FF9" w14:paraId="0F8A4F46" w14:textId="77777777">
        <w:trPr>
          <w:jc w:val="center"/>
        </w:trPr>
        <w:tc>
          <w:tcPr>
            <w:tcW w:w="1728" w:type="dxa"/>
            <w:tcBorders>
              <w:bottom w:val="single" w:sz="4" w:space="0" w:color="D7E1E8"/>
            </w:tcBorders>
            <w:shd w:val="clear" w:color="auto" w:fill="F0F5F8"/>
            <w:tcMar>
              <w:top w:w="115" w:type="dxa"/>
              <w:left w:w="120" w:type="dxa"/>
              <w:bottom w:w="115" w:type="dxa"/>
              <w:right w:w="120" w:type="dxa"/>
            </w:tcMar>
            <w:vAlign w:val="center"/>
          </w:tcPr>
          <w:p w14:paraId="222F1261" w14:textId="77777777" w:rsidR="00E31FF9" w:rsidRDefault="00000000">
            <w:pPr>
              <w:spacing w:after="0" w:line="264" w:lineRule="auto"/>
            </w:pPr>
            <w:r>
              <w:rPr>
                <w:b/>
                <w:sz w:val="16"/>
              </w:rPr>
              <w:t>Nov 2026 midterm</w:t>
            </w:r>
          </w:p>
        </w:tc>
        <w:tc>
          <w:tcPr>
            <w:tcW w:w="3859" w:type="dxa"/>
            <w:tcBorders>
              <w:bottom w:val="single" w:sz="4" w:space="0" w:color="D7E1E8"/>
            </w:tcBorders>
            <w:tcMar>
              <w:top w:w="115" w:type="dxa"/>
              <w:left w:w="120" w:type="dxa"/>
              <w:bottom w:w="115" w:type="dxa"/>
              <w:right w:w="120" w:type="dxa"/>
            </w:tcMar>
            <w:vAlign w:val="center"/>
          </w:tcPr>
          <w:p w14:paraId="02E0D1E2" w14:textId="77777777" w:rsidR="00E31FF9" w:rsidRDefault="00000000">
            <w:pPr>
              <w:spacing w:after="0" w:line="264" w:lineRule="auto"/>
            </w:pPr>
            <w:r>
              <w:t>Deliver the core GitHub release-monitoring MVP.</w:t>
            </w:r>
          </w:p>
        </w:tc>
        <w:tc>
          <w:tcPr>
            <w:tcW w:w="4464" w:type="dxa"/>
            <w:tcBorders>
              <w:bottom w:val="single" w:sz="4" w:space="0" w:color="D7E1E8"/>
            </w:tcBorders>
            <w:tcMar>
              <w:top w:w="115" w:type="dxa"/>
              <w:left w:w="120" w:type="dxa"/>
              <w:bottom w:w="115" w:type="dxa"/>
              <w:right w:w="120" w:type="dxa"/>
            </w:tcMar>
            <w:vAlign w:val="center"/>
          </w:tcPr>
          <w:p w14:paraId="05E078E3" w14:textId="77777777" w:rsidR="00E31FF9" w:rsidRDefault="00000000">
            <w:pPr>
              <w:spacing w:after="0" w:line="264" w:lineRule="auto"/>
            </w:pPr>
            <w:r>
              <w:rPr>
                <w:sz w:val="16"/>
              </w:rPr>
              <w:t>GitHub read → Confluence comparison → AI summary → Teams approval → Jira ticket → audit evidence; show approval-rejection behaviour.</w:t>
            </w:r>
          </w:p>
        </w:tc>
      </w:tr>
      <w:tr w:rsidR="00E31FF9" w14:paraId="7B43F8A7" w14:textId="77777777">
        <w:trPr>
          <w:jc w:val="center"/>
        </w:trPr>
        <w:tc>
          <w:tcPr>
            <w:tcW w:w="1728" w:type="dxa"/>
            <w:tcBorders>
              <w:bottom w:val="single" w:sz="4" w:space="0" w:color="D7E1E8"/>
            </w:tcBorders>
            <w:shd w:val="clear" w:color="auto" w:fill="F0F5F8"/>
            <w:tcMar>
              <w:top w:w="115" w:type="dxa"/>
              <w:left w:w="120" w:type="dxa"/>
              <w:bottom w:w="115" w:type="dxa"/>
              <w:right w:w="120" w:type="dxa"/>
            </w:tcMar>
            <w:vAlign w:val="center"/>
          </w:tcPr>
          <w:p w14:paraId="480FDA61" w14:textId="77777777" w:rsidR="00E31FF9" w:rsidRDefault="00000000">
            <w:pPr>
              <w:spacing w:after="0" w:line="264" w:lineRule="auto"/>
            </w:pPr>
            <w:r>
              <w:rPr>
                <w:b/>
                <w:sz w:val="16"/>
              </w:rPr>
              <w:t>Dec 2026 – Jan 2027</w:t>
            </w:r>
          </w:p>
        </w:tc>
        <w:tc>
          <w:tcPr>
            <w:tcW w:w="3859" w:type="dxa"/>
            <w:tcBorders>
              <w:bottom w:val="single" w:sz="4" w:space="0" w:color="D7E1E8"/>
            </w:tcBorders>
            <w:tcMar>
              <w:top w:w="115" w:type="dxa"/>
              <w:left w:w="120" w:type="dxa"/>
              <w:bottom w:w="115" w:type="dxa"/>
              <w:right w:w="120" w:type="dxa"/>
            </w:tcMar>
            <w:vAlign w:val="center"/>
          </w:tcPr>
          <w:p w14:paraId="2339A168" w14:textId="77777777" w:rsidR="00E31FF9" w:rsidRDefault="00000000">
            <w:pPr>
              <w:spacing w:after="0" w:line="264" w:lineRule="auto"/>
            </w:pPr>
            <w:r>
              <w:rPr>
                <w:sz w:val="16"/>
              </w:rPr>
              <w:t>Introduce configuration-driven workflows and a basic natural-language modification experience.</w:t>
            </w:r>
          </w:p>
        </w:tc>
        <w:tc>
          <w:tcPr>
            <w:tcW w:w="4464" w:type="dxa"/>
            <w:tcBorders>
              <w:bottom w:val="single" w:sz="4" w:space="0" w:color="D7E1E8"/>
            </w:tcBorders>
            <w:tcMar>
              <w:top w:w="115" w:type="dxa"/>
              <w:left w:w="120" w:type="dxa"/>
              <w:bottom w:w="115" w:type="dxa"/>
              <w:right w:w="120" w:type="dxa"/>
            </w:tcMar>
            <w:vAlign w:val="center"/>
          </w:tcPr>
          <w:p w14:paraId="74F1CC9F" w14:textId="77777777" w:rsidR="00E31FF9" w:rsidRDefault="00000000">
            <w:pPr>
              <w:spacing w:after="0" w:line="264" w:lineRule="auto"/>
            </w:pPr>
            <w:r>
              <w:rPr>
                <w:sz w:val="16"/>
              </w:rPr>
              <w:t>A supported change, such as inserting an approval block, is proposed and validated without editing connector code.</w:t>
            </w:r>
          </w:p>
        </w:tc>
      </w:tr>
      <w:tr w:rsidR="00E31FF9" w14:paraId="2D2EC91F" w14:textId="77777777">
        <w:trPr>
          <w:jc w:val="center"/>
        </w:trPr>
        <w:tc>
          <w:tcPr>
            <w:tcW w:w="1728" w:type="dxa"/>
            <w:tcBorders>
              <w:bottom w:val="single" w:sz="4" w:space="0" w:color="D7E1E8"/>
            </w:tcBorders>
            <w:shd w:val="clear" w:color="auto" w:fill="F0F5F8"/>
            <w:tcMar>
              <w:top w:w="115" w:type="dxa"/>
              <w:left w:w="120" w:type="dxa"/>
              <w:bottom w:w="115" w:type="dxa"/>
              <w:right w:w="120" w:type="dxa"/>
            </w:tcMar>
            <w:vAlign w:val="center"/>
          </w:tcPr>
          <w:p w14:paraId="79A71979" w14:textId="77777777" w:rsidR="00E31FF9" w:rsidRDefault="00000000">
            <w:pPr>
              <w:spacing w:after="0" w:line="264" w:lineRule="auto"/>
            </w:pPr>
            <w:r>
              <w:rPr>
                <w:b/>
                <w:sz w:val="16"/>
              </w:rPr>
              <w:t>Feb – Mar 2027</w:t>
            </w:r>
          </w:p>
        </w:tc>
        <w:tc>
          <w:tcPr>
            <w:tcW w:w="3859" w:type="dxa"/>
            <w:tcBorders>
              <w:bottom w:val="single" w:sz="4" w:space="0" w:color="D7E1E8"/>
            </w:tcBorders>
            <w:tcMar>
              <w:top w:w="115" w:type="dxa"/>
              <w:left w:w="120" w:type="dxa"/>
              <w:bottom w:w="115" w:type="dxa"/>
              <w:right w:w="120" w:type="dxa"/>
            </w:tcMar>
            <w:vAlign w:val="center"/>
          </w:tcPr>
          <w:p w14:paraId="1A892C13" w14:textId="77777777" w:rsidR="00E31FF9" w:rsidRDefault="00000000">
            <w:pPr>
              <w:spacing w:after="0" w:line="264" w:lineRule="auto"/>
            </w:pPr>
            <w:r>
              <w:t>Strengthen reliability, versioning and handover; explore priority sponsor extensions and run a limited n8n comparison.</w:t>
            </w:r>
          </w:p>
        </w:tc>
        <w:tc>
          <w:tcPr>
            <w:tcW w:w="4464" w:type="dxa"/>
            <w:tcBorders>
              <w:bottom w:val="single" w:sz="4" w:space="0" w:color="D7E1E8"/>
            </w:tcBorders>
            <w:tcMar>
              <w:top w:w="115" w:type="dxa"/>
              <w:left w:w="120" w:type="dxa"/>
              <w:bottom w:w="115" w:type="dxa"/>
              <w:right w:w="120" w:type="dxa"/>
            </w:tcMar>
            <w:vAlign w:val="center"/>
          </w:tcPr>
          <w:p w14:paraId="1B6C84C9" w14:textId="77777777" w:rsidR="00E31FF9" w:rsidRDefault="00000000">
            <w:pPr>
              <w:spacing w:after="0" w:line="264" w:lineRule="auto"/>
            </w:pPr>
            <w:r>
              <w:rPr>
                <w:sz w:val="16"/>
              </w:rPr>
              <w:t>Tests for workflow change, unauthorized write prevention, failed API recovery and rollback; compare equivalent user tasks.</w:t>
            </w:r>
          </w:p>
        </w:tc>
      </w:tr>
      <w:tr w:rsidR="00E31FF9" w14:paraId="34BEE75F" w14:textId="77777777">
        <w:trPr>
          <w:jc w:val="center"/>
        </w:trPr>
        <w:tc>
          <w:tcPr>
            <w:tcW w:w="1728" w:type="dxa"/>
            <w:tcBorders>
              <w:bottom w:val="single" w:sz="4" w:space="0" w:color="D7E1E8"/>
            </w:tcBorders>
            <w:shd w:val="clear" w:color="auto" w:fill="F0F5F8"/>
            <w:tcMar>
              <w:top w:w="115" w:type="dxa"/>
              <w:left w:w="120" w:type="dxa"/>
              <w:bottom w:w="115" w:type="dxa"/>
              <w:right w:w="120" w:type="dxa"/>
            </w:tcMar>
            <w:vAlign w:val="center"/>
          </w:tcPr>
          <w:p w14:paraId="76E66347" w14:textId="77777777" w:rsidR="00E31FF9" w:rsidRDefault="00000000">
            <w:pPr>
              <w:spacing w:after="0" w:line="264" w:lineRule="auto"/>
            </w:pPr>
            <w:r>
              <w:rPr>
                <w:b/>
                <w:sz w:val="16"/>
              </w:rPr>
              <w:t>Apr 2027 final</w:t>
            </w:r>
          </w:p>
        </w:tc>
        <w:tc>
          <w:tcPr>
            <w:tcW w:w="3859" w:type="dxa"/>
            <w:tcBorders>
              <w:bottom w:val="single" w:sz="4" w:space="0" w:color="D7E1E8"/>
            </w:tcBorders>
            <w:tcMar>
              <w:top w:w="115" w:type="dxa"/>
              <w:left w:w="120" w:type="dxa"/>
              <w:bottom w:w="115" w:type="dxa"/>
              <w:right w:w="120" w:type="dxa"/>
            </w:tcMar>
            <w:vAlign w:val="center"/>
          </w:tcPr>
          <w:p w14:paraId="7F7BA3C2" w14:textId="77777777" w:rsidR="00E31FF9" w:rsidRDefault="00000000">
            <w:pPr>
              <w:spacing w:after="0" w:line="264" w:lineRule="auto"/>
            </w:pPr>
            <w:r>
              <w:rPr>
                <w:sz w:val="16"/>
              </w:rPr>
              <w:t>Demonstrate outcomes and provide technical handover.</w:t>
            </w:r>
          </w:p>
        </w:tc>
        <w:tc>
          <w:tcPr>
            <w:tcW w:w="4464" w:type="dxa"/>
            <w:tcBorders>
              <w:bottom w:val="single" w:sz="4" w:space="0" w:color="D7E1E8"/>
            </w:tcBorders>
            <w:tcMar>
              <w:top w:w="115" w:type="dxa"/>
              <w:left w:w="120" w:type="dxa"/>
              <w:bottom w:w="115" w:type="dxa"/>
              <w:right w:w="120" w:type="dxa"/>
            </w:tcMar>
            <w:vAlign w:val="center"/>
          </w:tcPr>
          <w:p w14:paraId="45464B2D" w14:textId="77777777" w:rsidR="00E31FF9" w:rsidRDefault="00000000">
            <w:pPr>
              <w:spacing w:after="0" w:line="264" w:lineRule="auto"/>
            </w:pPr>
            <w:r>
              <w:rPr>
                <w:sz w:val="16"/>
              </w:rPr>
              <w:t>Working capstone demonstration, measured comparison, deployment documentation and ownership recommendations.</w:t>
            </w:r>
          </w:p>
        </w:tc>
      </w:tr>
    </w:tbl>
    <w:p w14:paraId="1ABF022D" w14:textId="77777777" w:rsidR="00E31FF9" w:rsidRDefault="00000000">
      <w:pPr>
        <w:pStyle w:val="Heading1"/>
      </w:pPr>
      <w:r>
        <w:t>Lean, fair n8n benchmark</w:t>
      </w:r>
    </w:p>
    <w:p w14:paraId="2CC349F2" w14:textId="77777777" w:rsidR="00E31FF9" w:rsidRDefault="00000000">
      <w:r>
        <w:t>After the custom MVP is stable, build the equivalent GitHub-to-Jira release workflow in n8n Community. Compare the same change requests with the same internal LLM assistance where feasible; document which paid n8n features would materially affect the result rather than implementing a full paid environment.</w:t>
      </w:r>
    </w:p>
    <w:p w14:paraId="5AF89B55" w14:textId="77777777" w:rsidR="00E31FF9" w:rsidRDefault="00000000">
      <w:pPr>
        <w:keepLines/>
        <w:spacing w:after="200"/>
      </w:pPr>
      <w:r>
        <w:rPr>
          <w:b/>
          <w:color w:val="183653"/>
        </w:rPr>
        <w:t xml:space="preserve">Measure.  </w:t>
      </w:r>
      <w:r>
        <w:t>Non-technical task completion and change time; unauthorized writes blocked; approval integrity; recovery from failures; effort to add an existing vs new connector; and indicative three-to-five-year ownership costs.</w:t>
      </w:r>
    </w:p>
    <w:p w14:paraId="0E6C0497" w14:textId="77777777" w:rsidR="00E31FF9" w:rsidRDefault="00000000">
      <w:pPr>
        <w:keepLines/>
        <w:spacing w:after="200"/>
      </w:pPr>
      <w:r>
        <w:rPr>
          <w:b/>
          <w:color w:val="183653"/>
        </w:rPr>
        <w:t xml:space="preserve">Focused scope.  </w:t>
      </w:r>
      <w:r>
        <w:t>We propose one benchmark workflow and a small set of maintenance tasks, rather than building a second complete platform.</w:t>
      </w:r>
    </w:p>
    <w:p w14:paraId="60F8E03B" w14:textId="19E81C6C" w:rsidR="00E31FF9" w:rsidRDefault="00000000">
      <w:pPr>
        <w:pStyle w:val="Heading1"/>
      </w:pPr>
      <w:r>
        <w:t>Proposed next steps</w:t>
      </w:r>
    </w:p>
    <w:p w14:paraId="46BF2D4C" w14:textId="1DF683DF" w:rsidR="0062789F" w:rsidRDefault="00000000" w:rsidP="0062789F">
      <w:r>
        <w:t xml:space="preserve">We propose retaining the focused custom platform as the primary capstone implementation, prioritizing the November MVP, then running a limited n8n benchmark. </w:t>
      </w:r>
    </w:p>
    <w:p w14:paraId="2F398BBC" w14:textId="4926BDFF" w:rsidR="00E31FF9" w:rsidRDefault="00E31FF9">
      <w:pPr>
        <w:spacing w:before="140" w:after="80"/>
      </w:pPr>
    </w:p>
    <w:sectPr w:rsidR="00E31FF9" w:rsidSect="00034616">
      <w:pgSz w:w="12240" w:h="15840"/>
      <w:pgMar w:top="994"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314363">
    <w:abstractNumId w:val="8"/>
  </w:num>
  <w:num w:numId="2" w16cid:durableId="2071078142">
    <w:abstractNumId w:val="6"/>
  </w:num>
  <w:num w:numId="3" w16cid:durableId="523981946">
    <w:abstractNumId w:val="5"/>
  </w:num>
  <w:num w:numId="4" w16cid:durableId="1451705128">
    <w:abstractNumId w:val="4"/>
  </w:num>
  <w:num w:numId="5" w16cid:durableId="1137725398">
    <w:abstractNumId w:val="7"/>
  </w:num>
  <w:num w:numId="6" w16cid:durableId="319310613">
    <w:abstractNumId w:val="3"/>
  </w:num>
  <w:num w:numId="7" w16cid:durableId="1096559175">
    <w:abstractNumId w:val="2"/>
  </w:num>
  <w:num w:numId="8" w16cid:durableId="1447234412">
    <w:abstractNumId w:val="1"/>
  </w:num>
  <w:num w:numId="9" w16cid:durableId="19315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89F"/>
    <w:rsid w:val="00A04F71"/>
    <w:rsid w:val="00AA1D8D"/>
    <w:rsid w:val="00B47730"/>
    <w:rsid w:val="00CB0664"/>
    <w:rsid w:val="00E31F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7D377"/>
  <w14:defaultImageDpi w14:val="300"/>
  <w15:docId w15:val="{C3BCFDEF-F1ED-477B-9E09-4E15A068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color w:val="273747"/>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83653"/>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8365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836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Workflow Automation Platform - Business Case for NCS</dc:title>
  <dc:subject>Proposed architecture, delivery roadmap, n8n benchmark and CodeSpark handover</dc:subject>
  <dc:creator>python-docx</dc:creator>
  <cp:keywords/>
  <dc:description>generated by python-docx</dc:description>
  <cp:lastModifiedBy>Sang Hui Wee (NCS)</cp:lastModifiedBy>
  <cp:revision>2</cp:revision>
  <dcterms:created xsi:type="dcterms:W3CDTF">2013-12-23T23:15:00Z</dcterms:created>
  <dcterms:modified xsi:type="dcterms:W3CDTF">2026-10-13T05:55:00Z</dcterms:modified>
  <cp:category/>
</cp:coreProperties>
</file>