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pBdr>
          <w:bottom w:val="single" w:color="D85604" w:sz="18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4"/>
          <w:szCs w:val="4"/>
        </w:rPr>
        <w:t xml:space="preserve"> </w:t>
      </w:r>
    </w:p>
    <w:p>
      <w:pPr>
        <w:spacing w:after="0" w:before="40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spacing w:after="2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4"/>
          <w:szCs w:val="44"/>
        </w:rPr>
        <w:t xml:space="preserve">彩韵美妆（Colorful Melody）</w:t>
      </w:r>
    </w:p>
    <w:p>
      <w:pPr>
        <w:spacing w:after="2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34"/>
          <w:szCs w:val="34"/>
        </w:rPr>
        <w:t xml:space="preserve">线上销售增长与 AI 赋能战略</w:t>
      </w:r>
    </w:p>
    <w:p>
      <w:pPr>
        <w:spacing w:after="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4"/>
          <w:szCs w:val="24"/>
        </w:rPr>
        <w:t xml:space="preserve">Online Sales Growth &amp; AI Enablement Strategy</w:t>
      </w:r>
    </w:p>
    <w:p>
      <w:pPr>
        <w:spacing w:after="0" w:before="30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pBdr>
          <w:bottom w:val="single" w:color="1B2A4A" w:sz="4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4"/>
          <w:szCs w:val="4"/>
        </w:rPr>
        <w:t xml:space="preserve"> </w:t>
      </w:r>
    </w:p>
    <w:p>
      <w:pPr>
        <w:spacing w:after="0" w:before="20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第十七届普华永道杯 · 决战 24H 商业挑战赛   初赛提交版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1"/>
          <w:szCs w:val="21"/>
        </w:rPr>
        <w:t xml:space="preserve">编制：战略咨询团队 · 2026年 4 月</w:t>
      </w:r>
    </w:p>
    <w:p>
      <w:pPr>
        <w:spacing w:after="0" w:before="80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17"/>
          <w:szCs w:val="17"/>
        </w:rPr>
        <w:t xml:space="preserve">保密声明：本文件仅用于赛事评审用途，未经授权不得对外分发。</w:t>
      </w:r>
    </w:p>
    <w:p>
      <w:pPr>
        <w:sectPr>
          <w:pgSz w:w="11906" w:h="16838" w:orient="portrait"/>
          <w:pgMar w:top="11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85604" w:sz="4" w:space="4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目录  Table of Contents</w:t>
      </w:r>
    </w:p>
    <w:p>
      <w:pPr>
        <w:spacing w:after="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tabs>
          <w:tab w:val="right" w:pos="9706" w:leader="dot"/>
        </w:tabs>
        <w:spacing w:after="60" w:before="100" w:line="3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执行摘要  Executive Summary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olor w:val="D85604"/>
          <w:sz w:val="22"/>
          <w:szCs w:val="22"/>
        </w:rPr>
        <w:t xml:space="preserve">1</w:t>
      </w:r>
    </w:p>
    <w:p>
      <w:pPr>
        <w:spacing w:after="0" w:before="2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tabs>
          <w:tab w:val="right" w:pos="9706" w:leader="dot"/>
        </w:tabs>
        <w:spacing w:after="60" w:before="100" w:line="3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1  业务表现诊断  Business Diagnosis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olor w:val="D85604"/>
          <w:sz w:val="22"/>
          <w:szCs w:val="22"/>
        </w:rPr>
        <w:t xml:space="preserve">2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1.1 财务概览（2023–2025）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2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1.2 三大核心发现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3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1.3 产品组合评估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3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1.4 客群结构与增长缺口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4</w:t>
      </w:r>
    </w:p>
    <w:p>
      <w:pPr>
        <w:spacing w:after="0" w:before="2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tabs>
          <w:tab w:val="right" w:pos="9706" w:leader="dot"/>
        </w:tabs>
        <w:spacing w:after="60" w:before="100" w:line="3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2  客群细分与线上增长战略  Online Sales Strategy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olor w:val="D85604"/>
          <w:sz w:val="22"/>
          <w:szCs w:val="22"/>
        </w:rPr>
        <w:t xml:space="preserve">5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2.1 DTC 增长飞轮模型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5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2.2 平台战略重配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5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2.3 私域生态体系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6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2.4 四大客群精准运营策略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6-8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2.5 落地执行路线图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9</w:t>
      </w:r>
    </w:p>
    <w:p>
      <w:pPr>
        <w:spacing w:after="0" w:before="2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tabs>
          <w:tab w:val="right" w:pos="9706" w:leader="dot"/>
        </w:tabs>
        <w:spacing w:after="60" w:before="100" w:line="3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3  AI 技术赋能  AI Enablement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olor w:val="D85604"/>
          <w:sz w:val="22"/>
          <w:szCs w:val="22"/>
        </w:rPr>
        <w:t xml:space="preserve">10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3.1 AI 部署框架：Build-Buy-Partner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10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3.2 六大 AI 应用场景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10-11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3.3 AI 落地路线图与投产分析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12</w:t>
      </w:r>
    </w:p>
    <w:p>
      <w:pPr>
        <w:spacing w:after="0" w:before="2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tabs>
          <w:tab w:val="right" w:pos="9706" w:leader="dot"/>
        </w:tabs>
        <w:spacing w:after="60" w:before="100" w:line="3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4  风险管理  Risk Management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olor w:val="D85604"/>
          <w:sz w:val="22"/>
          <w:szCs w:val="22"/>
        </w:rPr>
        <w:t xml:space="preserve">13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4.1 风险登记册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13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4.2 治理机制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13</w:t>
      </w:r>
    </w:p>
    <w:p>
      <w:pPr>
        <w:spacing w:after="0" w:before="2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tabs>
          <w:tab w:val="right" w:pos="9706" w:leader="dot"/>
        </w:tabs>
        <w:spacing w:after="60" w:before="100" w:line="3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5  附录  Appendix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i w:val="false"/>
          <w:iCs w:val="false"/>
          <w:color w:val="D85604"/>
          <w:sz w:val="22"/>
          <w:szCs w:val="22"/>
        </w:rPr>
        <w:t xml:space="preserve">14-15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A. 平台 CAC 趋势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14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B. 12 个月线上 KPI 看板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14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C. 核心分析框架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15</w:t>
      </w:r>
    </w:p>
    <w:p>
      <w:pPr>
        <w:tabs>
          <w:tab w:val="right" w:pos="9706" w:leader="dot"/>
        </w:tabs>
        <w:spacing w:after="40" w:before="40" w:line="300"/>
        <w:ind w:left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D. 与 CM 五年计划战略匹配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85604"/>
          <w:sz w:val="20"/>
          <w:szCs w:val="20"/>
        </w:rPr>
        <w:t xml:space="preserve">15</w:t>
      </w:r>
    </w:p>
    <w:p>
      <w:pPr>
        <w:sectPr>
          <w:pgSz w:w="11906" w:h="16838" w:orient="portrait"/>
          <w:pgMar w:top="13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85604" w:sz="4" w:space="4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执行摘要  Executive Summary</w:t>
      </w:r>
    </w:p>
    <w:p>
      <w:pPr>
        <w:spacing w:after="0" w:before="2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1"/>
          <w:szCs w:val="21"/>
        </w:rPr>
        <w:t xml:space="preserve">Colorful Melody（CM）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成立于 2017 年，当前正处于关键战略转型期。受本土彩妆行业竞争白热化影响，总营收从 2023 年 41 亿元降至 2025 年 36 亿元（-12.2%）。但护肤业务逆势增长 85.7%，营收占比从 14.6% 提升至 30.6%。核心问题为结构性而非周期性——彩妆创新壁垒消失，竞品已完全复制 CM 的社媒打法。</w:t>
      </w:r>
    </w:p>
    <w:p>
      <w:pPr>
        <w:spacing w:after="0" w:before="4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1"/>
          <w:szCs w:val="21"/>
        </w:rPr>
        <w:t xml:space="preserve">本报告提出三位一体解决方案，构建“彩妆引流 → AI 转化 → 护肤复购” DTC 增长飞轮：</w:t>
      </w:r>
    </w:p>
    <w:p>
      <w:pPr>
        <w:spacing w:after="0" w:before="2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9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赛事任务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核心内容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关键成果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任务 1：经营诊断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彩妆线上营收累计下滑 7.9 亿；平台 CAC 飙升（E-Harbor +278%）；护肤成为新增长极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结构性转型诊断与增长缺口定位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任务 2：线上增长战略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四大客群精准运营 + 平台资源重配 + 私域体系搭建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GMV +25% / CAC -15%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任务 3：AI 赋能 + 风控</w:t>
            </w:r>
          </w:p>
        </w:tc>
        <w:tc>
          <w:tcPr>
            <w:tcW w:type="dxa" w:w="4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六大 AI 场景分阶段落地 + 风险登记册 + 合规框架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复购 +8pp / 私域会员 ×2</w:t>
            </w:r>
          </w:p>
        </w:tc>
      </w:tr>
    </w:tbl>
    <w:p>
      <w:pPr>
        <w:spacing w:after="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D85604" w:sz="8"/>
              <w:left w:val="single" w:color="D85604" w:sz="8"/>
              <w:bottom w:val="single" w:color="D85604" w:sz="8"/>
              <w:right w:val="single" w:color="D85604" w:sz="8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3"/>
                <w:szCs w:val="23"/>
              </w:rPr>
              <w:t xml:space="preserve">12 个月核心目标 │ 12-Month Core Targets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85604"/>
                <w:sz w:val="21"/>
                <w:szCs w:val="21"/>
              </w:rPr>
              <w:t xml:space="preserve">线上 GMV +25%（34.9 亿元）    ·    获客成本 CAC -15%    ·    复购率 +8pp（51%）    ·    私域会员 ×2</w:t>
            </w:r>
          </w:p>
        </w:tc>
      </w:tr>
    </w:tbl>
    <w:p>
      <w:pPr>
        <w:sectPr>
          <w:pgSz w:w="11906" w:h="16838" w:orient="portrait"/>
          <w:pgMar w:top="13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85604" w:sz="4" w:space="4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1  业务表现诊断  Business Diagnosis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1.1 财务概览（2023–2025）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330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指标（亿元 RMB）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</w:t>
            </w:r>
          </w:p>
        </w:tc>
        <w:tc>
          <w:tcPr>
            <w:tcW w:type="dxa" w:w="3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趋势分析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总营收 Revenue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41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38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36</w:t>
            </w:r>
          </w:p>
        </w:tc>
        <w:tc>
          <w:tcPr>
            <w:tcW w:type="dxa" w:w="3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00"/>
                <w:sz w:val="18"/>
                <w:szCs w:val="18"/>
              </w:rPr>
              <w:t xml:space="preserve">↓ -12.2%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彩妆-线上 Makeup Online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28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22.5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20.1</w:t>
            </w:r>
          </w:p>
        </w:tc>
        <w:tc>
          <w:tcPr>
            <w:tcW w:type="dxa" w:w="3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00"/>
                <w:sz w:val="18"/>
                <w:szCs w:val="18"/>
              </w:rPr>
              <w:t xml:space="preserve">↓ -28.2%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彩妆-线下 Makeup Offline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5.5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4.9</w:t>
            </w:r>
          </w:p>
        </w:tc>
        <w:tc>
          <w:tcPr>
            <w:tcW w:type="dxa" w:w="3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00"/>
                <w:sz w:val="18"/>
                <w:szCs w:val="18"/>
              </w:rPr>
              <w:t xml:space="preserve">↓ -30.0%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护肤-线上 Skincare Online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4.2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7.2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7.8</w:t>
            </w:r>
          </w:p>
        </w:tc>
        <w:tc>
          <w:tcPr>
            <w:tcW w:type="dxa" w:w="3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A"/>
                <w:sz w:val="18"/>
                <w:szCs w:val="18"/>
              </w:rPr>
              <w:t xml:space="preserve">↑ +85.7%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护肤-线下 Skincare Offline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1.8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2.8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3.2</w:t>
            </w:r>
          </w:p>
        </w:tc>
        <w:tc>
          <w:tcPr>
            <w:tcW w:type="dxa" w:w="3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A"/>
                <w:sz w:val="18"/>
                <w:szCs w:val="18"/>
              </w:rPr>
              <w:t xml:space="preserve">↑ +77.8%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营收成本 Cost of Revenue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14.4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12.5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11.9</w:t>
            </w:r>
          </w:p>
        </w:tc>
        <w:tc>
          <w:tcPr>
            <w:tcW w:type="dxa" w:w="3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A"/>
                <w:sz w:val="18"/>
                <w:szCs w:val="18"/>
              </w:rPr>
              <w:t xml:space="preserve">↓ 优化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毛利润 Gross Profit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26.7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25.5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24.1</w:t>
            </w:r>
          </w:p>
        </w:tc>
        <w:tc>
          <w:tcPr>
            <w:tcW w:type="dxa" w:w="3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毛利率 65.1%→66.9%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销售营销 S&amp;M Expense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14.4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12.2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11.9</w:t>
            </w:r>
          </w:p>
        </w:tc>
        <w:tc>
          <w:tcPr>
            <w:tcW w:type="dxa" w:w="3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↓ 管控有效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研发 R&amp;D Expense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0.7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1.1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1.2</w:t>
            </w:r>
          </w:p>
        </w:tc>
        <w:tc>
          <w:tcPr>
            <w:tcW w:type="dxa" w:w="3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↑ 持续加码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净利润 Net Profit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11.6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12.2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11.0</w:t>
            </w:r>
          </w:p>
        </w:tc>
        <w:tc>
          <w:tcPr>
            <w:tcW w:type="dxa" w:w="3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波动</w:t>
            </w:r>
          </w:p>
        </w:tc>
      </w:tr>
    </w:tbl>
    <w:p>
      <w:pPr>
        <w:spacing w:after="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1.2 三大核心发现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1"/>
          <w:szCs w:val="21"/>
        </w:rPr>
        <w:t xml:space="preserve">发现 1｜营收结构性转型。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护肤业务营收占比从 14.6% 提升至 30.6%。护肤品类复购周期更短（C、E 品牌 &lt;3 个月 vs 彩妆 A 品牌 6-12 个月），更适合 DTC 复购驱动模型。战略合理性已被数据验证。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1"/>
          <w:szCs w:val="21"/>
        </w:rPr>
        <w:t xml:space="preserve">发现 2｜平台获客成本飙升。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E-Harbor CAC 两年涨幅 +278%（384→1,450 元）；CloudBazaar +70%（578→980 元）；StellarMall +29%（750→970 元）。以规模为核心的获客战略已不可持续，必须转向私域流量与内容驱动。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1"/>
          <w:szCs w:val="21"/>
        </w:rPr>
        <w:t xml:space="preserve">发现 3｜彩妆创新壁垒消失。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营销部会议确认：竞品已复制 CM 的 KOL推广+视觉营销+快供应链打法。过往差异化优势已成行业入门标配，仅增加营销投入无法恢复销量。</w:t>
      </w:r>
    </w:p>
    <w:p>
      <w:pPr>
        <w:spacing w:after="0" w:before="4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1.3 产品组合评估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600"/>
        <w:gridCol w:w="1400"/>
        <w:gridCol w:w="1400"/>
        <w:gridCol w:w="3200"/>
      </w:tblGrid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品牌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品类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价格带（元）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 营收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复购周期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战略定位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彩妆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59-199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22亿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6-12月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防守与焚新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B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彩妆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39-199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3亿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3-6月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细分赛道增长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护肤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120-250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6.3亿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&lt;3月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规模化扩张★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高端护肤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790-1,680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1.8亿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3-6月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高端化升级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奢护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410-2,080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2.9亿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&lt;3月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全渠道拓展★</w:t>
            </w:r>
          </w:p>
        </w:tc>
      </w:tr>
    </w:tbl>
    <w:p>
      <w:pPr>
        <w:spacing w:after="0" w:before="2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0"/>
          <w:szCs w:val="20"/>
        </w:rPr>
        <w:t xml:space="preserve">★ 核心锚点：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C、E 品牌复购周期 &lt;3 个月，具备最高用户留存潜力，应作为私域留存与 DTC 复购飞轮的核心驱动力。</w:t>
      </w:r>
    </w:p>
    <w:p>
      <w:pPr>
        <w:spacing w:after="0" w:before="4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1.4 客群结构与增长缺口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400"/>
        <w:gridCol w:w="290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年龄组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营收占比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消费者声音（案例原文）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战略优先级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19-24岁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30%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“价格便宜适合学生”“很多博主在用”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新客获取+首单复购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25-30岁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50%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“外观设计很潮”“性价比很高”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客单扩容+会员运营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31-40岁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15%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“质量稳定、很少过敏”“导购推荐的”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高端化升级+VIP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40岁+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5%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“朋友推荐”“肌肤更润更清爷”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信任构建+体验简化</w:t>
            </w:r>
          </w:p>
        </w:tc>
      </w:tr>
    </w:tbl>
    <w:p>
      <w:pPr>
        <w:spacing w:after="0" w:before="2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1"/>
          <w:szCs w:val="21"/>
        </w:rPr>
        <w:t xml:space="preserve">核心缺口：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31-40 岁与 40+ 客群忠诚度信号最强（口碑驱动、品质稳定好评），与 D、E 品牌高度匹配，但当前营销投入严重不足。这是最大的未开发增长杰杆。</w:t>
      </w:r>
    </w:p>
    <w:p>
      <w:pPr>
        <w:sectPr>
          <w:pgSz w:w="11906" w:h="16838" w:orient="portrait"/>
          <w:pgMar w:top="13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85604" w:sz="4" w:space="4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2  客群细分与线上增长战略  Online Sales Strategy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2.1 DTC 增长飞轮模型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single" w:color="D85604" w:sz="8"/>
              <w:left w:val="single" w:color="D85604" w:sz="8"/>
              <w:bottom w:val="single" w:color="D85604" w:sz="8"/>
              <w:right w:val="single" w:color="D85604" w:sz="8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彩妆引流（降低 CAC）  →  AI 智能转化（提升转化率 &amp; 客单价）  →  护肤复购（驱动 LTV &amp; 利润率）  →  用户传播反哺获客</w:t>
            </w:r>
          </w:p>
        </w:tc>
      </w:tr>
    </w:tbl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0"/>
          <w:szCs w:val="20"/>
        </w:rPr>
        <w:t xml:space="preserve">DTC 模型的四大优势与 CM 战略天然契合：更高利润率（去中间商）、更强市场洞察（直达消费者）、更完整品牌控制、更有效的客户关系管理。这与案例中 CM 的 DTC 模型框架高度一致。</w:t>
      </w:r>
    </w:p>
    <w:p>
      <w:pPr>
        <w:spacing w:after="0" w:before="3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2.2 平台战略重配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2000"/>
        <w:gridCol w:w="3100"/>
        <w:gridCol w:w="190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平台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MAU（亿）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CAC趋势（元）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推荐定位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StellarMall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3.82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750→970 (+29%)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旗舰交易+深化 CRM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CloudBazaar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8.87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578→980 (+70%)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A/B 客群核心获客阵地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小红书 RED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-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KOC 种草+成分教育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微信生态 WeChat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-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私域核心+会员体系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E-Harbor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6.56↓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384→1,450 (+278%)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缩减投入，保留高端 SKU</w:t>
            </w:r>
          </w:p>
        </w:tc>
        <w:tc>
          <w:tcPr>
            <w:tcW w:type="dxa" w:w="1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★★★</w:t>
            </w:r>
          </w:p>
        </w:tc>
      </w:tr>
    </w:tbl>
    <w:p>
      <w:pPr>
        <w:spacing w:after="0" w:before="2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战略逻辑：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E-Harbor CAC 涨幅最剧烈且 MAU 下滑，应大幅缩减投入。将资源向内容型平台（CloudBazaar/RED）与自有私域（WeChat）重新分配，通过搭建专属流量资产解决 CAC 持续上涨的核心问题。</w:t>
      </w:r>
    </w:p>
    <w:p>
      <w:pPr>
        <w:spacing w:after="0" w:before="4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2.3 私域生态体系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公域获客（短视频/直播/KOC种草） → 流量入口（二维码/公众号/企微顾问） → 私域激活（新人礼/AI肌肤诊断/个性化推荐） → 忠诚度闭环（CM 美肌俱乐部小程序/分级会员） → 用户传播（UGC激励/好友推荐）</w:t>
      </w:r>
    </w:p>
    <w:p>
      <w:pPr>
        <w:spacing w:after="0" w:before="2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1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私域核心 KPI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 基准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12 个月目标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微信活跃会员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基准值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× 2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私域复购率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-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≥ 55%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私域 CAC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公域 100%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&lt; 公域 40%</w:t>
            </w:r>
          </w:p>
        </w:tc>
      </w:tr>
    </w:tbl>
    <w:p>
      <w:pPr>
        <w:spacing w:after="0" w:before="4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2.4 四大客群精准运营策略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2"/>
          <w:szCs w:val="22"/>
        </w:rPr>
        <w:t xml:space="preserve">客群 A：Z 世代探索者（19-24岁，30% 营收）——“探索与分享”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运营抬手</w:t>
            </w:r>
          </w:p>
        </w:tc>
        <w:tc>
          <w:tcPr>
            <w:tcW w:type="dxa" w:w="7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具体动作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产品</w:t>
            </w:r>
          </w:p>
        </w:tc>
        <w:tc>
          <w:tcPr>
            <w:tcW w:type="dxa" w:w="7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A 品牌限定色彩系列 60 天迭代、艺术家联名；B 品牌潮流眼妆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定价</w:t>
            </w:r>
          </w:p>
        </w:tc>
        <w:tc>
          <w:tcPr>
            <w:tcW w:type="dxa" w:w="7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49-89 元试用套装；迷你规格组合装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内容 &amp; 获客</w:t>
            </w:r>
          </w:p>
        </w:tc>
        <w:tc>
          <w:tcPr>
            <w:tcW w:type="dxa" w:w="7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CloudBazaar 周度挑战赛；UGC 优先；小红书真实肤质教程；尾部/腰部 KOC 种草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留存</w:t>
            </w:r>
          </w:p>
        </w:tc>
        <w:tc>
          <w:tcPr>
            <w:tcW w:type="dxa" w:w="7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第二单 85 折；游戏化会员新人引导；彩妆→护肤交叉样品</w:t>
            </w:r>
          </w:p>
        </w:tc>
      </w:tr>
    </w:tbl>
    <w:p>
      <w:pPr>
        <w:spacing w:after="0" w:before="3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2"/>
          <w:szCs w:val="22"/>
        </w:rPr>
        <w:t xml:space="preserve">客群 B：千禧年职场人（25-30岁，50% 营收）——“升级与信赖”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运营抬手</w:t>
            </w:r>
          </w:p>
        </w:tc>
        <w:tc>
          <w:tcPr>
            <w:tcW w:type="dxa" w:w="7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具体动作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产品</w:t>
            </w:r>
          </w:p>
        </w:tc>
        <w:tc>
          <w:tcPr>
            <w:tcW w:type="dxa" w:w="7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护肤+彩妆“全妆造”组合；A全系+C/E 护肤；200-350 元中高端组合 SKU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内容</w:t>
            </w:r>
          </w:p>
        </w:tc>
        <w:tc>
          <w:tcPr>
            <w:tcW w:type="dxa" w:w="7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“成分科研”系列；皮肤科医生功效实证；StellarMall 搜索优化+流失用户重定向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留存</w:t>
            </w:r>
          </w:p>
        </w:tc>
        <w:tc>
          <w:tcPr>
            <w:tcW w:type="dxa" w:w="7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金卡会员：新品优先购+个性化护肤方案；订阅模式试点（护肤刚需品）</w:t>
            </w:r>
          </w:p>
        </w:tc>
      </w:tr>
    </w:tbl>
    <w:p>
      <w:pPr>
        <w:spacing w:after="0" w:before="3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2"/>
          <w:szCs w:val="22"/>
        </w:rPr>
        <w:t xml:space="preserve">客群 C：熟龄护肤需求者（31-40岁，15% 营收）——“高端与实证”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运营抬手</w:t>
            </w:r>
          </w:p>
        </w:tc>
        <w:tc>
          <w:tcPr>
            <w:tcW w:type="dxa" w:w="7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具体动作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产品</w:t>
            </w:r>
          </w:p>
        </w:tc>
        <w:tc>
          <w:tcPr>
            <w:tcW w:type="dxa" w:w="7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D 品牌“科研专研”抗衰线（790-1,680 元）；E 品牌奢护线（410-2,080 元）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内容</w:t>
            </w:r>
          </w:p>
        </w:tc>
        <w:tc>
          <w:tcPr>
            <w:tcW w:type="dxa" w:w="7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长视频成分解析；临床数据+前后对比证言；StellarMall 品牌专区+微信朋友圈精准广告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留存</w:t>
            </w:r>
          </w:p>
        </w:tc>
        <w:tc>
          <w:tcPr>
            <w:tcW w:type="dxa" w:w="7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铂金 VIP：视频护肤咨询+年度肌肤健康报告；节日礼盒套装</w:t>
            </w:r>
          </w:p>
        </w:tc>
      </w:tr>
    </w:tbl>
    <w:p>
      <w:pPr>
        <w:spacing w:after="0" w:before="3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2"/>
          <w:szCs w:val="22"/>
        </w:rPr>
        <w:t xml:space="preserve">客群 D：银发美妆新用户（40+岁，5% 营收）——“信任与便捷”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运营抬手</w:t>
            </w:r>
          </w:p>
        </w:tc>
        <w:tc>
          <w:tcPr>
            <w:tcW w:type="dxa" w:w="7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具体动作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产品</w:t>
            </w:r>
          </w:p>
        </w:tc>
        <w:tc>
          <w:tcPr>
            <w:tcW w:type="dxa" w:w="7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 品牌温和修护系列（120-250 元）；E 品牌奢护保湿（410-2,080 元）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转化</w:t>
            </w:r>
          </w:p>
        </w:tc>
        <w:tc>
          <w:tcPr>
            <w:tcW w:type="dxa" w:w="7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专属企微顾问；视频通话咨询；极简小程序界面；微信公众号 40+ 护肤指南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留存</w:t>
            </w:r>
          </w:p>
        </w:tc>
        <w:tc>
          <w:tcPr>
            <w:tcW w:type="dxa" w:w="7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季节性回访+节日礼品提醒+亲友推荐激励；线下导购数字化推荐</w:t>
            </w:r>
          </w:p>
        </w:tc>
      </w:tr>
    </w:tbl>
    <w:p>
      <w:pPr>
        <w:spacing w:after="0" w:before="4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2.5 落地执行路线图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4600"/>
        <w:gridCol w:w="270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核心动作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核心 KPI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一：基建搭建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0-6M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内容团队招聘；企微部署；小程序 1.0；A/B 客群专项营销活动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GMV+10% / 会员×1 / CAC-8%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二：规模增长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6-12M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高端 SKU 上市；铂金 VIP 体系；AI 肌肤检测落地；C/D 客群启动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累计 GMV+25% / 复购+8pp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三：优化迭代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12-24M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全量 AI 个性化引擎；订阅模式规模化；跨客群产品生态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GMV较 2025+40% / 利润率回升</w:t>
            </w:r>
          </w:p>
        </w:tc>
      </w:tr>
    </w:tbl>
    <w:p>
      <w:pPr>
        <w:sectPr>
          <w:pgSz w:w="11906" w:h="16838" w:orient="portrait"/>
          <w:pgMar w:top="13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85604" w:sz="4" w:space="4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3  AI 技术赋能  AI Enablement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3.1 AI 部署框架：Build-Buy-Partner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42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模式</w:t>
            </w:r>
          </w:p>
        </w:tc>
        <w:tc>
          <w:tcPr>
            <w:tcW w:type="dxa" w:w="3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适用场景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具体工具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Build 自研</w:t>
            </w:r>
          </w:p>
        </w:tc>
        <w:tc>
          <w:tcPr>
            <w:tcW w:type="dxa" w:w="3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需专属数据优势的場景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CDP 客户数据平台、推荐引擎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Buy 采购</w:t>
            </w:r>
          </w:p>
        </w:tc>
        <w:tc>
          <w:tcPr>
            <w:tcW w:type="dxa" w:w="3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标准化通用能力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AIGC 内容生产、广告优化平台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Partner 合作</w:t>
            </w:r>
          </w:p>
        </w:tc>
        <w:tc>
          <w:tcPr>
            <w:tcW w:type="dxa" w:w="3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专业垂直能力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AR 虚拟试妆、AI 肌肤诊断</w:t>
            </w:r>
          </w:p>
        </w:tc>
      </w:tr>
    </w:tbl>
    <w:p>
      <w:pPr>
        <w:spacing w:after="0" w:before="4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3.2 六大 AI 应用场景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2"/>
          <w:szCs w:val="22"/>
        </w:rPr>
        <w:t xml:space="preserve">场景 1：消费者洞察与客户分群  Consumer Insight &amp; Segmentation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工具：搭载 ML 分群的 CDP。统一用户数据视图、动态分群（15+ 项变量）、流失预警（30 天提前）、SKU 级需求预测。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19"/>
          <w:szCs w:val="19"/>
        </w:rPr>
        <w:t xml:space="preserve">→ 商业价值：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客群精准度 +35% / 留存活动效率 +30% / 库存成本降低 ~20%</w:t>
      </w:r>
    </w:p>
    <w:p>
      <w:pPr>
        <w:spacing w:after="0" w:before="2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2"/>
          <w:szCs w:val="22"/>
        </w:rPr>
        <w:t xml:space="preserve">场景 2：内容营销与付费获客  Content Marketing &amp; Paid Acquisition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工具：AIGC 视频/图片平台、KOC 匹配 AI、平台 AI 竞价。单场活动测试 100+ 创意版本，实时推送最高转化素材。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19"/>
          <w:szCs w:val="19"/>
        </w:rPr>
        <w:t xml:space="preserve">→ 商业价值：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内容成本 -60% / CAC -20% / 创意测试效率 ×8</w:t>
      </w:r>
    </w:p>
    <w:p>
      <w:pPr>
        <w:spacing w:after="0" w:before="2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2"/>
          <w:szCs w:val="22"/>
        </w:rPr>
        <w:t xml:space="preserve">场景 3：线上转化与用户体验  Conversion &amp; UX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工具：AR 虚拟试妆、AI 肌肤诊断（30 秒扫描→个性化方案→一键加购）、个性化推荐引擎、AI 直播助手。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19"/>
          <w:szCs w:val="19"/>
        </w:rPr>
        <w:t xml:space="preserve">→ 商业价值：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彩妆转化率 +7pp / 护肤客单价 +20% / 退货率 -25% / 单场直播 GMV +35%</w:t>
      </w:r>
    </w:p>
    <w:p>
      <w:pPr>
        <w:spacing w:after="0" w:before="2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2"/>
          <w:szCs w:val="22"/>
        </w:rPr>
        <w:t xml:space="preserve">场景 4：私域运营与用户留存  Private Domain &amp; Retention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工具：企微 AI 助手（1:500 服务比）、智能复购触达（基于产品使用周期预测）、个性化推送、会员生命周期管理。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19"/>
          <w:szCs w:val="19"/>
        </w:rPr>
        <w:t xml:space="preserve">→ 商业价值：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私域复购率 55% / 顾问人效 ×3 / 流失召回 +30%</w:t>
      </w:r>
    </w:p>
    <w:p>
      <w:pPr>
        <w:spacing w:after="0" w:before="2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2"/>
          <w:szCs w:val="22"/>
        </w:rPr>
        <w:t xml:space="preserve">场景 5：业绩分析与归因  Performance Analytics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工具：AI 商业智能看板、多触点归因 AI、异常检测（2h 内识别）、A/B 测试周期 4周→5天。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19"/>
          <w:szCs w:val="19"/>
        </w:rPr>
        <w:t xml:space="preserve">→ 商业价值：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预算分配效率 +20% / 数据洞察周期 30天 → 48h</w:t>
      </w:r>
    </w:p>
    <w:p>
      <w:pPr>
        <w:spacing w:after="0" w:before="4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3.3 AI 落地路线图与投产分析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1600"/>
        <w:gridCol w:w="250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AI 能力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预计投入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ROI 周期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P1 一级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CDP+分群 / AI 竞价 / AIGC 工具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0-3M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￥800万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~5 个月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P2 二级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AI 肌肤诊断 / AR 虚拟试妆 / 企微 AI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3-8M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￥1,500万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~9 个月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P3 三级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全量推荐引擎 / 归因 AI / AI 直播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8-18M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￥2,000万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~14 个月</w:t>
            </w:r>
          </w:p>
        </w:tc>
      </w:tr>
    </w:tbl>
    <w:p>
      <w:pPr>
        <w:spacing w:after="0" w:before="3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合规要求：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所有用户数据处理严格遵循《个人信息保护法》；AI 护肤功效宣称需经药监局审核；图像数据优先端侧处理，云端存储不超 90 天。</w:t>
      </w:r>
    </w:p>
    <w:p>
      <w:pPr>
        <w:sectPr>
          <w:pgSz w:w="11906" w:h="16838" w:orient="portrait"/>
          <w:pgMar w:top="13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85604" w:sz="4" w:space="4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4  风险管理  Risk Management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4.1 风险登记册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800"/>
        <w:gridCol w:w="550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风险项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影响</w:t>
            </w:r>
          </w:p>
        </w:tc>
        <w:tc>
          <w:tcPr>
            <w:tcW w:type="dxa" w:w="5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应对措施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平台算法变动导致自然流量下滑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高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高</w:t>
            </w:r>
          </w:p>
        </w:tc>
        <w:tc>
          <w:tcPr>
            <w:tcW w:type="dxa" w:w="5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多平台布局；私域流量池对冲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竞品推出针对 C 客群的高端护肤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高</w:t>
            </w:r>
          </w:p>
        </w:tc>
        <w:tc>
          <w:tcPr>
            <w:tcW w:type="dxa" w:w="5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提前 SKU 上市；独家成分合作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AI 成本超预 / ROI 慢于预期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中</w:t>
            </w:r>
          </w:p>
        </w:tc>
        <w:tc>
          <w:tcPr>
            <w:tcW w:type="dxa" w:w="5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分阶段落地；每阶段设投产评估节点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《个保法》执法处罚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低-中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极高</w:t>
            </w:r>
          </w:p>
        </w:tc>
        <w:tc>
          <w:tcPr>
            <w:tcW w:type="dxa" w:w="5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季度合规审计；隐私优先架构；专属法律顾问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数字化 / AI 人才不足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高</w:t>
            </w:r>
          </w:p>
        </w:tc>
        <w:tc>
          <w:tcPr>
            <w:tcW w:type="dxa" w:w="5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技术服务商合作；10 个核心岗位专项招聘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跨团队协同不畅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中</w:t>
            </w:r>
          </w:p>
        </w:tc>
        <w:tc>
          <w:tcPr>
            <w:tcW w:type="dxa" w:w="5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DTC 转型专项办公室向 CEO 汇报；周度协同会</w:t>
            </w:r>
          </w:p>
        </w:tc>
      </w:tr>
    </w:tbl>
    <w:p>
      <w:pPr>
        <w:spacing w:after="0" w:before="4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4.2 治理机制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月度复盘：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按客群 × 平台维度复盘 CAC、LTV、复购率、GMV，异常触发周内战术调整。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季度复盘：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评估三阶段 KPI 达成进度，动态调整资源分配与 AI 投入节奏。</w:t>
      </w:r>
    </w:p>
    <w:p>
      <w:pPr>
        <w:sectPr>
          <w:pgSz w:w="11906" w:h="16838" w:orient="portrait"/>
          <w:pgMar w:top="13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85604" w:sz="4" w:space="4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0"/>
          <w:szCs w:val="30"/>
        </w:rPr>
        <w:t xml:space="preserve">5  附录  Appendix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A. 平台 CAC 趋势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700"/>
        <w:gridCol w:w="26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平台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2023 CAC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2024 CAC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 CAC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两年涨幅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StellarMall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￥750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￥860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￥970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+29.3%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CloudBazaar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￥578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￥810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￥980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+69.6%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E-Harbor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￥384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￥1,308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￥1,450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+277.6%</w:t>
            </w:r>
          </w:p>
        </w:tc>
      </w:tr>
    </w:tbl>
    <w:p>
      <w:pPr>
        <w:spacing w:after="0" w:before="4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B. 12 个月线上 KPI 看板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1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2025 基准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12M 目标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线上 GMV（亿元）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~27.9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~34.9 (+25%)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线上 CAC（指数化）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100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85 (-15%)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线上复购率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~43%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~51% (+8pp)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私域活跃会员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基准值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×2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护肤 GMV 占比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~28%</w:t>
            </w:r>
          </w:p>
        </w:tc>
        <w:tc>
          <w:tcPr>
            <w:tcW w:type="dxa" w:w="3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~38%</w:t>
            </w:r>
          </w:p>
        </w:tc>
      </w:tr>
    </w:tbl>
    <w:p>
      <w:pPr>
        <w:spacing w:after="0" w:before="4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C. 核心分析框架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RFM 分析——客户分群价值评分与私域优先级排序的核心基础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Jobs-to-be-Done 理论——支撑分客群需求精准定位与内容策略设计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McKinsey Three Horizons——落地执行路线图的核心结构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Build-Buy-Partner 模型——AI 技术选型的核心决策准则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19"/>
          <w:szCs w:val="19"/>
        </w:rPr>
        <w:t xml:space="preserve">PIPL 合规框架——AI 数据治理设计的核心准则</w:t>
      </w:r>
    </w:p>
    <w:p>
      <w:pPr>
        <w:spacing w:after="0" w:before="4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D85604"/>
          <w:sz w:val="24"/>
          <w:szCs w:val="24"/>
        </w:rPr>
        <w:t xml:space="preserve">|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4"/>
          <w:szCs w:val="24"/>
        </w:rPr>
        <w:t xml:space="preserve">D. 与 CM 五年计划的战略匹配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CM 战略支柱</w:t>
            </w:r>
          </w:p>
        </w:tc>
        <w:tc>
          <w:tcPr>
            <w:tcW w:type="dxa" w:w="6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本报告对应方案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品牌组合多元化</w:t>
            </w:r>
          </w:p>
        </w:tc>
        <w:tc>
          <w:tcPr>
            <w:tcW w:type="dxa" w:w="6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A-E 品牌差异化分客群策略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品牌 A 焚新 Brand Strategy Adj.</w:t>
            </w:r>
          </w:p>
        </w:tc>
        <w:tc>
          <w:tcPr>
            <w:tcW w:type="dxa" w:w="6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客群 A “探索与分享”策略——新色彩、KOC 激活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R&amp;D 投入加大</w:t>
            </w:r>
          </w:p>
        </w:tc>
        <w:tc>
          <w:tcPr>
            <w:tcW w:type="dxa" w:w="6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AI 肌肤诊断 + 高端 SKU 研发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线上线下一体化 Omni-channel</w:t>
            </w:r>
          </w:p>
        </w:tc>
        <w:tc>
          <w:tcPr>
            <w:tcW w:type="dxa" w:w="6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私域体系打通线下流量与 WeChat 生态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成本管控 Cost Control</w:t>
            </w:r>
          </w:p>
        </w:tc>
        <w:tc>
          <w:tcPr>
            <w:tcW w:type="dxa" w:w="6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AIGC (-60%) + AI 竞价 + CDP 精准投放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供应链优化 Supply Chain</w:t>
            </w:r>
          </w:p>
        </w:tc>
        <w:tc>
          <w:tcPr>
            <w:tcW w:type="dxa" w:w="6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8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需求预测 AI 降低库存积压 ~20%</w:t>
            </w:r>
          </w:p>
        </w:tc>
      </w:tr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质量合规 Quality &amp; Compliance</w:t>
            </w:r>
          </w:p>
        </w:tc>
        <w:tc>
          <w:tcPr>
            <w:tcW w:type="dxa" w:w="6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PIPL 合规框架 + 药监局审核机制</w:t>
            </w:r>
          </w:p>
        </w:tc>
      </w:tr>
    </w:tbl>
    <w:p>
      <w:pPr>
        <w:spacing w:after="0" w:before="20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/>
      </w:r>
    </w:p>
    <w:p>
      <w:pPr>
        <w:pBdr>
          <w:bottom w:val="single" w:color="1B2A4A" w:sz="3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"/>
          <w:szCs w:val="2"/>
        </w:rPr>
        <w:t xml:space="preserve"> </w:t>
      </w:r>
    </w:p>
    <w:p>
      <w:pPr>
        <w:spacing w:after="60" w:before="60" w:line="264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16"/>
          <w:szCs w:val="16"/>
        </w:rPr>
        <w:t xml:space="preserve">免责声明：本报告为第十七届普华永道杯决战 24H 商业挑战赛赛事用途编制。所有预测均为基于案例数据集与行业基准的估算值。</w:t>
      </w:r>
    </w:p>
    <w:sectPr>
      <w:pgSz w:w="11906" w:h="16838" w:orient="portrait"/>
      <w:pgMar w:top="13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2026-04-09T08:27:03.707Z</dcterms:created>
  <dcterms:modified xsi:type="dcterms:W3CDTF">2026-04-09T08:27:03.708Z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