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E0218">
      <w:pPr>
        <w:outlineLvl w:val="9"/>
        <w:rPr>
          <w:rFonts w:hint="eastAsia"/>
        </w:rPr>
      </w:pPr>
    </w:p>
    <w:p w14:paraId="70B982F2">
      <w:pPr>
        <w:rPr>
          <w:rFonts w:hint="eastAsia"/>
        </w:rPr>
      </w:pPr>
    </w:p>
    <w:p w14:paraId="4F71720F">
      <w:pPr>
        <w:rPr>
          <w:rFonts w:hint="eastAsia"/>
        </w:rPr>
      </w:pPr>
    </w:p>
    <w:p w14:paraId="1CA6803F">
      <w:pPr>
        <w:rPr>
          <w:rFonts w:hint="eastAsia"/>
        </w:rPr>
      </w:pPr>
    </w:p>
    <w:p w14:paraId="066F1115">
      <w:pPr>
        <w:rPr>
          <w:rFonts w:hint="eastAsia"/>
        </w:rPr>
      </w:pPr>
    </w:p>
    <w:p w14:paraId="310FDCBB">
      <w:pPr>
        <w:rPr>
          <w:rFonts w:hint="eastAsia"/>
        </w:rPr>
      </w:pPr>
    </w:p>
    <w:p w14:paraId="21AC015A">
      <w:pPr>
        <w:rPr>
          <w:rFonts w:hint="eastAsia"/>
        </w:rPr>
      </w:pPr>
    </w:p>
    <w:p w14:paraId="5DE229C6">
      <w:pPr>
        <w:rPr>
          <w:rFonts w:hint="eastAsia"/>
        </w:rPr>
      </w:pPr>
    </w:p>
    <w:p w14:paraId="75FF0E36">
      <w:pPr>
        <w:keepNext w:val="0"/>
        <w:keepLines w:val="0"/>
        <w:pageBreakBefore w:val="0"/>
        <w:widowControl w:val="0"/>
        <w:kinsoku/>
        <w:wordWrap/>
        <w:overflowPunct/>
        <w:topLinePunct w:val="0"/>
        <w:autoSpaceDE/>
        <w:autoSpaceDN/>
        <w:bidi w:val="0"/>
        <w:adjustRightInd/>
        <w:snapToGrid/>
        <w:spacing w:after="200"/>
        <w:jc w:val="center"/>
        <w:textAlignment w:val="auto"/>
        <w:outlineLvl w:val="9"/>
        <w:rPr>
          <w:rFonts w:hint="eastAsia"/>
          <w:sz w:val="36"/>
          <w:szCs w:val="36"/>
        </w:rPr>
      </w:pPr>
      <w:r>
        <w:rPr>
          <w:rFonts w:hint="eastAsia"/>
          <w:b/>
          <w:bCs/>
          <w:color w:val="1F3864"/>
          <w:sz w:val="52"/>
          <w:szCs w:val="52"/>
        </w:rPr>
        <w:t>炼</w:t>
      </w:r>
      <w:r>
        <w:rPr>
          <w:b/>
          <w:bCs/>
          <w:color w:val="1F3864"/>
          <w:sz w:val="52"/>
          <w:szCs w:val="52"/>
        </w:rPr>
        <w:t>数成金：南钢股份数据资产入表案例分析报告</w:t>
      </w:r>
    </w:p>
    <w:p w14:paraId="76CDBEFF">
      <w:pPr>
        <w:keepNext w:val="0"/>
        <w:keepLines w:val="0"/>
        <w:pageBreakBefore w:val="0"/>
        <w:widowControl w:val="0"/>
        <w:pBdr>
          <w:bottom w:val="single" w:color="2E5FA3" w:sz="8" w:space="4"/>
        </w:pBdr>
        <w:kinsoku/>
        <w:wordWrap/>
        <w:overflowPunct/>
        <w:topLinePunct w:val="0"/>
        <w:autoSpaceDE/>
        <w:autoSpaceDN/>
        <w:bidi w:val="0"/>
        <w:adjustRightInd/>
        <w:snapToGrid/>
        <w:spacing w:after="300"/>
        <w:jc w:val="center"/>
        <w:textAlignment w:val="auto"/>
        <w:outlineLvl w:val="9"/>
        <w:rPr>
          <w:rFonts w:hint="eastAsia"/>
        </w:rPr>
      </w:pPr>
    </w:p>
    <w:p w14:paraId="62756B8C">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7428A377">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3A819057">
      <w:pPr>
        <w:keepNext w:val="0"/>
        <w:keepLines w:val="0"/>
        <w:pageBreakBefore w:val="0"/>
        <w:widowControl w:val="0"/>
        <w:kinsoku/>
        <w:wordWrap/>
        <w:overflowPunct/>
        <w:topLinePunct w:val="0"/>
        <w:autoSpaceDE/>
        <w:autoSpaceDN/>
        <w:bidi w:val="0"/>
        <w:adjustRightInd/>
        <w:snapToGrid/>
        <w:spacing w:after="160"/>
        <w:jc w:val="center"/>
        <w:textAlignment w:val="auto"/>
        <w:outlineLvl w:val="9"/>
        <w:rPr>
          <w:rFonts w:hint="eastAsia"/>
        </w:rPr>
      </w:pPr>
      <w:bookmarkStart w:id="0" w:name="_Toc10779"/>
      <w:r>
        <w:rPr>
          <w:color w:val="595959"/>
          <w:sz w:val="28"/>
          <w:szCs w:val="28"/>
        </w:rPr>
        <w:t>——第三届粤港澳高校会计案例大赛参赛报告</w:t>
      </w:r>
      <w:bookmarkEnd w:id="0"/>
    </w:p>
    <w:p w14:paraId="489A3C87">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4DEC6DED">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24D205BC">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04E1C8B3">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3159A337">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70A37F2B">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7F60B9CE">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0ADEC6A6">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0B2D6CDE">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62BC4FAB">
      <w:pPr>
        <w:keepNext w:val="0"/>
        <w:keepLines w:val="0"/>
        <w:pageBreakBefore w:val="0"/>
        <w:widowControl w:val="0"/>
        <w:kinsoku/>
        <w:wordWrap/>
        <w:overflowPunct/>
        <w:topLinePunct w:val="0"/>
        <w:autoSpaceDE/>
        <w:autoSpaceDN/>
        <w:bidi w:val="0"/>
        <w:adjustRightInd/>
        <w:snapToGrid/>
        <w:textAlignment w:val="auto"/>
        <w:outlineLvl w:val="9"/>
        <w:rPr>
          <w:rFonts w:hint="eastAsia"/>
        </w:rPr>
      </w:pPr>
    </w:p>
    <w:p w14:paraId="61713541">
      <w:pPr>
        <w:keepNext w:val="0"/>
        <w:keepLines w:val="0"/>
        <w:pageBreakBefore w:val="0"/>
        <w:widowControl w:val="0"/>
        <w:kinsoku/>
        <w:wordWrap/>
        <w:overflowPunct/>
        <w:topLinePunct w:val="0"/>
        <w:autoSpaceDE/>
        <w:autoSpaceDN/>
        <w:bidi w:val="0"/>
        <w:adjustRightInd/>
        <w:snapToGrid/>
        <w:textAlignment w:val="auto"/>
        <w:outlineLvl w:val="9"/>
        <w:rPr>
          <w:rFonts w:hint="eastAsia"/>
          <w:b/>
          <w:bCs/>
          <w:color w:val="1F3864"/>
          <w:sz w:val="28"/>
          <w:szCs w:val="28"/>
        </w:rPr>
      </w:pPr>
      <w:r>
        <w:br w:type="page"/>
      </w:r>
    </w:p>
    <w:p w14:paraId="0A82FD87">
      <w:pPr>
        <w:keepNext w:val="0"/>
        <w:keepLines w:val="0"/>
        <w:pageBreakBefore w:val="0"/>
        <w:widowControl w:val="0"/>
        <w:pBdr>
          <w:bottom w:val="single" w:color="2E5FA3" w:sz="12" w:space="6"/>
        </w:pBdr>
        <w:kinsoku/>
        <w:wordWrap/>
        <w:overflowPunct/>
        <w:topLinePunct w:val="0"/>
        <w:autoSpaceDE/>
        <w:autoSpaceDN/>
        <w:bidi w:val="0"/>
        <w:adjustRightInd/>
        <w:snapToGrid/>
        <w:spacing w:before="300" w:after="180" w:line="360" w:lineRule="auto"/>
        <w:jc w:val="center"/>
        <w:textAlignment w:val="auto"/>
        <w:outlineLvl w:val="9"/>
        <w:rPr>
          <w:rFonts w:hint="eastAsia"/>
        </w:rPr>
      </w:pPr>
      <w:bookmarkStart w:id="1" w:name="_Toc24975"/>
      <w:r>
        <w:rPr>
          <w:b/>
          <w:bCs/>
          <w:color w:val="1F3864"/>
          <w:sz w:val="28"/>
          <w:szCs w:val="28"/>
        </w:rPr>
        <w:t>摘  要</w:t>
      </w:r>
      <w:bookmarkEnd w:id="1"/>
    </w:p>
    <w:p w14:paraId="40ED9019">
      <w:pPr>
        <w:keepNext w:val="0"/>
        <w:keepLines w:val="0"/>
        <w:pageBreakBefore w:val="0"/>
        <w:widowControl w:val="0"/>
        <w:kinsoku/>
        <w:wordWrap/>
        <w:overflowPunct/>
        <w:topLinePunct w:val="0"/>
        <w:autoSpaceDE/>
        <w:autoSpaceDN/>
        <w:bidi w:val="0"/>
        <w:adjustRightInd/>
        <w:snapToGrid/>
        <w:spacing w:before="60" w:after="60" w:line="360" w:lineRule="auto"/>
        <w:ind w:firstLine="420" w:firstLineChars="0"/>
        <w:textAlignment w:val="auto"/>
        <w:outlineLvl w:val="9"/>
        <w:rPr>
          <w:rFonts w:hint="eastAsia"/>
        </w:rPr>
      </w:pPr>
      <w:r>
        <w:rPr>
          <w:color w:val="000000"/>
        </w:rPr>
        <w:t>在数字经济深化的时代背景下，数据已成为驱动企业价值增长的核心生产要素。2024年起，随着《企业数据资源相关会计处理暂行规定》正式施行，数据资产入表从政策构想转变为财务实践。南京</w:t>
      </w:r>
      <w:r>
        <w:rPr>
          <w:rFonts w:hint="eastAsia"/>
          <w:color w:val="000000"/>
        </w:rPr>
        <w:t>钢铁</w:t>
      </w:r>
      <w:r>
        <w:rPr>
          <w:color w:val="000000"/>
        </w:rPr>
        <w:t>股份有限公司（以下简称“南</w:t>
      </w:r>
      <w:r>
        <w:rPr>
          <w:rFonts w:hint="eastAsia"/>
          <w:color w:val="000000"/>
        </w:rPr>
        <w:t>钢</w:t>
      </w:r>
      <w:r>
        <w:rPr>
          <w:color w:val="000000"/>
        </w:rPr>
        <w:t>股份”）作为传统制造业数字化转型的先行者，率先将超千万元数据资源纳入财务报表，开创了传统制造业转型新范式。</w:t>
      </w:r>
    </w:p>
    <w:p w14:paraId="440EE902">
      <w:pPr>
        <w:keepNext w:val="0"/>
        <w:keepLines w:val="0"/>
        <w:pageBreakBefore w:val="0"/>
        <w:widowControl w:val="0"/>
        <w:kinsoku/>
        <w:wordWrap/>
        <w:overflowPunct/>
        <w:topLinePunct w:val="0"/>
        <w:autoSpaceDE/>
        <w:autoSpaceDN/>
        <w:bidi w:val="0"/>
        <w:adjustRightInd/>
        <w:snapToGrid/>
        <w:spacing w:before="60" w:after="60" w:line="360" w:lineRule="auto"/>
        <w:ind w:firstLine="420" w:firstLineChars="0"/>
        <w:textAlignment w:val="auto"/>
        <w:outlineLvl w:val="9"/>
        <w:rPr>
          <w:color w:val="000000"/>
        </w:rPr>
      </w:pPr>
      <w:r>
        <w:rPr>
          <w:color w:val="000000"/>
        </w:rPr>
        <w:t>本报告以南</w:t>
      </w:r>
      <w:r>
        <w:rPr>
          <w:rFonts w:hint="eastAsia"/>
          <w:color w:val="000000"/>
        </w:rPr>
        <w:t>钢</w:t>
      </w:r>
      <w:r>
        <w:rPr>
          <w:color w:val="000000"/>
        </w:rPr>
        <w:t>股份数据资产入表为核心案例，从理论框架、实操路径、财务影响、内控治理与战略价值五个维度展开系统分析。报告构建了</w:t>
      </w:r>
      <w:r>
        <w:rPr>
          <w:b/>
          <w:bCs/>
          <w:color w:val="000000"/>
        </w:rPr>
        <w:t>数据—数据资源—数据资产</w:t>
      </w:r>
      <w:r>
        <w:rPr>
          <w:color w:val="000000"/>
        </w:rPr>
        <w:t>三层递进式确认模型，完整还原南</w:t>
      </w:r>
      <w:r>
        <w:rPr>
          <w:rFonts w:hint="eastAsia"/>
          <w:color w:val="000000"/>
        </w:rPr>
        <w:t>钢</w:t>
      </w:r>
      <w:r>
        <w:rPr>
          <w:color w:val="000000"/>
        </w:rPr>
        <w:t>入表全流程，量化评估入表对财务指标的多维影响，并提炼可复制的制造业数字化转型实践范式。</w:t>
      </w:r>
    </w:p>
    <w:p w14:paraId="63150B11">
      <w:pPr>
        <w:keepNext w:val="0"/>
        <w:keepLines w:val="0"/>
        <w:pageBreakBefore w:val="0"/>
        <w:widowControl w:val="0"/>
        <w:kinsoku/>
        <w:wordWrap/>
        <w:overflowPunct/>
        <w:topLinePunct w:val="0"/>
        <w:autoSpaceDE/>
        <w:autoSpaceDN/>
        <w:bidi w:val="0"/>
        <w:adjustRightInd/>
        <w:snapToGrid/>
        <w:spacing w:before="60" w:after="60" w:line="360" w:lineRule="auto"/>
        <w:ind w:firstLine="420" w:firstLineChars="0"/>
        <w:textAlignment w:val="auto"/>
        <w:outlineLvl w:val="9"/>
        <w:rPr>
          <w:rFonts w:hint="eastAsia"/>
          <w:color w:val="000000"/>
        </w:rPr>
      </w:pPr>
      <w:r>
        <w:rPr>
          <w:color w:val="000000"/>
        </w:rPr>
        <w:t>研究表明，数据资产入表不仅是会计准则的合规落地，更是传统制造业重塑竞争优势、提升资本估值的战略利器。</w:t>
      </w:r>
    </w:p>
    <w:p w14:paraId="31DC1AC5">
      <w:pPr>
        <w:keepNext w:val="0"/>
        <w:keepLines w:val="0"/>
        <w:pageBreakBefore w:val="0"/>
        <w:widowControl w:val="0"/>
        <w:kinsoku/>
        <w:wordWrap/>
        <w:overflowPunct/>
        <w:topLinePunct w:val="0"/>
        <w:autoSpaceDE/>
        <w:autoSpaceDN/>
        <w:bidi w:val="0"/>
        <w:adjustRightInd/>
        <w:snapToGrid/>
        <w:spacing w:before="60" w:after="60" w:line="360" w:lineRule="auto"/>
        <w:textAlignment w:val="auto"/>
        <w:outlineLvl w:val="9"/>
        <w:rPr>
          <w:rFonts w:hint="eastAsia"/>
        </w:rPr>
      </w:pPr>
      <w:r>
        <w:rPr>
          <w:b/>
          <w:bCs/>
          <w:color w:val="000000"/>
        </w:rPr>
        <w:t>关键词：数据资产入表；数字化转型；无形资产；会计处理；南</w:t>
      </w:r>
      <w:r>
        <w:rPr>
          <w:rFonts w:hint="eastAsia"/>
          <w:b/>
          <w:bCs/>
          <w:color w:val="000000"/>
        </w:rPr>
        <w:t>钢</w:t>
      </w:r>
      <w:r>
        <w:rPr>
          <w:b/>
          <w:bCs/>
          <w:color w:val="000000"/>
        </w:rPr>
        <w:t>股份</w:t>
      </w:r>
    </w:p>
    <w:p w14:paraId="21CACAEC">
      <w:pPr>
        <w:keepNext w:val="0"/>
        <w:keepLines w:val="0"/>
        <w:pageBreakBefore w:val="0"/>
        <w:widowControl w:val="0"/>
        <w:kinsoku/>
        <w:wordWrap/>
        <w:overflowPunct/>
        <w:topLinePunct w:val="0"/>
        <w:autoSpaceDE/>
        <w:autoSpaceDN/>
        <w:bidi w:val="0"/>
        <w:adjustRightInd/>
        <w:snapToGrid/>
        <w:textAlignment w:val="auto"/>
        <w:outlineLvl w:val="9"/>
        <w:sectPr>
          <w:pgSz w:w="11906" w:h="16838"/>
          <w:pgMar w:top="1800" w:right="1800" w:bottom="1800" w:left="1800" w:header="708" w:footer="708" w:gutter="0"/>
          <w:cols w:space="720" w:num="1"/>
          <w:docGrid w:linePitch="360" w:charSpace="0"/>
        </w:sectPr>
      </w:pPr>
    </w:p>
    <w:p w14:paraId="317CB098">
      <w:pPr>
        <w:keepNext w:val="0"/>
        <w:keepLines w:val="0"/>
        <w:pageBreakBefore w:val="0"/>
        <w:widowControl w:val="0"/>
        <w:pBdr>
          <w:bottom w:val="single" w:color="2E5FA3" w:sz="12" w:space="6"/>
        </w:pBdr>
        <w:kinsoku/>
        <w:wordWrap/>
        <w:overflowPunct/>
        <w:topLinePunct w:val="0"/>
        <w:autoSpaceDE/>
        <w:autoSpaceDN/>
        <w:bidi w:val="0"/>
        <w:adjustRightInd/>
        <w:snapToGrid/>
        <w:spacing w:before="300" w:after="180" w:line="360" w:lineRule="auto"/>
        <w:jc w:val="center"/>
        <w:textAlignment w:val="auto"/>
        <w:outlineLvl w:val="9"/>
        <w:rPr>
          <w:rFonts w:hint="eastAsia"/>
          <w:b/>
          <w:bCs/>
          <w:color w:val="1F3864"/>
          <w:sz w:val="28"/>
          <w:szCs w:val="28"/>
          <w:lang w:val="en-US" w:eastAsia="zh-CN"/>
        </w:rPr>
      </w:pPr>
      <w:r>
        <w:rPr>
          <w:rFonts w:hint="eastAsia"/>
          <w:b/>
          <w:bCs/>
          <w:color w:val="1F3864"/>
          <w:sz w:val="28"/>
          <w:szCs w:val="28"/>
          <w:lang w:val="en-US" w:eastAsia="zh-CN"/>
        </w:rPr>
        <w:t>目录</w:t>
      </w:r>
    </w:p>
    <w:p w14:paraId="027E60D4">
      <w:pPr>
        <w:pStyle w:val="12"/>
        <w:tabs>
          <w:tab w:val="right" w:leader="dot" w:pos="8306"/>
        </w:tabs>
        <w:rPr>
          <w:b/>
          <w:bCs/>
          <w:color w:val="1F3864"/>
          <w:sz w:val="28"/>
          <w:szCs w:val="28"/>
        </w:rPr>
      </w:pPr>
    </w:p>
    <w:p w14:paraId="314E95C6">
      <w:pPr>
        <w:pStyle w:val="12"/>
        <w:tabs>
          <w:tab w:val="right" w:leader="dot" w:pos="8306"/>
        </w:tabs>
      </w:pPr>
      <w:r>
        <w:rPr>
          <w:b/>
          <w:bCs/>
          <w:color w:val="1F3864"/>
          <w:sz w:val="28"/>
          <w:szCs w:val="28"/>
        </w:rPr>
        <w:fldChar w:fldCharType="begin"/>
      </w:r>
      <w:r>
        <w:rPr>
          <w:b/>
          <w:bCs/>
          <w:color w:val="1F3864"/>
          <w:sz w:val="28"/>
          <w:szCs w:val="28"/>
        </w:rPr>
        <w:instrText xml:space="preserve">TOC \o "1-3" \h \u </w:instrText>
      </w:r>
      <w:r>
        <w:rPr>
          <w:b/>
          <w:bCs/>
          <w:color w:val="1F3864"/>
          <w:sz w:val="28"/>
          <w:szCs w:val="28"/>
        </w:rPr>
        <w:fldChar w:fldCharType="separate"/>
      </w:r>
      <w:r>
        <w:rPr>
          <w:bCs/>
          <w:color w:val="1F3864"/>
          <w:szCs w:val="28"/>
        </w:rPr>
        <w:fldChar w:fldCharType="begin"/>
      </w:r>
      <w:r>
        <w:rPr>
          <w:bCs/>
          <w:szCs w:val="28"/>
        </w:rPr>
        <w:instrText xml:space="preserve"> HYPERLINK \l _Toc28392 </w:instrText>
      </w:r>
      <w:r>
        <w:rPr>
          <w:bCs/>
          <w:szCs w:val="28"/>
        </w:rPr>
        <w:fldChar w:fldCharType="separate"/>
      </w:r>
      <w:r>
        <w:rPr>
          <w:bCs/>
          <w:szCs w:val="28"/>
        </w:rPr>
        <w:t>第一章  三层递进式确认：数据资产入表的理论逻辑与合规边界</w:t>
      </w:r>
      <w:r>
        <w:tab/>
      </w:r>
      <w:r>
        <w:fldChar w:fldCharType="begin"/>
      </w:r>
      <w:r>
        <w:instrText xml:space="preserve"> PAGEREF _Toc28392 \h </w:instrText>
      </w:r>
      <w:r>
        <w:fldChar w:fldCharType="separate"/>
      </w:r>
      <w:r>
        <w:t>1</w:t>
      </w:r>
      <w:r>
        <w:fldChar w:fldCharType="end"/>
      </w:r>
      <w:r>
        <w:rPr>
          <w:bCs/>
          <w:color w:val="1F3864"/>
          <w:szCs w:val="28"/>
        </w:rPr>
        <w:fldChar w:fldCharType="end"/>
      </w:r>
    </w:p>
    <w:p w14:paraId="4F58E69F">
      <w:pPr>
        <w:pStyle w:val="14"/>
        <w:tabs>
          <w:tab w:val="right" w:leader="dot" w:pos="8306"/>
        </w:tabs>
      </w:pPr>
      <w:r>
        <w:rPr>
          <w:bCs/>
          <w:color w:val="1F3864"/>
          <w:szCs w:val="28"/>
        </w:rPr>
        <w:fldChar w:fldCharType="begin"/>
      </w:r>
      <w:r>
        <w:rPr>
          <w:bCs/>
          <w:szCs w:val="28"/>
        </w:rPr>
        <w:instrText xml:space="preserve"> HYPERLINK \l _Toc17977 </w:instrText>
      </w:r>
      <w:r>
        <w:rPr>
          <w:bCs/>
          <w:szCs w:val="28"/>
        </w:rPr>
        <w:fldChar w:fldCharType="separate"/>
      </w:r>
      <w:r>
        <w:rPr>
          <w:bCs/>
          <w:szCs w:val="26"/>
        </w:rPr>
        <w:t>1.1  核心概念界定：从数据到数据资产的递进逻辑</w:t>
      </w:r>
      <w:r>
        <w:tab/>
      </w:r>
      <w:r>
        <w:fldChar w:fldCharType="begin"/>
      </w:r>
      <w:r>
        <w:instrText xml:space="preserve"> PAGEREF _Toc17977 \h </w:instrText>
      </w:r>
      <w:r>
        <w:fldChar w:fldCharType="separate"/>
      </w:r>
      <w:r>
        <w:t>1</w:t>
      </w:r>
      <w:r>
        <w:fldChar w:fldCharType="end"/>
      </w:r>
      <w:r>
        <w:rPr>
          <w:bCs/>
          <w:color w:val="1F3864"/>
          <w:szCs w:val="28"/>
        </w:rPr>
        <w:fldChar w:fldCharType="end"/>
      </w:r>
    </w:p>
    <w:p w14:paraId="3724D8D2">
      <w:pPr>
        <w:pStyle w:val="8"/>
        <w:tabs>
          <w:tab w:val="right" w:leader="dot" w:pos="8306"/>
        </w:tabs>
      </w:pPr>
      <w:r>
        <w:rPr>
          <w:bCs/>
          <w:color w:val="1F3864"/>
          <w:szCs w:val="28"/>
        </w:rPr>
        <w:fldChar w:fldCharType="begin"/>
      </w:r>
      <w:r>
        <w:rPr>
          <w:bCs/>
          <w:szCs w:val="28"/>
        </w:rPr>
        <w:instrText xml:space="preserve"> HYPERLINK \l _Toc19306 </w:instrText>
      </w:r>
      <w:r>
        <w:rPr>
          <w:bCs/>
          <w:szCs w:val="28"/>
        </w:rPr>
        <w:fldChar w:fldCharType="separate"/>
      </w:r>
      <w:r>
        <w:rPr>
          <w:bCs/>
        </w:rPr>
        <w:t>（一）数据：信息生产的原材料</w:t>
      </w:r>
      <w:r>
        <w:tab/>
      </w:r>
      <w:r>
        <w:fldChar w:fldCharType="begin"/>
      </w:r>
      <w:r>
        <w:instrText xml:space="preserve"> PAGEREF _Toc19306 \h </w:instrText>
      </w:r>
      <w:r>
        <w:fldChar w:fldCharType="separate"/>
      </w:r>
      <w:r>
        <w:t>1</w:t>
      </w:r>
      <w:r>
        <w:fldChar w:fldCharType="end"/>
      </w:r>
      <w:r>
        <w:rPr>
          <w:bCs/>
          <w:color w:val="1F3864"/>
          <w:szCs w:val="28"/>
        </w:rPr>
        <w:fldChar w:fldCharType="end"/>
      </w:r>
    </w:p>
    <w:p w14:paraId="2E33C903">
      <w:pPr>
        <w:pStyle w:val="8"/>
        <w:tabs>
          <w:tab w:val="right" w:leader="dot" w:pos="8306"/>
        </w:tabs>
      </w:pPr>
      <w:r>
        <w:rPr>
          <w:bCs/>
          <w:color w:val="1F3864"/>
          <w:szCs w:val="28"/>
        </w:rPr>
        <w:fldChar w:fldCharType="begin"/>
      </w:r>
      <w:r>
        <w:rPr>
          <w:bCs/>
          <w:szCs w:val="28"/>
        </w:rPr>
        <w:instrText xml:space="preserve"> HYPERLINK \l _Toc9502 </w:instrText>
      </w:r>
      <w:r>
        <w:rPr>
          <w:bCs/>
          <w:szCs w:val="28"/>
        </w:rPr>
        <w:fldChar w:fldCharType="separate"/>
      </w:r>
      <w:r>
        <w:rPr>
          <w:bCs/>
        </w:rPr>
        <w:t>（二）数据资源：具有使用价值的加工型资产</w:t>
      </w:r>
      <w:r>
        <w:tab/>
      </w:r>
      <w:r>
        <w:fldChar w:fldCharType="begin"/>
      </w:r>
      <w:r>
        <w:instrText xml:space="preserve"> PAGEREF _Toc9502 \h </w:instrText>
      </w:r>
      <w:r>
        <w:fldChar w:fldCharType="separate"/>
      </w:r>
      <w:r>
        <w:t>1</w:t>
      </w:r>
      <w:r>
        <w:fldChar w:fldCharType="end"/>
      </w:r>
      <w:r>
        <w:rPr>
          <w:bCs/>
          <w:color w:val="1F3864"/>
          <w:szCs w:val="28"/>
        </w:rPr>
        <w:fldChar w:fldCharType="end"/>
      </w:r>
    </w:p>
    <w:p w14:paraId="5F54915D">
      <w:pPr>
        <w:pStyle w:val="8"/>
        <w:tabs>
          <w:tab w:val="right" w:leader="dot" w:pos="8306"/>
        </w:tabs>
      </w:pPr>
      <w:r>
        <w:rPr>
          <w:bCs/>
          <w:color w:val="1F3864"/>
          <w:szCs w:val="28"/>
        </w:rPr>
        <w:fldChar w:fldCharType="begin"/>
      </w:r>
      <w:r>
        <w:rPr>
          <w:bCs/>
          <w:szCs w:val="28"/>
        </w:rPr>
        <w:instrText xml:space="preserve"> HYPERLINK \l _Toc31770 </w:instrText>
      </w:r>
      <w:r>
        <w:rPr>
          <w:bCs/>
          <w:szCs w:val="28"/>
        </w:rPr>
        <w:fldChar w:fldCharType="separate"/>
      </w:r>
      <w:r>
        <w:rPr>
          <w:bCs/>
        </w:rPr>
        <w:t>（三）数据资产：经会计确认的财务要素</w:t>
      </w:r>
      <w:r>
        <w:tab/>
      </w:r>
      <w:r>
        <w:fldChar w:fldCharType="begin"/>
      </w:r>
      <w:r>
        <w:instrText xml:space="preserve"> PAGEREF _Toc31770 \h </w:instrText>
      </w:r>
      <w:r>
        <w:fldChar w:fldCharType="separate"/>
      </w:r>
      <w:r>
        <w:t>1</w:t>
      </w:r>
      <w:r>
        <w:fldChar w:fldCharType="end"/>
      </w:r>
      <w:r>
        <w:rPr>
          <w:bCs/>
          <w:color w:val="1F3864"/>
          <w:szCs w:val="28"/>
        </w:rPr>
        <w:fldChar w:fldCharType="end"/>
      </w:r>
    </w:p>
    <w:p w14:paraId="140D13A2">
      <w:pPr>
        <w:pStyle w:val="14"/>
        <w:tabs>
          <w:tab w:val="right" w:leader="dot" w:pos="8306"/>
        </w:tabs>
      </w:pPr>
      <w:r>
        <w:rPr>
          <w:bCs/>
          <w:color w:val="1F3864"/>
          <w:szCs w:val="28"/>
        </w:rPr>
        <w:fldChar w:fldCharType="begin"/>
      </w:r>
      <w:r>
        <w:rPr>
          <w:bCs/>
          <w:szCs w:val="28"/>
        </w:rPr>
        <w:instrText xml:space="preserve"> HYPERLINK \l _Toc11016 </w:instrText>
      </w:r>
      <w:r>
        <w:rPr>
          <w:bCs/>
          <w:szCs w:val="28"/>
        </w:rPr>
        <w:fldChar w:fldCharType="separate"/>
      </w:r>
      <w:r>
        <w:rPr>
          <w:bCs/>
          <w:szCs w:val="26"/>
        </w:rPr>
        <w:t>1.2  数据资源入表的理论框架</w:t>
      </w:r>
      <w:r>
        <w:tab/>
      </w:r>
      <w:r>
        <w:fldChar w:fldCharType="begin"/>
      </w:r>
      <w:r>
        <w:instrText xml:space="preserve"> PAGEREF _Toc11016 \h </w:instrText>
      </w:r>
      <w:r>
        <w:fldChar w:fldCharType="separate"/>
      </w:r>
      <w:r>
        <w:t>2</w:t>
      </w:r>
      <w:r>
        <w:fldChar w:fldCharType="end"/>
      </w:r>
      <w:r>
        <w:rPr>
          <w:bCs/>
          <w:color w:val="1F3864"/>
          <w:szCs w:val="28"/>
        </w:rPr>
        <w:fldChar w:fldCharType="end"/>
      </w:r>
    </w:p>
    <w:p w14:paraId="65993C22">
      <w:pPr>
        <w:pStyle w:val="8"/>
        <w:tabs>
          <w:tab w:val="right" w:leader="dot" w:pos="8306"/>
        </w:tabs>
      </w:pPr>
      <w:r>
        <w:rPr>
          <w:bCs/>
          <w:color w:val="1F3864"/>
          <w:szCs w:val="28"/>
        </w:rPr>
        <w:fldChar w:fldCharType="begin"/>
      </w:r>
      <w:r>
        <w:rPr>
          <w:bCs/>
          <w:szCs w:val="28"/>
        </w:rPr>
        <w:instrText xml:space="preserve"> HYPERLINK \l _Toc8716 </w:instrText>
      </w:r>
      <w:r>
        <w:rPr>
          <w:bCs/>
          <w:szCs w:val="28"/>
        </w:rPr>
        <w:fldChar w:fldCharType="separate"/>
      </w:r>
      <w:r>
        <w:rPr>
          <w:bCs/>
        </w:rPr>
        <w:t>（一）权属确认：法律基础</w:t>
      </w:r>
      <w:r>
        <w:tab/>
      </w:r>
      <w:r>
        <w:fldChar w:fldCharType="begin"/>
      </w:r>
      <w:r>
        <w:instrText xml:space="preserve"> PAGEREF _Toc8716 \h </w:instrText>
      </w:r>
      <w:r>
        <w:fldChar w:fldCharType="separate"/>
      </w:r>
      <w:r>
        <w:t>2</w:t>
      </w:r>
      <w:r>
        <w:fldChar w:fldCharType="end"/>
      </w:r>
      <w:r>
        <w:rPr>
          <w:bCs/>
          <w:color w:val="1F3864"/>
          <w:szCs w:val="28"/>
        </w:rPr>
        <w:fldChar w:fldCharType="end"/>
      </w:r>
    </w:p>
    <w:p w14:paraId="670AC133">
      <w:pPr>
        <w:pStyle w:val="8"/>
        <w:tabs>
          <w:tab w:val="right" w:leader="dot" w:pos="8306"/>
        </w:tabs>
      </w:pPr>
      <w:r>
        <w:rPr>
          <w:bCs/>
          <w:color w:val="1F3864"/>
          <w:szCs w:val="28"/>
        </w:rPr>
        <w:fldChar w:fldCharType="begin"/>
      </w:r>
      <w:r>
        <w:rPr>
          <w:bCs/>
          <w:szCs w:val="28"/>
        </w:rPr>
        <w:instrText xml:space="preserve"> HYPERLINK \l _Toc4936 </w:instrText>
      </w:r>
      <w:r>
        <w:rPr>
          <w:bCs/>
          <w:szCs w:val="28"/>
        </w:rPr>
        <w:fldChar w:fldCharType="separate"/>
      </w:r>
      <w:r>
        <w:rPr>
          <w:bCs/>
        </w:rPr>
        <w:t>（二）分类判断：用途导向</w:t>
      </w:r>
      <w:r>
        <w:tab/>
      </w:r>
      <w:r>
        <w:fldChar w:fldCharType="begin"/>
      </w:r>
      <w:r>
        <w:instrText xml:space="preserve"> PAGEREF _Toc4936 \h </w:instrText>
      </w:r>
      <w:r>
        <w:fldChar w:fldCharType="separate"/>
      </w:r>
      <w:r>
        <w:t>2</w:t>
      </w:r>
      <w:r>
        <w:fldChar w:fldCharType="end"/>
      </w:r>
      <w:r>
        <w:rPr>
          <w:bCs/>
          <w:color w:val="1F3864"/>
          <w:szCs w:val="28"/>
        </w:rPr>
        <w:fldChar w:fldCharType="end"/>
      </w:r>
    </w:p>
    <w:p w14:paraId="6F7EC4EA">
      <w:pPr>
        <w:pStyle w:val="8"/>
        <w:tabs>
          <w:tab w:val="right" w:leader="dot" w:pos="8306"/>
        </w:tabs>
      </w:pPr>
      <w:r>
        <w:rPr>
          <w:bCs/>
          <w:color w:val="1F3864"/>
          <w:szCs w:val="28"/>
        </w:rPr>
        <w:fldChar w:fldCharType="begin"/>
      </w:r>
      <w:r>
        <w:rPr>
          <w:bCs/>
          <w:szCs w:val="28"/>
        </w:rPr>
        <w:instrText xml:space="preserve"> HYPERLINK \l _Toc22439 </w:instrText>
      </w:r>
      <w:r>
        <w:rPr>
          <w:bCs/>
          <w:szCs w:val="28"/>
        </w:rPr>
        <w:fldChar w:fldCharType="separate"/>
      </w:r>
      <w:r>
        <w:rPr>
          <w:bCs/>
        </w:rPr>
        <w:t>（三）成本计量：真实可靠</w:t>
      </w:r>
      <w:r>
        <w:tab/>
      </w:r>
      <w:r>
        <w:fldChar w:fldCharType="begin"/>
      </w:r>
      <w:r>
        <w:instrText xml:space="preserve"> PAGEREF _Toc22439 \h </w:instrText>
      </w:r>
      <w:r>
        <w:fldChar w:fldCharType="separate"/>
      </w:r>
      <w:r>
        <w:t>2</w:t>
      </w:r>
      <w:r>
        <w:fldChar w:fldCharType="end"/>
      </w:r>
      <w:r>
        <w:rPr>
          <w:bCs/>
          <w:color w:val="1F3864"/>
          <w:szCs w:val="28"/>
        </w:rPr>
        <w:fldChar w:fldCharType="end"/>
      </w:r>
    </w:p>
    <w:p w14:paraId="65B2C3D6">
      <w:pPr>
        <w:pStyle w:val="8"/>
        <w:tabs>
          <w:tab w:val="right" w:leader="dot" w:pos="8306"/>
        </w:tabs>
      </w:pPr>
      <w:r>
        <w:rPr>
          <w:bCs/>
          <w:color w:val="1F3864"/>
          <w:szCs w:val="28"/>
        </w:rPr>
        <w:fldChar w:fldCharType="begin"/>
      </w:r>
      <w:r>
        <w:rPr>
          <w:bCs/>
          <w:szCs w:val="28"/>
        </w:rPr>
        <w:instrText xml:space="preserve"> HYPERLINK \l _Toc12677 </w:instrText>
      </w:r>
      <w:r>
        <w:rPr>
          <w:bCs/>
          <w:szCs w:val="28"/>
        </w:rPr>
        <w:fldChar w:fldCharType="separate"/>
      </w:r>
      <w:r>
        <w:rPr>
          <w:bCs/>
        </w:rPr>
        <w:t>（四）适用边界：合规红线</w:t>
      </w:r>
      <w:r>
        <w:tab/>
      </w:r>
      <w:r>
        <w:fldChar w:fldCharType="begin"/>
      </w:r>
      <w:r>
        <w:instrText xml:space="preserve"> PAGEREF _Toc12677 \h </w:instrText>
      </w:r>
      <w:r>
        <w:fldChar w:fldCharType="separate"/>
      </w:r>
      <w:r>
        <w:t>3</w:t>
      </w:r>
      <w:r>
        <w:fldChar w:fldCharType="end"/>
      </w:r>
      <w:r>
        <w:rPr>
          <w:bCs/>
          <w:color w:val="1F3864"/>
          <w:szCs w:val="28"/>
        </w:rPr>
        <w:fldChar w:fldCharType="end"/>
      </w:r>
    </w:p>
    <w:p w14:paraId="7ADF5BD6">
      <w:pPr>
        <w:pStyle w:val="12"/>
        <w:tabs>
          <w:tab w:val="right" w:leader="dot" w:pos="8306"/>
        </w:tabs>
      </w:pPr>
      <w:r>
        <w:rPr>
          <w:bCs/>
          <w:color w:val="1F3864"/>
          <w:szCs w:val="28"/>
        </w:rPr>
        <w:fldChar w:fldCharType="begin"/>
      </w:r>
      <w:r>
        <w:rPr>
          <w:bCs/>
          <w:szCs w:val="28"/>
        </w:rPr>
        <w:instrText xml:space="preserve"> HYPERLINK \l _Toc8555 </w:instrText>
      </w:r>
      <w:r>
        <w:rPr>
          <w:bCs/>
          <w:szCs w:val="28"/>
        </w:rPr>
        <w:fldChar w:fldCharType="separate"/>
      </w:r>
      <w:r>
        <w:rPr>
          <w:bCs/>
          <w:szCs w:val="28"/>
        </w:rPr>
        <w:t>第二章  全流程拆解与难点突破：南</w:t>
      </w:r>
      <w:r>
        <w:rPr>
          <w:rFonts w:hint="eastAsia"/>
          <w:bCs/>
          <w:szCs w:val="28"/>
        </w:rPr>
        <w:t>钢</w:t>
      </w:r>
      <w:r>
        <w:rPr>
          <w:bCs/>
          <w:szCs w:val="28"/>
        </w:rPr>
        <w:t>数据资产入表的实操路径与优化方案</w:t>
      </w:r>
      <w:r>
        <w:tab/>
      </w:r>
      <w:r>
        <w:fldChar w:fldCharType="begin"/>
      </w:r>
      <w:r>
        <w:instrText xml:space="preserve"> PAGEREF _Toc8555 \h </w:instrText>
      </w:r>
      <w:r>
        <w:fldChar w:fldCharType="separate"/>
      </w:r>
      <w:r>
        <w:t>4</w:t>
      </w:r>
      <w:r>
        <w:fldChar w:fldCharType="end"/>
      </w:r>
      <w:r>
        <w:rPr>
          <w:bCs/>
          <w:color w:val="1F3864"/>
          <w:szCs w:val="28"/>
        </w:rPr>
        <w:fldChar w:fldCharType="end"/>
      </w:r>
    </w:p>
    <w:p w14:paraId="444AC634">
      <w:pPr>
        <w:pStyle w:val="14"/>
        <w:tabs>
          <w:tab w:val="right" w:leader="dot" w:pos="8306"/>
        </w:tabs>
      </w:pPr>
      <w:r>
        <w:rPr>
          <w:bCs/>
          <w:color w:val="1F3864"/>
          <w:szCs w:val="28"/>
        </w:rPr>
        <w:fldChar w:fldCharType="begin"/>
      </w:r>
      <w:r>
        <w:rPr>
          <w:bCs/>
          <w:szCs w:val="28"/>
        </w:rPr>
        <w:instrText xml:space="preserve"> HYPERLINK \l _Toc16866 </w:instrText>
      </w:r>
      <w:r>
        <w:rPr>
          <w:bCs/>
          <w:szCs w:val="28"/>
        </w:rPr>
        <w:fldChar w:fldCharType="separate"/>
      </w:r>
      <w:r>
        <w:rPr>
          <w:bCs/>
          <w:szCs w:val="26"/>
        </w:rPr>
        <w:t>2.1  南</w:t>
      </w:r>
      <w:r>
        <w:rPr>
          <w:rFonts w:hint="eastAsia"/>
          <w:bCs/>
          <w:szCs w:val="26"/>
        </w:rPr>
        <w:t>钢</w:t>
      </w:r>
      <w:r>
        <w:rPr>
          <w:bCs/>
          <w:szCs w:val="26"/>
        </w:rPr>
        <w:t>数据资产入表全流程还原</w:t>
      </w:r>
      <w:r>
        <w:tab/>
      </w:r>
      <w:r>
        <w:fldChar w:fldCharType="begin"/>
      </w:r>
      <w:r>
        <w:instrText xml:space="preserve"> PAGEREF _Toc16866 \h </w:instrText>
      </w:r>
      <w:r>
        <w:fldChar w:fldCharType="separate"/>
      </w:r>
      <w:r>
        <w:t>4</w:t>
      </w:r>
      <w:r>
        <w:fldChar w:fldCharType="end"/>
      </w:r>
      <w:r>
        <w:rPr>
          <w:bCs/>
          <w:color w:val="1F3864"/>
          <w:szCs w:val="28"/>
        </w:rPr>
        <w:fldChar w:fldCharType="end"/>
      </w:r>
    </w:p>
    <w:p w14:paraId="738CE958">
      <w:pPr>
        <w:pStyle w:val="14"/>
        <w:tabs>
          <w:tab w:val="right" w:leader="dot" w:pos="8306"/>
        </w:tabs>
      </w:pPr>
      <w:r>
        <w:rPr>
          <w:bCs/>
          <w:color w:val="1F3864"/>
          <w:szCs w:val="28"/>
        </w:rPr>
        <w:fldChar w:fldCharType="begin"/>
      </w:r>
      <w:r>
        <w:rPr>
          <w:bCs/>
          <w:szCs w:val="28"/>
        </w:rPr>
        <w:instrText xml:space="preserve"> HYPERLINK \l _Toc5620 </w:instrText>
      </w:r>
      <w:r>
        <w:rPr>
          <w:bCs/>
          <w:szCs w:val="28"/>
        </w:rPr>
        <w:fldChar w:fldCharType="separate"/>
      </w:r>
      <w:r>
        <w:rPr>
          <w:bCs/>
          <w:szCs w:val="26"/>
        </w:rPr>
        <w:t>2.2  三大核心难点深度拆解与优化方案</w:t>
      </w:r>
      <w:r>
        <w:tab/>
      </w:r>
      <w:r>
        <w:fldChar w:fldCharType="begin"/>
      </w:r>
      <w:r>
        <w:instrText xml:space="preserve"> PAGEREF _Toc5620 \h </w:instrText>
      </w:r>
      <w:r>
        <w:fldChar w:fldCharType="separate"/>
      </w:r>
      <w:r>
        <w:t>5</w:t>
      </w:r>
      <w:r>
        <w:fldChar w:fldCharType="end"/>
      </w:r>
      <w:r>
        <w:rPr>
          <w:bCs/>
          <w:color w:val="1F3864"/>
          <w:szCs w:val="28"/>
        </w:rPr>
        <w:fldChar w:fldCharType="end"/>
      </w:r>
    </w:p>
    <w:p w14:paraId="7116CF98">
      <w:pPr>
        <w:pStyle w:val="8"/>
        <w:tabs>
          <w:tab w:val="right" w:leader="dot" w:pos="8306"/>
        </w:tabs>
      </w:pPr>
      <w:r>
        <w:rPr>
          <w:bCs/>
          <w:color w:val="1F3864"/>
          <w:szCs w:val="28"/>
        </w:rPr>
        <w:fldChar w:fldCharType="begin"/>
      </w:r>
      <w:r>
        <w:rPr>
          <w:bCs/>
          <w:szCs w:val="28"/>
        </w:rPr>
        <w:instrText xml:space="preserve"> HYPERLINK \l _Toc10123 </w:instrText>
      </w:r>
      <w:r>
        <w:rPr>
          <w:bCs/>
          <w:szCs w:val="28"/>
        </w:rPr>
        <w:fldChar w:fldCharType="separate"/>
      </w:r>
      <w:r>
        <w:rPr>
          <w:bCs/>
        </w:rPr>
        <w:t>难点一：研究阶段与开发阶段的划分</w:t>
      </w:r>
      <w:r>
        <w:tab/>
      </w:r>
      <w:r>
        <w:fldChar w:fldCharType="begin"/>
      </w:r>
      <w:r>
        <w:instrText xml:space="preserve"> PAGEREF _Toc10123 \h </w:instrText>
      </w:r>
      <w:r>
        <w:fldChar w:fldCharType="separate"/>
      </w:r>
      <w:r>
        <w:t>5</w:t>
      </w:r>
      <w:r>
        <w:fldChar w:fldCharType="end"/>
      </w:r>
      <w:r>
        <w:rPr>
          <w:bCs/>
          <w:color w:val="1F3864"/>
          <w:szCs w:val="28"/>
        </w:rPr>
        <w:fldChar w:fldCharType="end"/>
      </w:r>
    </w:p>
    <w:p w14:paraId="0AC421EA">
      <w:pPr>
        <w:pStyle w:val="8"/>
        <w:tabs>
          <w:tab w:val="right" w:leader="dot" w:pos="8306"/>
        </w:tabs>
      </w:pPr>
      <w:r>
        <w:rPr>
          <w:bCs/>
          <w:color w:val="1F3864"/>
          <w:szCs w:val="28"/>
        </w:rPr>
        <w:fldChar w:fldCharType="begin"/>
      </w:r>
      <w:r>
        <w:rPr>
          <w:bCs/>
          <w:szCs w:val="28"/>
        </w:rPr>
        <w:instrText xml:space="preserve"> HYPERLINK \l _Toc32459 </w:instrText>
      </w:r>
      <w:r>
        <w:rPr>
          <w:bCs/>
          <w:szCs w:val="28"/>
        </w:rPr>
        <w:fldChar w:fldCharType="separate"/>
      </w:r>
      <w:r>
        <w:rPr>
          <w:bCs/>
        </w:rPr>
        <w:t>难点二：资本化判断标准</w:t>
      </w:r>
      <w:r>
        <w:tab/>
      </w:r>
      <w:r>
        <w:fldChar w:fldCharType="begin"/>
      </w:r>
      <w:r>
        <w:instrText xml:space="preserve"> PAGEREF _Toc32459 \h </w:instrText>
      </w:r>
      <w:r>
        <w:fldChar w:fldCharType="separate"/>
      </w:r>
      <w:r>
        <w:t>6</w:t>
      </w:r>
      <w:r>
        <w:fldChar w:fldCharType="end"/>
      </w:r>
      <w:r>
        <w:rPr>
          <w:bCs/>
          <w:color w:val="1F3864"/>
          <w:szCs w:val="28"/>
        </w:rPr>
        <w:fldChar w:fldCharType="end"/>
      </w:r>
    </w:p>
    <w:p w14:paraId="7E2AD2EA">
      <w:pPr>
        <w:pStyle w:val="8"/>
        <w:tabs>
          <w:tab w:val="right" w:leader="dot" w:pos="8306"/>
        </w:tabs>
      </w:pPr>
      <w:r>
        <w:rPr>
          <w:bCs/>
          <w:color w:val="1F3864"/>
          <w:szCs w:val="28"/>
        </w:rPr>
        <w:fldChar w:fldCharType="begin"/>
      </w:r>
      <w:r>
        <w:rPr>
          <w:bCs/>
          <w:szCs w:val="28"/>
        </w:rPr>
        <w:instrText xml:space="preserve"> HYPERLINK \l _Toc29872 </w:instrText>
      </w:r>
      <w:r>
        <w:rPr>
          <w:bCs/>
          <w:szCs w:val="28"/>
        </w:rPr>
        <w:fldChar w:fldCharType="separate"/>
      </w:r>
      <w:r>
        <w:rPr>
          <w:bCs/>
        </w:rPr>
        <w:t>难点三：后续</w:t>
      </w:r>
      <w:r>
        <w:rPr>
          <w:rFonts w:hint="eastAsia"/>
          <w:bCs/>
        </w:rPr>
        <w:t>摊销</w:t>
      </w:r>
      <w:r>
        <w:rPr>
          <w:bCs/>
        </w:rPr>
        <w:t>与减值测试</w:t>
      </w:r>
      <w:r>
        <w:tab/>
      </w:r>
      <w:r>
        <w:fldChar w:fldCharType="begin"/>
      </w:r>
      <w:r>
        <w:instrText xml:space="preserve"> PAGEREF _Toc29872 \h </w:instrText>
      </w:r>
      <w:r>
        <w:fldChar w:fldCharType="separate"/>
      </w:r>
      <w:r>
        <w:t>6</w:t>
      </w:r>
      <w:r>
        <w:fldChar w:fldCharType="end"/>
      </w:r>
      <w:r>
        <w:rPr>
          <w:bCs/>
          <w:color w:val="1F3864"/>
          <w:szCs w:val="28"/>
        </w:rPr>
        <w:fldChar w:fldCharType="end"/>
      </w:r>
    </w:p>
    <w:p w14:paraId="7052DC63">
      <w:pPr>
        <w:pStyle w:val="12"/>
        <w:tabs>
          <w:tab w:val="right" w:leader="dot" w:pos="8306"/>
        </w:tabs>
      </w:pPr>
      <w:r>
        <w:rPr>
          <w:bCs/>
          <w:color w:val="1F3864"/>
          <w:szCs w:val="28"/>
        </w:rPr>
        <w:fldChar w:fldCharType="begin"/>
      </w:r>
      <w:r>
        <w:rPr>
          <w:bCs/>
          <w:szCs w:val="28"/>
        </w:rPr>
        <w:instrText xml:space="preserve"> HYPERLINK \l _Toc261 </w:instrText>
      </w:r>
      <w:r>
        <w:rPr>
          <w:bCs/>
          <w:szCs w:val="28"/>
        </w:rPr>
        <w:fldChar w:fldCharType="separate"/>
      </w:r>
      <w:r>
        <w:rPr>
          <w:bCs/>
          <w:szCs w:val="28"/>
        </w:rPr>
        <w:t>第三章  量化穿透：数据资产入表对南</w:t>
      </w:r>
      <w:r>
        <w:rPr>
          <w:rFonts w:hint="eastAsia"/>
          <w:bCs/>
          <w:szCs w:val="28"/>
        </w:rPr>
        <w:t>钢</w:t>
      </w:r>
      <w:r>
        <w:rPr>
          <w:bCs/>
          <w:szCs w:val="28"/>
        </w:rPr>
        <w:t>财务状况的多维影响评估</w:t>
      </w:r>
      <w:r>
        <w:tab/>
      </w:r>
      <w:r>
        <w:fldChar w:fldCharType="begin"/>
      </w:r>
      <w:r>
        <w:instrText xml:space="preserve"> PAGEREF _Toc261 \h </w:instrText>
      </w:r>
      <w:r>
        <w:fldChar w:fldCharType="separate"/>
      </w:r>
      <w:r>
        <w:t>8</w:t>
      </w:r>
      <w:r>
        <w:fldChar w:fldCharType="end"/>
      </w:r>
      <w:r>
        <w:rPr>
          <w:bCs/>
          <w:color w:val="1F3864"/>
          <w:szCs w:val="28"/>
        </w:rPr>
        <w:fldChar w:fldCharType="end"/>
      </w:r>
    </w:p>
    <w:p w14:paraId="5DA6EF1B">
      <w:pPr>
        <w:pStyle w:val="14"/>
        <w:tabs>
          <w:tab w:val="right" w:leader="dot" w:pos="8306"/>
        </w:tabs>
      </w:pPr>
      <w:r>
        <w:rPr>
          <w:bCs/>
          <w:color w:val="1F3864"/>
          <w:szCs w:val="28"/>
        </w:rPr>
        <w:fldChar w:fldCharType="begin"/>
      </w:r>
      <w:r>
        <w:rPr>
          <w:bCs/>
          <w:szCs w:val="28"/>
        </w:rPr>
        <w:instrText xml:space="preserve"> HYPERLINK \l _Toc12072 </w:instrText>
      </w:r>
      <w:r>
        <w:rPr>
          <w:bCs/>
          <w:szCs w:val="28"/>
        </w:rPr>
        <w:fldChar w:fldCharType="separate"/>
      </w:r>
      <w:r>
        <w:rPr>
          <w:bCs/>
          <w:szCs w:val="26"/>
        </w:rPr>
        <w:t>3.1  数据资产规模变动分析</w:t>
      </w:r>
      <w:r>
        <w:tab/>
      </w:r>
      <w:r>
        <w:fldChar w:fldCharType="begin"/>
      </w:r>
      <w:r>
        <w:instrText xml:space="preserve"> PAGEREF _Toc12072 \h </w:instrText>
      </w:r>
      <w:r>
        <w:fldChar w:fldCharType="separate"/>
      </w:r>
      <w:r>
        <w:t>8</w:t>
      </w:r>
      <w:r>
        <w:fldChar w:fldCharType="end"/>
      </w:r>
      <w:r>
        <w:rPr>
          <w:bCs/>
          <w:color w:val="1F3864"/>
          <w:szCs w:val="28"/>
        </w:rPr>
        <w:fldChar w:fldCharType="end"/>
      </w:r>
    </w:p>
    <w:p w14:paraId="441A64BD">
      <w:pPr>
        <w:pStyle w:val="14"/>
        <w:tabs>
          <w:tab w:val="right" w:leader="dot" w:pos="8306"/>
        </w:tabs>
      </w:pPr>
      <w:r>
        <w:rPr>
          <w:bCs/>
          <w:color w:val="1F3864"/>
          <w:szCs w:val="28"/>
        </w:rPr>
        <w:fldChar w:fldCharType="begin"/>
      </w:r>
      <w:r>
        <w:rPr>
          <w:bCs/>
          <w:szCs w:val="28"/>
        </w:rPr>
        <w:instrText xml:space="preserve"> HYPERLINK \l _Toc5073 </w:instrText>
      </w:r>
      <w:r>
        <w:rPr>
          <w:bCs/>
          <w:szCs w:val="28"/>
        </w:rPr>
        <w:fldChar w:fldCharType="separate"/>
      </w:r>
      <w:r>
        <w:rPr>
          <w:bCs/>
          <w:szCs w:val="26"/>
        </w:rPr>
        <w:t>3.2  财务指标多维影响深度解析</w:t>
      </w:r>
      <w:r>
        <w:tab/>
      </w:r>
      <w:r>
        <w:fldChar w:fldCharType="begin"/>
      </w:r>
      <w:r>
        <w:instrText xml:space="preserve"> PAGEREF _Toc5073 \h </w:instrText>
      </w:r>
      <w:r>
        <w:fldChar w:fldCharType="separate"/>
      </w:r>
      <w:r>
        <w:t>8</w:t>
      </w:r>
      <w:r>
        <w:fldChar w:fldCharType="end"/>
      </w:r>
      <w:r>
        <w:rPr>
          <w:bCs/>
          <w:color w:val="1F3864"/>
          <w:szCs w:val="28"/>
        </w:rPr>
        <w:fldChar w:fldCharType="end"/>
      </w:r>
    </w:p>
    <w:p w14:paraId="1EBDF791">
      <w:pPr>
        <w:pStyle w:val="8"/>
        <w:tabs>
          <w:tab w:val="right" w:leader="dot" w:pos="8306"/>
        </w:tabs>
      </w:pPr>
      <w:r>
        <w:rPr>
          <w:bCs/>
          <w:color w:val="1F3864"/>
          <w:szCs w:val="28"/>
        </w:rPr>
        <w:fldChar w:fldCharType="begin"/>
      </w:r>
      <w:r>
        <w:rPr>
          <w:bCs/>
          <w:szCs w:val="28"/>
        </w:rPr>
        <w:instrText xml:space="preserve"> HYPERLINK \l _Toc8015 </w:instrText>
      </w:r>
      <w:r>
        <w:rPr>
          <w:bCs/>
          <w:szCs w:val="28"/>
        </w:rPr>
        <w:fldChar w:fldCharType="separate"/>
      </w:r>
      <w:r>
        <w:rPr>
          <w:bCs/>
        </w:rPr>
        <w:t>（一）资产结构优化效应</w:t>
      </w:r>
      <w:r>
        <w:tab/>
      </w:r>
      <w:r>
        <w:fldChar w:fldCharType="begin"/>
      </w:r>
      <w:r>
        <w:instrText xml:space="preserve"> PAGEREF _Toc8015 \h </w:instrText>
      </w:r>
      <w:r>
        <w:fldChar w:fldCharType="separate"/>
      </w:r>
      <w:r>
        <w:t>8</w:t>
      </w:r>
      <w:r>
        <w:fldChar w:fldCharType="end"/>
      </w:r>
      <w:r>
        <w:rPr>
          <w:bCs/>
          <w:color w:val="1F3864"/>
          <w:szCs w:val="28"/>
        </w:rPr>
        <w:fldChar w:fldCharType="end"/>
      </w:r>
    </w:p>
    <w:p w14:paraId="0678C16C">
      <w:pPr>
        <w:pStyle w:val="8"/>
        <w:tabs>
          <w:tab w:val="right" w:leader="dot" w:pos="8306"/>
        </w:tabs>
      </w:pPr>
      <w:r>
        <w:rPr>
          <w:bCs/>
          <w:color w:val="1F3864"/>
          <w:szCs w:val="28"/>
        </w:rPr>
        <w:fldChar w:fldCharType="begin"/>
      </w:r>
      <w:r>
        <w:rPr>
          <w:bCs/>
          <w:szCs w:val="28"/>
        </w:rPr>
        <w:instrText xml:space="preserve"> HYPERLINK \l _Toc31829 </w:instrText>
      </w:r>
      <w:r>
        <w:rPr>
          <w:bCs/>
          <w:szCs w:val="28"/>
        </w:rPr>
        <w:fldChar w:fldCharType="separate"/>
      </w:r>
      <w:r>
        <w:rPr>
          <w:bCs/>
        </w:rPr>
        <w:t>（二）盈利能力影响分析</w:t>
      </w:r>
      <w:r>
        <w:tab/>
      </w:r>
      <w:r>
        <w:fldChar w:fldCharType="begin"/>
      </w:r>
      <w:r>
        <w:instrText xml:space="preserve"> PAGEREF _Toc31829 \h </w:instrText>
      </w:r>
      <w:r>
        <w:fldChar w:fldCharType="separate"/>
      </w:r>
      <w:r>
        <w:t>8</w:t>
      </w:r>
      <w:r>
        <w:fldChar w:fldCharType="end"/>
      </w:r>
      <w:r>
        <w:rPr>
          <w:bCs/>
          <w:color w:val="1F3864"/>
          <w:szCs w:val="28"/>
        </w:rPr>
        <w:fldChar w:fldCharType="end"/>
      </w:r>
    </w:p>
    <w:p w14:paraId="1A6142DE">
      <w:pPr>
        <w:pStyle w:val="8"/>
        <w:tabs>
          <w:tab w:val="right" w:leader="dot" w:pos="8306"/>
        </w:tabs>
      </w:pPr>
      <w:r>
        <w:rPr>
          <w:bCs/>
          <w:color w:val="1F3864"/>
          <w:szCs w:val="28"/>
        </w:rPr>
        <w:fldChar w:fldCharType="begin"/>
      </w:r>
      <w:r>
        <w:rPr>
          <w:bCs/>
          <w:szCs w:val="28"/>
        </w:rPr>
        <w:instrText xml:space="preserve"> HYPERLINK \l _Toc8944 </w:instrText>
      </w:r>
      <w:r>
        <w:rPr>
          <w:bCs/>
          <w:szCs w:val="28"/>
        </w:rPr>
        <w:fldChar w:fldCharType="separate"/>
      </w:r>
      <w:r>
        <w:rPr>
          <w:bCs/>
        </w:rPr>
        <w:t>（三）综合财务指标穿透分析</w:t>
      </w:r>
      <w:r>
        <w:tab/>
      </w:r>
      <w:r>
        <w:fldChar w:fldCharType="begin"/>
      </w:r>
      <w:r>
        <w:instrText xml:space="preserve"> PAGEREF _Toc8944 \h </w:instrText>
      </w:r>
      <w:r>
        <w:fldChar w:fldCharType="separate"/>
      </w:r>
      <w:r>
        <w:t>9</w:t>
      </w:r>
      <w:r>
        <w:fldChar w:fldCharType="end"/>
      </w:r>
      <w:r>
        <w:rPr>
          <w:bCs/>
          <w:color w:val="1F3864"/>
          <w:szCs w:val="28"/>
        </w:rPr>
        <w:fldChar w:fldCharType="end"/>
      </w:r>
    </w:p>
    <w:p w14:paraId="02EE612B">
      <w:pPr>
        <w:pStyle w:val="12"/>
        <w:tabs>
          <w:tab w:val="right" w:leader="dot" w:pos="8306"/>
        </w:tabs>
      </w:pPr>
      <w:r>
        <w:rPr>
          <w:bCs/>
          <w:color w:val="1F3864"/>
          <w:szCs w:val="28"/>
        </w:rPr>
        <w:fldChar w:fldCharType="begin"/>
      </w:r>
      <w:r>
        <w:rPr>
          <w:bCs/>
          <w:szCs w:val="28"/>
        </w:rPr>
        <w:instrText xml:space="preserve"> HYPERLINK \l _Toc396 </w:instrText>
      </w:r>
      <w:r>
        <w:rPr>
          <w:bCs/>
          <w:szCs w:val="28"/>
        </w:rPr>
        <w:fldChar w:fldCharType="separate"/>
      </w:r>
      <w:r>
        <w:rPr>
          <w:bCs/>
          <w:szCs w:val="28"/>
        </w:rPr>
        <w:t>第四章  全生命周期管控：数据资产入表的内控体系构建与治理升级</w:t>
      </w:r>
      <w:r>
        <w:tab/>
      </w:r>
      <w:r>
        <w:fldChar w:fldCharType="begin"/>
      </w:r>
      <w:r>
        <w:instrText xml:space="preserve"> PAGEREF _Toc396 \h </w:instrText>
      </w:r>
      <w:r>
        <w:fldChar w:fldCharType="separate"/>
      </w:r>
      <w:r>
        <w:t>10</w:t>
      </w:r>
      <w:r>
        <w:fldChar w:fldCharType="end"/>
      </w:r>
      <w:r>
        <w:rPr>
          <w:bCs/>
          <w:color w:val="1F3864"/>
          <w:szCs w:val="28"/>
        </w:rPr>
        <w:fldChar w:fldCharType="end"/>
      </w:r>
    </w:p>
    <w:p w14:paraId="04CADB93">
      <w:pPr>
        <w:pStyle w:val="14"/>
        <w:tabs>
          <w:tab w:val="right" w:leader="dot" w:pos="8306"/>
        </w:tabs>
      </w:pPr>
      <w:r>
        <w:rPr>
          <w:bCs/>
          <w:color w:val="1F3864"/>
          <w:szCs w:val="28"/>
        </w:rPr>
        <w:fldChar w:fldCharType="begin"/>
      </w:r>
      <w:r>
        <w:rPr>
          <w:bCs/>
          <w:szCs w:val="28"/>
        </w:rPr>
        <w:instrText xml:space="preserve"> HYPERLINK \l _Toc3108 </w:instrText>
      </w:r>
      <w:r>
        <w:rPr>
          <w:bCs/>
          <w:szCs w:val="28"/>
        </w:rPr>
        <w:fldChar w:fldCharType="separate"/>
      </w:r>
      <w:r>
        <w:rPr>
          <w:bCs/>
          <w:szCs w:val="26"/>
        </w:rPr>
        <w:t>4.1  数据全生命周期内控体系构建</w:t>
      </w:r>
      <w:r>
        <w:tab/>
      </w:r>
      <w:r>
        <w:fldChar w:fldCharType="begin"/>
      </w:r>
      <w:r>
        <w:instrText xml:space="preserve"> PAGEREF _Toc3108 \h </w:instrText>
      </w:r>
      <w:r>
        <w:fldChar w:fldCharType="separate"/>
      </w:r>
      <w:r>
        <w:t>10</w:t>
      </w:r>
      <w:r>
        <w:fldChar w:fldCharType="end"/>
      </w:r>
      <w:r>
        <w:rPr>
          <w:bCs/>
          <w:color w:val="1F3864"/>
          <w:szCs w:val="28"/>
        </w:rPr>
        <w:fldChar w:fldCharType="end"/>
      </w:r>
    </w:p>
    <w:p w14:paraId="3700C781">
      <w:pPr>
        <w:pStyle w:val="14"/>
        <w:tabs>
          <w:tab w:val="right" w:leader="dot" w:pos="8306"/>
        </w:tabs>
      </w:pPr>
      <w:r>
        <w:rPr>
          <w:bCs/>
          <w:color w:val="1F3864"/>
          <w:szCs w:val="28"/>
        </w:rPr>
        <w:fldChar w:fldCharType="begin"/>
      </w:r>
      <w:r>
        <w:rPr>
          <w:bCs/>
          <w:szCs w:val="28"/>
        </w:rPr>
        <w:instrText xml:space="preserve"> HYPERLINK \l _Toc24581 </w:instrText>
      </w:r>
      <w:r>
        <w:rPr>
          <w:bCs/>
          <w:szCs w:val="28"/>
        </w:rPr>
        <w:fldChar w:fldCharType="separate"/>
      </w:r>
      <w:r>
        <w:rPr>
          <w:bCs/>
          <w:szCs w:val="26"/>
        </w:rPr>
        <w:t>4.2  公司治理结构挑战与升级路径</w:t>
      </w:r>
      <w:r>
        <w:tab/>
      </w:r>
      <w:r>
        <w:fldChar w:fldCharType="begin"/>
      </w:r>
      <w:r>
        <w:instrText xml:space="preserve"> PAGEREF _Toc24581 \h </w:instrText>
      </w:r>
      <w:r>
        <w:fldChar w:fldCharType="separate"/>
      </w:r>
      <w:r>
        <w:t>10</w:t>
      </w:r>
      <w:r>
        <w:fldChar w:fldCharType="end"/>
      </w:r>
      <w:r>
        <w:rPr>
          <w:bCs/>
          <w:color w:val="1F3864"/>
          <w:szCs w:val="28"/>
        </w:rPr>
        <w:fldChar w:fldCharType="end"/>
      </w:r>
    </w:p>
    <w:p w14:paraId="5BEBAFB0">
      <w:pPr>
        <w:pStyle w:val="8"/>
        <w:tabs>
          <w:tab w:val="right" w:leader="dot" w:pos="8306"/>
        </w:tabs>
      </w:pPr>
      <w:r>
        <w:rPr>
          <w:bCs/>
          <w:color w:val="1F3864"/>
          <w:szCs w:val="28"/>
        </w:rPr>
        <w:fldChar w:fldCharType="begin"/>
      </w:r>
      <w:r>
        <w:rPr>
          <w:bCs/>
          <w:szCs w:val="28"/>
        </w:rPr>
        <w:instrText xml:space="preserve"> HYPERLINK \l _Toc5270 </w:instrText>
      </w:r>
      <w:r>
        <w:rPr>
          <w:bCs/>
          <w:szCs w:val="28"/>
        </w:rPr>
        <w:fldChar w:fldCharType="separate"/>
      </w:r>
      <w:r>
        <w:rPr>
          <w:bCs/>
        </w:rPr>
        <w:t>（一）治理层面：数字治理机制缺位</w:t>
      </w:r>
      <w:r>
        <w:tab/>
      </w:r>
      <w:r>
        <w:fldChar w:fldCharType="begin"/>
      </w:r>
      <w:r>
        <w:instrText xml:space="preserve"> PAGEREF _Toc5270 \h </w:instrText>
      </w:r>
      <w:r>
        <w:fldChar w:fldCharType="separate"/>
      </w:r>
      <w:r>
        <w:t>10</w:t>
      </w:r>
      <w:r>
        <w:fldChar w:fldCharType="end"/>
      </w:r>
      <w:r>
        <w:rPr>
          <w:bCs/>
          <w:color w:val="1F3864"/>
          <w:szCs w:val="28"/>
        </w:rPr>
        <w:fldChar w:fldCharType="end"/>
      </w:r>
    </w:p>
    <w:p w14:paraId="6FA35A85">
      <w:pPr>
        <w:pStyle w:val="8"/>
        <w:tabs>
          <w:tab w:val="right" w:leader="dot" w:pos="8306"/>
        </w:tabs>
      </w:pPr>
      <w:r>
        <w:rPr>
          <w:bCs/>
          <w:color w:val="1F3864"/>
          <w:szCs w:val="28"/>
        </w:rPr>
        <w:fldChar w:fldCharType="begin"/>
      </w:r>
      <w:r>
        <w:rPr>
          <w:bCs/>
          <w:szCs w:val="28"/>
        </w:rPr>
        <w:instrText xml:space="preserve"> HYPERLINK \l _Toc1206 </w:instrText>
      </w:r>
      <w:r>
        <w:rPr>
          <w:bCs/>
          <w:szCs w:val="28"/>
        </w:rPr>
        <w:fldChar w:fldCharType="separate"/>
      </w:r>
      <w:r>
        <w:rPr>
          <w:bCs/>
        </w:rPr>
        <w:t>（二）执行层面：跨部门协同机制不畅</w:t>
      </w:r>
      <w:r>
        <w:tab/>
      </w:r>
      <w:r>
        <w:fldChar w:fldCharType="begin"/>
      </w:r>
      <w:r>
        <w:instrText xml:space="preserve"> PAGEREF _Toc1206 \h </w:instrText>
      </w:r>
      <w:r>
        <w:fldChar w:fldCharType="separate"/>
      </w:r>
      <w:r>
        <w:t>11</w:t>
      </w:r>
      <w:r>
        <w:fldChar w:fldCharType="end"/>
      </w:r>
      <w:r>
        <w:rPr>
          <w:bCs/>
          <w:color w:val="1F3864"/>
          <w:szCs w:val="28"/>
        </w:rPr>
        <w:fldChar w:fldCharType="end"/>
      </w:r>
    </w:p>
    <w:p w14:paraId="71701C9E">
      <w:pPr>
        <w:pStyle w:val="14"/>
        <w:tabs>
          <w:tab w:val="right" w:leader="dot" w:pos="8306"/>
        </w:tabs>
      </w:pPr>
      <w:r>
        <w:rPr>
          <w:bCs/>
          <w:color w:val="1F3864"/>
          <w:szCs w:val="28"/>
        </w:rPr>
        <w:fldChar w:fldCharType="begin"/>
      </w:r>
      <w:r>
        <w:rPr>
          <w:bCs/>
          <w:szCs w:val="28"/>
        </w:rPr>
        <w:instrText xml:space="preserve"> HYPERLINK \l _Toc28562 </w:instrText>
      </w:r>
      <w:r>
        <w:rPr>
          <w:bCs/>
          <w:szCs w:val="28"/>
        </w:rPr>
        <w:fldChar w:fldCharType="separate"/>
      </w:r>
      <w:r>
        <w:rPr>
          <w:bCs/>
          <w:szCs w:val="26"/>
        </w:rPr>
        <w:t>4.3  会计人员能力重构：三维升级方案</w:t>
      </w:r>
      <w:r>
        <w:tab/>
      </w:r>
      <w:r>
        <w:fldChar w:fldCharType="begin"/>
      </w:r>
      <w:r>
        <w:instrText xml:space="preserve"> PAGEREF _Toc28562 \h </w:instrText>
      </w:r>
      <w:r>
        <w:fldChar w:fldCharType="separate"/>
      </w:r>
      <w:r>
        <w:t>11</w:t>
      </w:r>
      <w:r>
        <w:fldChar w:fldCharType="end"/>
      </w:r>
      <w:r>
        <w:rPr>
          <w:bCs/>
          <w:color w:val="1F3864"/>
          <w:szCs w:val="28"/>
        </w:rPr>
        <w:fldChar w:fldCharType="end"/>
      </w:r>
    </w:p>
    <w:p w14:paraId="668E9F17">
      <w:pPr>
        <w:pStyle w:val="12"/>
        <w:tabs>
          <w:tab w:val="right" w:leader="dot" w:pos="8306"/>
        </w:tabs>
      </w:pPr>
      <w:r>
        <w:rPr>
          <w:bCs/>
          <w:color w:val="1F3864"/>
          <w:szCs w:val="28"/>
        </w:rPr>
        <w:fldChar w:fldCharType="begin"/>
      </w:r>
      <w:r>
        <w:rPr>
          <w:bCs/>
          <w:szCs w:val="28"/>
        </w:rPr>
        <w:instrText xml:space="preserve"> HYPERLINK \l _Toc3897 </w:instrText>
      </w:r>
      <w:r>
        <w:rPr>
          <w:bCs/>
          <w:szCs w:val="28"/>
        </w:rPr>
        <w:fldChar w:fldCharType="separate"/>
      </w:r>
      <w:r>
        <w:rPr>
          <w:bCs/>
          <w:szCs w:val="28"/>
        </w:rPr>
        <w:t>第五章  价值重构与范式输出：南</w:t>
      </w:r>
      <w:r>
        <w:rPr>
          <w:rFonts w:hint="eastAsia"/>
          <w:bCs/>
          <w:szCs w:val="28"/>
        </w:rPr>
        <w:t>钢</w:t>
      </w:r>
      <w:r>
        <w:rPr>
          <w:bCs/>
          <w:szCs w:val="28"/>
        </w:rPr>
        <w:t>数据资产入表的战略评估与行业启示</w:t>
      </w:r>
      <w:r>
        <w:tab/>
      </w:r>
      <w:r>
        <w:fldChar w:fldCharType="begin"/>
      </w:r>
      <w:r>
        <w:instrText xml:space="preserve"> PAGEREF _Toc3897 \h </w:instrText>
      </w:r>
      <w:r>
        <w:fldChar w:fldCharType="separate"/>
      </w:r>
      <w:r>
        <w:t>12</w:t>
      </w:r>
      <w:r>
        <w:fldChar w:fldCharType="end"/>
      </w:r>
      <w:r>
        <w:rPr>
          <w:bCs/>
          <w:color w:val="1F3864"/>
          <w:szCs w:val="28"/>
        </w:rPr>
        <w:fldChar w:fldCharType="end"/>
      </w:r>
    </w:p>
    <w:p w14:paraId="1A217244">
      <w:pPr>
        <w:pStyle w:val="14"/>
        <w:tabs>
          <w:tab w:val="right" w:leader="dot" w:pos="8306"/>
        </w:tabs>
      </w:pPr>
      <w:r>
        <w:rPr>
          <w:bCs/>
          <w:color w:val="1F3864"/>
          <w:szCs w:val="28"/>
        </w:rPr>
        <w:fldChar w:fldCharType="begin"/>
      </w:r>
      <w:r>
        <w:rPr>
          <w:bCs/>
          <w:szCs w:val="28"/>
        </w:rPr>
        <w:instrText xml:space="preserve"> HYPERLINK \l _Toc6589 </w:instrText>
      </w:r>
      <w:r>
        <w:rPr>
          <w:bCs/>
          <w:szCs w:val="28"/>
        </w:rPr>
        <w:fldChar w:fldCharType="separate"/>
      </w:r>
      <w:r>
        <w:rPr>
          <w:bCs/>
          <w:szCs w:val="26"/>
        </w:rPr>
        <w:t>5.1  南</w:t>
      </w:r>
      <w:r>
        <w:rPr>
          <w:rFonts w:hint="eastAsia"/>
          <w:bCs/>
          <w:szCs w:val="26"/>
        </w:rPr>
        <w:t>钢</w:t>
      </w:r>
      <w:r>
        <w:rPr>
          <w:bCs/>
          <w:szCs w:val="26"/>
        </w:rPr>
        <w:t>推进数据资产入表的战略合理性评估</w:t>
      </w:r>
      <w:r>
        <w:tab/>
      </w:r>
      <w:r>
        <w:fldChar w:fldCharType="begin"/>
      </w:r>
      <w:r>
        <w:instrText xml:space="preserve"> PAGEREF _Toc6589 \h </w:instrText>
      </w:r>
      <w:r>
        <w:fldChar w:fldCharType="separate"/>
      </w:r>
      <w:r>
        <w:t>12</w:t>
      </w:r>
      <w:r>
        <w:fldChar w:fldCharType="end"/>
      </w:r>
      <w:r>
        <w:rPr>
          <w:bCs/>
          <w:color w:val="1F3864"/>
          <w:szCs w:val="28"/>
        </w:rPr>
        <w:fldChar w:fldCharType="end"/>
      </w:r>
    </w:p>
    <w:p w14:paraId="0D28607B">
      <w:pPr>
        <w:pStyle w:val="8"/>
        <w:tabs>
          <w:tab w:val="right" w:leader="dot" w:pos="8306"/>
        </w:tabs>
      </w:pPr>
      <w:r>
        <w:rPr>
          <w:bCs/>
          <w:color w:val="1F3864"/>
          <w:szCs w:val="28"/>
        </w:rPr>
        <w:fldChar w:fldCharType="begin"/>
      </w:r>
      <w:r>
        <w:rPr>
          <w:bCs/>
          <w:szCs w:val="28"/>
        </w:rPr>
        <w:instrText xml:space="preserve"> HYPERLINK \l _Toc24374 </w:instrText>
      </w:r>
      <w:r>
        <w:rPr>
          <w:bCs/>
          <w:szCs w:val="28"/>
        </w:rPr>
        <w:fldChar w:fldCharType="separate"/>
      </w:r>
      <w:r>
        <w:rPr>
          <w:bCs/>
        </w:rPr>
        <w:t>（一）财务层面：降本增效驱动利润弹性</w:t>
      </w:r>
      <w:r>
        <w:tab/>
      </w:r>
      <w:r>
        <w:fldChar w:fldCharType="begin"/>
      </w:r>
      <w:r>
        <w:instrText xml:space="preserve"> PAGEREF _Toc24374 \h </w:instrText>
      </w:r>
      <w:r>
        <w:fldChar w:fldCharType="separate"/>
      </w:r>
      <w:r>
        <w:t>12</w:t>
      </w:r>
      <w:r>
        <w:fldChar w:fldCharType="end"/>
      </w:r>
      <w:r>
        <w:rPr>
          <w:bCs/>
          <w:color w:val="1F3864"/>
          <w:szCs w:val="28"/>
        </w:rPr>
        <w:fldChar w:fldCharType="end"/>
      </w:r>
    </w:p>
    <w:p w14:paraId="534CBC68">
      <w:pPr>
        <w:pStyle w:val="8"/>
        <w:tabs>
          <w:tab w:val="right" w:leader="dot" w:pos="8306"/>
        </w:tabs>
      </w:pPr>
      <w:r>
        <w:rPr>
          <w:bCs/>
          <w:color w:val="1F3864"/>
          <w:szCs w:val="28"/>
        </w:rPr>
        <w:fldChar w:fldCharType="begin"/>
      </w:r>
      <w:r>
        <w:rPr>
          <w:bCs/>
          <w:szCs w:val="28"/>
        </w:rPr>
        <w:instrText xml:space="preserve"> HYPERLINK \l _Toc15216 </w:instrText>
      </w:r>
      <w:r>
        <w:rPr>
          <w:bCs/>
          <w:szCs w:val="28"/>
        </w:rPr>
        <w:fldChar w:fldCharType="separate"/>
      </w:r>
      <w:r>
        <w:rPr>
          <w:bCs/>
        </w:rPr>
        <w:t>（二）战略层面：从「单个巨兽」到「群智能」的模式革命</w:t>
      </w:r>
      <w:r>
        <w:tab/>
      </w:r>
      <w:r>
        <w:fldChar w:fldCharType="begin"/>
      </w:r>
      <w:r>
        <w:instrText xml:space="preserve"> PAGEREF _Toc15216 \h </w:instrText>
      </w:r>
      <w:r>
        <w:fldChar w:fldCharType="separate"/>
      </w:r>
      <w:r>
        <w:t>12</w:t>
      </w:r>
      <w:r>
        <w:fldChar w:fldCharType="end"/>
      </w:r>
      <w:r>
        <w:rPr>
          <w:bCs/>
          <w:color w:val="1F3864"/>
          <w:szCs w:val="28"/>
        </w:rPr>
        <w:fldChar w:fldCharType="end"/>
      </w:r>
    </w:p>
    <w:p w14:paraId="3029CC90">
      <w:pPr>
        <w:pStyle w:val="8"/>
        <w:tabs>
          <w:tab w:val="right" w:leader="dot" w:pos="8306"/>
        </w:tabs>
      </w:pPr>
      <w:r>
        <w:rPr>
          <w:bCs/>
          <w:color w:val="1F3864"/>
          <w:szCs w:val="28"/>
        </w:rPr>
        <w:fldChar w:fldCharType="begin"/>
      </w:r>
      <w:r>
        <w:rPr>
          <w:bCs/>
          <w:szCs w:val="28"/>
        </w:rPr>
        <w:instrText xml:space="preserve"> HYPERLINK \l _Toc19904 </w:instrText>
      </w:r>
      <w:r>
        <w:rPr>
          <w:bCs/>
          <w:szCs w:val="28"/>
        </w:rPr>
        <w:fldChar w:fldCharType="separate"/>
      </w:r>
      <w:r>
        <w:rPr>
          <w:bCs/>
        </w:rPr>
        <w:t>（三）生态层面：数据要素市场的先发者优势</w:t>
      </w:r>
      <w:r>
        <w:tab/>
      </w:r>
      <w:r>
        <w:fldChar w:fldCharType="begin"/>
      </w:r>
      <w:r>
        <w:instrText xml:space="preserve"> PAGEREF _Toc19904 \h </w:instrText>
      </w:r>
      <w:r>
        <w:fldChar w:fldCharType="separate"/>
      </w:r>
      <w:r>
        <w:t>12</w:t>
      </w:r>
      <w:r>
        <w:fldChar w:fldCharType="end"/>
      </w:r>
      <w:r>
        <w:rPr>
          <w:bCs/>
          <w:color w:val="1F3864"/>
          <w:szCs w:val="28"/>
        </w:rPr>
        <w:fldChar w:fldCharType="end"/>
      </w:r>
    </w:p>
    <w:p w14:paraId="68F38420">
      <w:pPr>
        <w:pStyle w:val="14"/>
        <w:tabs>
          <w:tab w:val="right" w:leader="dot" w:pos="8306"/>
        </w:tabs>
      </w:pPr>
      <w:r>
        <w:rPr>
          <w:bCs/>
          <w:color w:val="1F3864"/>
          <w:szCs w:val="28"/>
        </w:rPr>
        <w:fldChar w:fldCharType="begin"/>
      </w:r>
      <w:r>
        <w:rPr>
          <w:bCs/>
          <w:szCs w:val="28"/>
        </w:rPr>
        <w:instrText xml:space="preserve"> HYPERLINK \l _Toc23307 </w:instrText>
      </w:r>
      <w:r>
        <w:rPr>
          <w:bCs/>
          <w:szCs w:val="28"/>
        </w:rPr>
        <w:fldChar w:fldCharType="separate"/>
      </w:r>
      <w:r>
        <w:rPr>
          <w:bCs/>
          <w:szCs w:val="26"/>
        </w:rPr>
        <w:t>5.2  数据资产价值评估三维模型</w:t>
      </w:r>
      <w:r>
        <w:tab/>
      </w:r>
      <w:r>
        <w:fldChar w:fldCharType="begin"/>
      </w:r>
      <w:r>
        <w:instrText xml:space="preserve"> PAGEREF _Toc23307 \h </w:instrText>
      </w:r>
      <w:r>
        <w:fldChar w:fldCharType="separate"/>
      </w:r>
      <w:r>
        <w:t>12</w:t>
      </w:r>
      <w:r>
        <w:fldChar w:fldCharType="end"/>
      </w:r>
      <w:r>
        <w:rPr>
          <w:bCs/>
          <w:color w:val="1F3864"/>
          <w:szCs w:val="28"/>
        </w:rPr>
        <w:fldChar w:fldCharType="end"/>
      </w:r>
    </w:p>
    <w:p w14:paraId="42188AC3">
      <w:pPr>
        <w:pStyle w:val="14"/>
        <w:tabs>
          <w:tab w:val="right" w:leader="dot" w:pos="8306"/>
        </w:tabs>
      </w:pPr>
      <w:r>
        <w:rPr>
          <w:bCs/>
          <w:color w:val="1F3864"/>
          <w:szCs w:val="28"/>
        </w:rPr>
        <w:fldChar w:fldCharType="begin"/>
      </w:r>
      <w:r>
        <w:rPr>
          <w:bCs/>
          <w:szCs w:val="28"/>
        </w:rPr>
        <w:instrText xml:space="preserve"> HYPERLINK \l _Toc31466 </w:instrText>
      </w:r>
      <w:r>
        <w:rPr>
          <w:bCs/>
          <w:szCs w:val="28"/>
        </w:rPr>
        <w:fldChar w:fldCharType="separate"/>
      </w:r>
      <w:r>
        <w:rPr>
          <w:bCs/>
          <w:szCs w:val="26"/>
        </w:rPr>
        <w:t>5.3  SWOT视角下的入表战略综合评价</w:t>
      </w:r>
      <w:r>
        <w:tab/>
      </w:r>
      <w:r>
        <w:fldChar w:fldCharType="begin"/>
      </w:r>
      <w:r>
        <w:instrText xml:space="preserve"> PAGEREF _Toc31466 \h </w:instrText>
      </w:r>
      <w:r>
        <w:fldChar w:fldCharType="separate"/>
      </w:r>
      <w:r>
        <w:t>13</w:t>
      </w:r>
      <w:r>
        <w:fldChar w:fldCharType="end"/>
      </w:r>
      <w:r>
        <w:rPr>
          <w:bCs/>
          <w:color w:val="1F3864"/>
          <w:szCs w:val="28"/>
        </w:rPr>
        <w:fldChar w:fldCharType="end"/>
      </w:r>
    </w:p>
    <w:p w14:paraId="5B7815B1">
      <w:pPr>
        <w:pStyle w:val="14"/>
        <w:tabs>
          <w:tab w:val="right" w:leader="dot" w:pos="8306"/>
        </w:tabs>
      </w:pPr>
      <w:r>
        <w:rPr>
          <w:bCs/>
          <w:color w:val="1F3864"/>
          <w:szCs w:val="28"/>
        </w:rPr>
        <w:fldChar w:fldCharType="begin"/>
      </w:r>
      <w:r>
        <w:rPr>
          <w:bCs/>
          <w:szCs w:val="28"/>
        </w:rPr>
        <w:instrText xml:space="preserve"> HYPERLINK \l _Toc18106 </w:instrText>
      </w:r>
      <w:r>
        <w:rPr>
          <w:bCs/>
          <w:szCs w:val="28"/>
        </w:rPr>
        <w:fldChar w:fldCharType="separate"/>
      </w:r>
      <w:r>
        <w:rPr>
          <w:bCs/>
          <w:szCs w:val="26"/>
        </w:rPr>
        <w:t>5.4  行业启示：传统制造业数据资产入表的可复制范式</w:t>
      </w:r>
      <w:r>
        <w:tab/>
      </w:r>
      <w:r>
        <w:fldChar w:fldCharType="begin"/>
      </w:r>
      <w:r>
        <w:instrText xml:space="preserve"> PAGEREF _Toc18106 \h </w:instrText>
      </w:r>
      <w:r>
        <w:fldChar w:fldCharType="separate"/>
      </w:r>
      <w:r>
        <w:t>13</w:t>
      </w:r>
      <w:r>
        <w:fldChar w:fldCharType="end"/>
      </w:r>
      <w:r>
        <w:rPr>
          <w:bCs/>
          <w:color w:val="1F3864"/>
          <w:szCs w:val="28"/>
        </w:rPr>
        <w:fldChar w:fldCharType="end"/>
      </w:r>
    </w:p>
    <w:p w14:paraId="1717E9F5">
      <w:pPr>
        <w:pStyle w:val="12"/>
        <w:tabs>
          <w:tab w:val="right" w:leader="dot" w:pos="8306"/>
        </w:tabs>
      </w:pPr>
      <w:r>
        <w:rPr>
          <w:bCs/>
          <w:color w:val="1F3864"/>
          <w:szCs w:val="28"/>
        </w:rPr>
        <w:fldChar w:fldCharType="begin"/>
      </w:r>
      <w:r>
        <w:rPr>
          <w:bCs/>
          <w:szCs w:val="28"/>
        </w:rPr>
        <w:instrText xml:space="preserve"> HYPERLINK \l _Toc6387 </w:instrText>
      </w:r>
      <w:r>
        <w:rPr>
          <w:bCs/>
          <w:szCs w:val="28"/>
        </w:rPr>
        <w:fldChar w:fldCharType="separate"/>
      </w:r>
      <w:r>
        <w:rPr>
          <w:bCs/>
          <w:szCs w:val="28"/>
        </w:rPr>
        <w:t>结  论</w:t>
      </w:r>
      <w:r>
        <w:tab/>
      </w:r>
      <w:r>
        <w:fldChar w:fldCharType="begin"/>
      </w:r>
      <w:r>
        <w:instrText xml:space="preserve"> PAGEREF _Toc6387 \h </w:instrText>
      </w:r>
      <w:r>
        <w:fldChar w:fldCharType="separate"/>
      </w:r>
      <w:r>
        <w:t>15</w:t>
      </w:r>
      <w:r>
        <w:fldChar w:fldCharType="end"/>
      </w:r>
      <w:r>
        <w:rPr>
          <w:bCs/>
          <w:color w:val="1F3864"/>
          <w:szCs w:val="28"/>
        </w:rPr>
        <w:fldChar w:fldCharType="end"/>
      </w:r>
    </w:p>
    <w:p w14:paraId="407B6CF6">
      <w:pPr>
        <w:rPr>
          <w:b/>
          <w:bCs/>
          <w:color w:val="1F3864"/>
          <w:sz w:val="28"/>
          <w:szCs w:val="28"/>
        </w:rPr>
        <w:sectPr>
          <w:pgSz w:w="11906" w:h="16838"/>
          <w:pgMar w:top="1800" w:right="1800" w:bottom="1800" w:left="1800" w:header="708" w:footer="708" w:gutter="0"/>
          <w:cols w:space="720" w:num="1"/>
          <w:docGrid w:linePitch="360" w:charSpace="0"/>
        </w:sectPr>
      </w:pPr>
      <w:r>
        <w:rPr>
          <w:bCs/>
          <w:color w:val="1F3864"/>
          <w:szCs w:val="28"/>
        </w:rPr>
        <w:fldChar w:fldCharType="end"/>
      </w:r>
    </w:p>
    <w:p w14:paraId="630784F0">
      <w:pPr>
        <w:pBdr>
          <w:bottom w:val="single" w:color="2E5FA3" w:sz="12" w:space="6"/>
        </w:pBdr>
        <w:spacing w:before="300" w:after="180" w:line="360" w:lineRule="auto"/>
        <w:outlineLvl w:val="0"/>
        <w:rPr>
          <w:rFonts w:hint="eastAsia"/>
        </w:rPr>
      </w:pPr>
      <w:bookmarkStart w:id="2" w:name="_Toc28392"/>
      <w:bookmarkStart w:id="3" w:name="_Toc15771"/>
      <w:r>
        <w:rPr>
          <w:b/>
          <w:bCs/>
          <w:color w:val="1F3864"/>
          <w:sz w:val="28"/>
          <w:szCs w:val="28"/>
        </w:rPr>
        <w:t>第一章  三层递进式确认：数据资产入表的理论逻辑与合规边界</w:t>
      </w:r>
      <w:bookmarkEnd w:id="2"/>
      <w:bookmarkEnd w:id="3"/>
    </w:p>
    <w:p w14:paraId="58F763C4">
      <w:pPr>
        <w:spacing w:before="200" w:after="120" w:line="360" w:lineRule="auto"/>
        <w:outlineLvl w:val="1"/>
        <w:rPr>
          <w:rFonts w:hint="eastAsia"/>
        </w:rPr>
      </w:pPr>
      <w:bookmarkStart w:id="4" w:name="_Toc238"/>
      <w:bookmarkStart w:id="5" w:name="_Toc17977"/>
      <w:r>
        <w:rPr>
          <w:b/>
          <w:bCs/>
          <w:color w:val="2E5FA3"/>
          <w:sz w:val="26"/>
          <w:szCs w:val="26"/>
        </w:rPr>
        <w:t>1.1  核心概念界定：从数据到数据资产的递进逻辑</w:t>
      </w:r>
      <w:bookmarkEnd w:id="4"/>
      <w:bookmarkEnd w:id="5"/>
    </w:p>
    <w:p w14:paraId="26C66247">
      <w:pPr>
        <w:spacing w:before="60" w:after="60" w:line="360" w:lineRule="auto"/>
        <w:ind w:firstLine="480" w:firstLineChars="200"/>
        <w:rPr>
          <w:rFonts w:hint="eastAsia"/>
        </w:rPr>
      </w:pPr>
      <w:r>
        <w:rPr>
          <w:color w:val="000000"/>
        </w:rPr>
        <w:t>在会计确认层面，数据、数据资源与数据资产是三个层次递进、边界清晰的概念，</w:t>
      </w:r>
      <w:r>
        <w:rPr>
          <w:rFonts w:hint="eastAsia"/>
          <w:color w:val="000000"/>
        </w:rPr>
        <w:t>厘清</w:t>
      </w:r>
      <w:r>
        <w:rPr>
          <w:color w:val="000000"/>
        </w:rPr>
        <w:t>三者关系是数据资产入表的理论前提。</w:t>
      </w:r>
    </w:p>
    <w:p w14:paraId="3467FF0C">
      <w:pPr>
        <w:spacing w:before="160" w:after="80" w:line="360" w:lineRule="auto"/>
        <w:outlineLvl w:val="2"/>
        <w:rPr>
          <w:rFonts w:hint="eastAsia"/>
        </w:rPr>
      </w:pPr>
      <w:bookmarkStart w:id="6" w:name="_Toc19306"/>
      <w:bookmarkStart w:id="7" w:name="_Toc21630"/>
      <w:r>
        <w:rPr>
          <w:b/>
          <w:bCs/>
          <w:color w:val="595959"/>
        </w:rPr>
        <w:t>（一）数据：信息生产的原材料</w:t>
      </w:r>
      <w:bookmarkEnd w:id="6"/>
      <w:bookmarkEnd w:id="7"/>
    </w:p>
    <w:p w14:paraId="7E6A9903">
      <w:pPr>
        <w:spacing w:before="60" w:after="60" w:line="360" w:lineRule="auto"/>
        <w:ind w:firstLine="480" w:firstLineChars="200"/>
        <w:rPr>
          <w:rFonts w:hint="eastAsia"/>
        </w:rPr>
      </w:pPr>
      <w:r>
        <w:rPr>
          <w:color w:val="000000"/>
        </w:rPr>
        <w:t>数据是对客观事实的符号化记录，具有非竞争性与非排他性的双重特征。在会计意义上，原始数据本身不构成资产，因其无法独立计量价值，也不具备带来未来经济利益的确定性。南</w:t>
      </w:r>
      <w:r>
        <w:rPr>
          <w:rFonts w:hint="eastAsia"/>
          <w:color w:val="000000"/>
        </w:rPr>
        <w:t>钢</w:t>
      </w:r>
      <w:r>
        <w:rPr>
          <w:color w:val="000000"/>
        </w:rPr>
        <w:t>股份在生产经营过程中积累的生产流程数据、工艺参数、客户交易记录等，在未经加工处理前均属于此类原始数据。</w:t>
      </w:r>
    </w:p>
    <w:p w14:paraId="17C88E05">
      <w:pPr>
        <w:spacing w:before="160" w:after="80" w:line="360" w:lineRule="auto"/>
        <w:outlineLvl w:val="2"/>
        <w:rPr>
          <w:rFonts w:hint="eastAsia"/>
        </w:rPr>
      </w:pPr>
      <w:bookmarkStart w:id="8" w:name="_Toc21863"/>
      <w:bookmarkStart w:id="9" w:name="_Toc9502"/>
      <w:r>
        <w:rPr>
          <w:b/>
          <w:bCs/>
          <w:color w:val="595959"/>
        </w:rPr>
        <w:t>（二）数据资源：具有使用价值的加工型资产</w:t>
      </w:r>
      <w:bookmarkEnd w:id="8"/>
      <w:bookmarkEnd w:id="9"/>
    </w:p>
    <w:p w14:paraId="6F913BB7">
      <w:pPr>
        <w:spacing w:before="60" w:after="60" w:line="360" w:lineRule="auto"/>
        <w:ind w:firstLine="480" w:firstLineChars="200"/>
        <w:rPr>
          <w:rFonts w:hint="eastAsia"/>
        </w:rPr>
      </w:pPr>
      <w:r>
        <w:rPr>
          <w:color w:val="000000"/>
        </w:rPr>
        <w:t>数据资源是指企业合法拥有或控制、经过加工处理、预期能产生经济利益的数据集合。《暂行规定》明确，数据资源须满足权属清晰、成本可计量、利益可预期三个核心条件。南</w:t>
      </w:r>
      <w:r>
        <w:rPr>
          <w:rFonts w:hint="eastAsia"/>
          <w:color w:val="000000"/>
        </w:rPr>
        <w:t>钢</w:t>
      </w:r>
      <w:r>
        <w:rPr>
          <w:color w:val="000000"/>
        </w:rPr>
        <w:t>股份通过“</w:t>
      </w:r>
      <w:r>
        <w:rPr>
          <w:rFonts w:hint="eastAsia"/>
          <w:color w:val="000000"/>
        </w:rPr>
        <w:t>炼</w:t>
      </w:r>
      <w:r>
        <w:rPr>
          <w:color w:val="000000"/>
        </w:rPr>
        <w:t>数成金”平台，对原始数据进行脱敏、清洗、标注、整合与可视化处理，使其转化为具有明确使用场景和价值预期的数据资源。</w:t>
      </w:r>
    </w:p>
    <w:p w14:paraId="7FA7068D">
      <w:pPr>
        <w:spacing w:before="160" w:after="80" w:line="360" w:lineRule="auto"/>
        <w:outlineLvl w:val="2"/>
        <w:rPr>
          <w:rFonts w:hint="eastAsia"/>
        </w:rPr>
      </w:pPr>
      <w:bookmarkStart w:id="10" w:name="_Toc9039"/>
      <w:bookmarkStart w:id="11" w:name="_Toc31770"/>
      <w:r>
        <w:rPr>
          <w:b/>
          <w:bCs/>
          <w:color w:val="595959"/>
        </w:rPr>
        <w:t>（三）数据资产：经会计确认的财务要素</w:t>
      </w:r>
      <w:bookmarkEnd w:id="10"/>
      <w:bookmarkEnd w:id="11"/>
    </w:p>
    <w:p w14:paraId="75692C2B">
      <w:pPr>
        <w:spacing w:before="60" w:after="60" w:line="360" w:lineRule="auto"/>
        <w:ind w:firstLine="480" w:firstLineChars="200"/>
        <w:rPr>
          <w:rFonts w:hint="eastAsia"/>
        </w:rPr>
      </w:pPr>
      <w:r>
        <w:rPr>
          <w:color w:val="000000"/>
        </w:rPr>
        <w:t>数据资产是数据资源满足会计准则资产确认条件后，正式纳入财务报表的会计要素。其核心标志是：成本可靠计量、经济利益很可能流入企业，且所有权或实质控制权归属于本企业。南</w:t>
      </w:r>
      <w:r>
        <w:rPr>
          <w:rFonts w:hint="eastAsia"/>
          <w:color w:val="000000"/>
        </w:rPr>
        <w:t>钢</w:t>
      </w:r>
      <w:r>
        <w:rPr>
          <w:color w:val="000000"/>
        </w:rPr>
        <w:t>股份2024年第一季度完成首批数据资源入表，标志着数据从“隐形资源”正式转化为“显性资产”。</w:t>
      </w:r>
    </w:p>
    <w:p w14:paraId="47C3C42B">
      <w:pPr>
        <w:spacing w:before="100" w:after="60"/>
        <w:jc w:val="center"/>
        <w:rPr>
          <w:rFonts w:hint="eastAsia"/>
        </w:rPr>
      </w:pPr>
      <w:r>
        <w:rPr>
          <w:b/>
          <w:bCs/>
          <w:color w:val="1F3864"/>
        </w:rPr>
        <w:t>表1  数据—数据资源—数据资产</w:t>
      </w:r>
      <w:r>
        <w:rPr>
          <w:rFonts w:hint="eastAsia"/>
          <w:b/>
          <w:bCs/>
          <w:color w:val="1F3864"/>
          <w:lang w:eastAsia="zh"/>
          <w:woUserID w:val="3"/>
        </w:rPr>
        <w:t xml:space="preserve"> </w:t>
      </w:r>
      <w:r>
        <w:rPr>
          <w:b/>
          <w:bCs/>
          <w:color w:val="1F3864"/>
        </w:rPr>
        <w:t>三层递进式确认模型</w:t>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5"/>
        <w:gridCol w:w="2575"/>
        <w:gridCol w:w="2500"/>
        <w:gridCol w:w="2526"/>
      </w:tblGrid>
      <w:tr w14:paraId="360D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25"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646A6D61">
            <w:pPr>
              <w:spacing w:line="280" w:lineRule="auto"/>
              <w:jc w:val="center"/>
              <w:rPr>
                <w:rFonts w:hint="eastAsia"/>
                <w:sz w:val="22"/>
                <w:szCs w:val="22"/>
              </w:rPr>
            </w:pPr>
            <w:r>
              <w:rPr>
                <w:b/>
                <w:bCs/>
                <w:color w:val="FFFFFF"/>
                <w:sz w:val="22"/>
                <w:szCs w:val="22"/>
              </w:rPr>
              <w:t>层级</w:t>
            </w:r>
          </w:p>
        </w:tc>
        <w:tc>
          <w:tcPr>
            <w:tcW w:w="2575"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478FE8CF">
            <w:pPr>
              <w:spacing w:line="280" w:lineRule="auto"/>
              <w:jc w:val="center"/>
              <w:rPr>
                <w:rFonts w:hint="eastAsia"/>
                <w:sz w:val="22"/>
                <w:szCs w:val="22"/>
              </w:rPr>
            </w:pPr>
            <w:r>
              <w:rPr>
                <w:b/>
                <w:bCs/>
                <w:color w:val="FFFFFF"/>
                <w:sz w:val="22"/>
                <w:szCs w:val="22"/>
              </w:rPr>
              <w:t>核心定义</w:t>
            </w:r>
          </w:p>
        </w:tc>
        <w:tc>
          <w:tcPr>
            <w:tcW w:w="2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51DF477F">
            <w:pPr>
              <w:spacing w:line="280" w:lineRule="auto"/>
              <w:jc w:val="center"/>
              <w:rPr>
                <w:rFonts w:hint="eastAsia"/>
                <w:sz w:val="22"/>
                <w:szCs w:val="22"/>
              </w:rPr>
            </w:pPr>
            <w:r>
              <w:rPr>
                <w:b/>
                <w:bCs/>
                <w:color w:val="FFFFFF"/>
                <w:sz w:val="22"/>
                <w:szCs w:val="22"/>
              </w:rPr>
              <w:t>会计处理</w:t>
            </w:r>
          </w:p>
        </w:tc>
        <w:tc>
          <w:tcPr>
            <w:tcW w:w="2526"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22D26A72">
            <w:pPr>
              <w:spacing w:line="280" w:lineRule="auto"/>
              <w:jc w:val="center"/>
              <w:rPr>
                <w:rFonts w:hint="eastAsia"/>
                <w:sz w:val="22"/>
                <w:szCs w:val="22"/>
              </w:rPr>
            </w:pPr>
            <w:r>
              <w:rPr>
                <w:b/>
                <w:bCs/>
                <w:color w:val="FFFFFF"/>
                <w:sz w:val="22"/>
                <w:szCs w:val="22"/>
              </w:rPr>
              <w:t>南</w:t>
            </w:r>
            <w:r>
              <w:rPr>
                <w:rFonts w:hint="eastAsia"/>
                <w:b/>
                <w:bCs/>
                <w:color w:val="FFFFFF"/>
                <w:sz w:val="22"/>
                <w:szCs w:val="22"/>
              </w:rPr>
              <w:t>钢</w:t>
            </w:r>
            <w:r>
              <w:rPr>
                <w:b/>
                <w:bCs/>
                <w:color w:val="FFFFFF"/>
                <w:sz w:val="22"/>
                <w:szCs w:val="22"/>
              </w:rPr>
              <w:t>对应实践</w:t>
            </w:r>
          </w:p>
        </w:tc>
      </w:tr>
      <w:tr w14:paraId="192D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2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7B856F8">
            <w:pPr>
              <w:spacing w:line="280" w:lineRule="auto"/>
              <w:jc w:val="center"/>
              <w:rPr>
                <w:rFonts w:hint="eastAsia"/>
                <w:sz w:val="22"/>
                <w:szCs w:val="22"/>
              </w:rPr>
            </w:pPr>
            <w:r>
              <w:rPr>
                <w:color w:val="000000"/>
                <w:sz w:val="22"/>
                <w:szCs w:val="22"/>
              </w:rPr>
              <w:t>数据</w:t>
            </w:r>
          </w:p>
        </w:tc>
        <w:tc>
          <w:tcPr>
            <w:tcW w:w="257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63E57EBC">
            <w:pPr>
              <w:spacing w:line="280" w:lineRule="auto"/>
              <w:jc w:val="left"/>
              <w:rPr>
                <w:rFonts w:hint="eastAsia"/>
                <w:sz w:val="22"/>
                <w:szCs w:val="22"/>
              </w:rPr>
            </w:pPr>
            <w:r>
              <w:rPr>
                <w:color w:val="000000"/>
                <w:sz w:val="22"/>
                <w:szCs w:val="22"/>
              </w:rPr>
              <w:t>客观事实的符号化记录，原始状态</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30A27AD6">
            <w:pPr>
              <w:spacing w:line="280" w:lineRule="auto"/>
              <w:jc w:val="left"/>
              <w:rPr>
                <w:rFonts w:hint="eastAsia"/>
                <w:sz w:val="22"/>
                <w:szCs w:val="22"/>
              </w:rPr>
            </w:pPr>
            <w:r>
              <w:rPr>
                <w:color w:val="000000"/>
                <w:sz w:val="22"/>
                <w:szCs w:val="22"/>
              </w:rPr>
              <w:t>不入表，作为潜在要素管理</w:t>
            </w:r>
          </w:p>
        </w:tc>
        <w:tc>
          <w:tcPr>
            <w:tcW w:w="252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E76B99F">
            <w:pPr>
              <w:spacing w:line="280" w:lineRule="auto"/>
              <w:jc w:val="left"/>
              <w:rPr>
                <w:rFonts w:hint="eastAsia"/>
                <w:sz w:val="22"/>
                <w:szCs w:val="22"/>
              </w:rPr>
            </w:pPr>
            <w:r>
              <w:rPr>
                <w:color w:val="000000"/>
                <w:sz w:val="22"/>
                <w:szCs w:val="22"/>
              </w:rPr>
              <w:t>生产流程、工艺、交易原始记录</w:t>
            </w:r>
          </w:p>
        </w:tc>
      </w:tr>
      <w:tr w14:paraId="020F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2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82D229E">
            <w:pPr>
              <w:spacing w:line="280" w:lineRule="auto"/>
              <w:jc w:val="center"/>
              <w:rPr>
                <w:rFonts w:hint="eastAsia"/>
                <w:sz w:val="22"/>
                <w:szCs w:val="22"/>
              </w:rPr>
            </w:pPr>
            <w:r>
              <w:rPr>
                <w:color w:val="000000"/>
                <w:sz w:val="22"/>
                <w:szCs w:val="22"/>
              </w:rPr>
              <w:t>数据资源</w:t>
            </w:r>
          </w:p>
        </w:tc>
        <w:tc>
          <w:tcPr>
            <w:tcW w:w="257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88FB7C7">
            <w:pPr>
              <w:spacing w:line="280" w:lineRule="auto"/>
              <w:jc w:val="left"/>
              <w:rPr>
                <w:rFonts w:hint="eastAsia"/>
                <w:sz w:val="22"/>
                <w:szCs w:val="22"/>
              </w:rPr>
            </w:pPr>
            <w:r>
              <w:rPr>
                <w:color w:val="000000"/>
                <w:sz w:val="22"/>
                <w:szCs w:val="22"/>
              </w:rPr>
              <w:t>合法控制、经加工处理、可预期经济利益</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03C9F1B">
            <w:pPr>
              <w:spacing w:line="280" w:lineRule="auto"/>
              <w:jc w:val="left"/>
              <w:rPr>
                <w:rFonts w:hint="eastAsia"/>
                <w:sz w:val="22"/>
                <w:szCs w:val="22"/>
              </w:rPr>
            </w:pPr>
            <w:r>
              <w:rPr>
                <w:color w:val="000000"/>
                <w:sz w:val="22"/>
                <w:szCs w:val="22"/>
              </w:rPr>
              <w:t>符合条件则确认为资产，否则表外披露</w:t>
            </w:r>
          </w:p>
        </w:tc>
        <w:tc>
          <w:tcPr>
            <w:tcW w:w="2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7CE93A6">
            <w:pPr>
              <w:spacing w:line="280" w:lineRule="auto"/>
              <w:jc w:val="left"/>
              <w:rPr>
                <w:rFonts w:hint="eastAsia"/>
                <w:sz w:val="22"/>
                <w:szCs w:val="22"/>
              </w:rPr>
            </w:pPr>
            <w:r>
              <w:rPr>
                <w:color w:val="000000"/>
                <w:sz w:val="22"/>
                <w:szCs w:val="22"/>
              </w:rPr>
              <w:t>经“</w:t>
            </w:r>
            <w:r>
              <w:rPr>
                <w:rFonts w:hint="eastAsia"/>
                <w:color w:val="000000"/>
                <w:sz w:val="22"/>
                <w:szCs w:val="22"/>
              </w:rPr>
              <w:t>炼</w:t>
            </w:r>
            <w:r>
              <w:rPr>
                <w:color w:val="000000"/>
                <w:sz w:val="22"/>
                <w:szCs w:val="22"/>
              </w:rPr>
              <w:t>数成金”平台脱敏清洗整合的数据集</w:t>
            </w:r>
          </w:p>
        </w:tc>
      </w:tr>
      <w:tr w14:paraId="40433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606C71A2">
            <w:pPr>
              <w:spacing w:line="280" w:lineRule="auto"/>
              <w:jc w:val="center"/>
              <w:rPr>
                <w:rFonts w:hint="eastAsia"/>
                <w:sz w:val="22"/>
                <w:szCs w:val="22"/>
              </w:rPr>
            </w:pPr>
            <w:r>
              <w:rPr>
                <w:color w:val="000000"/>
                <w:sz w:val="22"/>
                <w:szCs w:val="22"/>
              </w:rPr>
              <w:t>数据资产</w:t>
            </w:r>
          </w:p>
        </w:tc>
        <w:tc>
          <w:tcPr>
            <w:tcW w:w="2575"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F785FC7">
            <w:pPr>
              <w:spacing w:line="280" w:lineRule="auto"/>
              <w:jc w:val="left"/>
              <w:rPr>
                <w:rFonts w:hint="eastAsia"/>
                <w:sz w:val="22"/>
                <w:szCs w:val="22"/>
              </w:rPr>
            </w:pPr>
            <w:r>
              <w:rPr>
                <w:color w:val="000000"/>
                <w:sz w:val="22"/>
                <w:szCs w:val="22"/>
              </w:rPr>
              <w:t>满足资产确认条件，正式入表的会计要素</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17ECF03F">
            <w:pPr>
              <w:spacing w:line="280" w:lineRule="auto"/>
              <w:jc w:val="left"/>
              <w:rPr>
                <w:rFonts w:hint="eastAsia"/>
                <w:sz w:val="22"/>
                <w:szCs w:val="22"/>
              </w:rPr>
            </w:pPr>
            <w:r>
              <w:rPr>
                <w:color w:val="000000"/>
                <w:sz w:val="22"/>
                <w:szCs w:val="22"/>
              </w:rPr>
              <w:t>确认为无形资产或存货，系统</w:t>
            </w:r>
            <w:r>
              <w:rPr>
                <w:rFonts w:hint="eastAsia"/>
                <w:color w:val="000000"/>
                <w:sz w:val="22"/>
                <w:szCs w:val="22"/>
              </w:rPr>
              <w:t>摊销</w:t>
            </w:r>
            <w:r>
              <w:rPr>
                <w:color w:val="000000"/>
                <w:sz w:val="22"/>
                <w:szCs w:val="22"/>
              </w:rPr>
              <w:t>/减值测试</w:t>
            </w:r>
          </w:p>
        </w:tc>
        <w:tc>
          <w:tcPr>
            <w:tcW w:w="252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DC59867">
            <w:pPr>
              <w:spacing w:line="280" w:lineRule="auto"/>
              <w:jc w:val="left"/>
              <w:rPr>
                <w:rFonts w:hint="eastAsia"/>
                <w:sz w:val="22"/>
                <w:szCs w:val="22"/>
              </w:rPr>
            </w:pPr>
            <w:r>
              <w:rPr>
                <w:color w:val="000000"/>
                <w:sz w:val="22"/>
                <w:szCs w:val="22"/>
              </w:rPr>
              <w:t>2024年入表超1000万元，分类为无形资产与开发支出</w:t>
            </w:r>
          </w:p>
        </w:tc>
      </w:tr>
    </w:tbl>
    <w:p w14:paraId="1B4B042C">
      <w:pPr>
        <w:rPr>
          <w:rFonts w:hint="eastAsia"/>
        </w:rPr>
      </w:pPr>
    </w:p>
    <w:p w14:paraId="6DA0FB83">
      <w:pPr>
        <w:spacing w:before="200" w:after="120" w:line="360" w:lineRule="auto"/>
        <w:outlineLvl w:val="1"/>
        <w:rPr>
          <w:rFonts w:hint="eastAsia"/>
        </w:rPr>
      </w:pPr>
      <w:bookmarkStart w:id="12" w:name="_Toc15713"/>
      <w:bookmarkStart w:id="13" w:name="_Toc11016"/>
      <w:r>
        <w:rPr>
          <w:b/>
          <w:bCs/>
          <w:color w:val="2E5FA3"/>
          <w:sz w:val="26"/>
          <w:szCs w:val="26"/>
        </w:rPr>
        <w:t>1.2  数据资源入表的理论框架</w:t>
      </w:r>
      <w:bookmarkEnd w:id="12"/>
      <w:bookmarkEnd w:id="13"/>
    </w:p>
    <w:p w14:paraId="05A761D1">
      <w:pPr>
        <w:spacing w:before="60" w:after="60" w:line="360" w:lineRule="auto"/>
        <w:ind w:firstLine="480" w:firstLineChars="200"/>
        <w:rPr>
          <w:rFonts w:hint="eastAsia"/>
        </w:rPr>
      </w:pPr>
      <w:r>
        <w:rPr>
          <w:color w:val="000000"/>
        </w:rPr>
        <w:t>数据资源入表的会计确认遵循</w:t>
      </w:r>
      <w:r>
        <w:rPr>
          <w:b/>
          <w:bCs/>
          <w:color w:val="000000"/>
        </w:rPr>
        <w:t>权属确认→分类判断→成本计量→</w:t>
      </w:r>
      <w:r>
        <w:rPr>
          <w:rFonts w:hint="eastAsia"/>
          <w:b/>
          <w:bCs/>
          <w:color w:val="000000"/>
          <w:lang w:eastAsia="zh"/>
          <w:woUserID w:val="4"/>
        </w:rPr>
        <w:t>适用边界</w:t>
      </w:r>
      <w:r>
        <w:rPr>
          <w:color w:val="000000"/>
        </w:rPr>
        <w:t>的四步逻辑框架，具体依据如下：</w:t>
      </w:r>
    </w:p>
    <w:p w14:paraId="30AA7E4A">
      <w:pPr>
        <w:spacing w:before="160" w:after="80" w:line="360" w:lineRule="auto"/>
        <w:outlineLvl w:val="2"/>
        <w:rPr>
          <w:rFonts w:hint="eastAsia"/>
        </w:rPr>
      </w:pPr>
      <w:bookmarkStart w:id="14" w:name="_Toc17081"/>
      <w:bookmarkStart w:id="15" w:name="_Toc8716"/>
      <w:r>
        <w:rPr>
          <w:b/>
          <w:bCs/>
          <w:color w:val="595959"/>
        </w:rPr>
        <w:t>（一）权属确认：法律基础</w:t>
      </w:r>
      <w:bookmarkEnd w:id="14"/>
      <w:bookmarkEnd w:id="15"/>
    </w:p>
    <w:p w14:paraId="58678C12">
      <w:pPr>
        <w:spacing w:before="60" w:after="60" w:line="360" w:lineRule="auto"/>
        <w:ind w:firstLine="480" w:firstLineChars="200"/>
        <w:rPr>
          <w:rFonts w:hint="eastAsia"/>
        </w:rPr>
      </w:pPr>
      <w:r>
        <w:rPr>
          <w:color w:val="000000"/>
        </w:rPr>
        <w:t>企业须具备对数据资源的法定所有权或实质控制权，这是入表的首要前提。依据《数据安全法》《个人信息保护法》等法律框架，企业须确保数据来源合法、处理合规、权属清晰，方可主张会计确认权利。南</w:t>
      </w:r>
      <w:r>
        <w:rPr>
          <w:rFonts w:hint="eastAsia"/>
          <w:color w:val="000000"/>
        </w:rPr>
        <w:t>钢</w:t>
      </w:r>
      <w:r>
        <w:rPr>
          <w:color w:val="000000"/>
        </w:rPr>
        <w:t>股份通过完善数据权属登记、签订数据授权协议等方式，</w:t>
      </w:r>
      <w:r>
        <w:rPr>
          <w:rFonts w:hint="eastAsia"/>
          <w:color w:val="000000"/>
        </w:rPr>
        <w:t>夯实</w:t>
      </w:r>
      <w:r>
        <w:rPr>
          <w:color w:val="000000"/>
        </w:rPr>
        <w:t>入表的法律基础。</w:t>
      </w:r>
    </w:p>
    <w:p w14:paraId="32BF565E">
      <w:pPr>
        <w:spacing w:before="160" w:after="80" w:line="360" w:lineRule="auto"/>
        <w:outlineLvl w:val="2"/>
        <w:rPr>
          <w:rFonts w:hint="eastAsia"/>
        </w:rPr>
      </w:pPr>
      <w:bookmarkStart w:id="16" w:name="_Toc23350"/>
      <w:bookmarkStart w:id="17" w:name="_Toc4936"/>
      <w:r>
        <w:rPr>
          <w:b/>
          <w:bCs/>
          <w:color w:val="595959"/>
        </w:rPr>
        <w:t>（二）分类判断：用途导向</w:t>
      </w:r>
      <w:bookmarkEnd w:id="16"/>
      <w:bookmarkEnd w:id="17"/>
    </w:p>
    <w:p w14:paraId="3A4F7A4B">
      <w:pPr>
        <w:spacing w:before="60" w:after="60" w:line="360" w:lineRule="auto"/>
        <w:ind w:firstLine="480" w:firstLineChars="200"/>
        <w:rPr>
          <w:rFonts w:hint="eastAsia"/>
        </w:rPr>
      </w:pPr>
      <w:r>
        <w:rPr>
          <w:color w:val="000000"/>
        </w:rPr>
        <w:t>《暂行规定》依据数据资源的用途将其分为两类：一是用于内部使用或对外提供服务的，按</w:t>
      </w:r>
      <w:r>
        <w:rPr>
          <w:b/>
          <w:bCs/>
          <w:color w:val="000000"/>
        </w:rPr>
        <w:t>无形资产</w:t>
      </w:r>
      <w:r>
        <w:rPr>
          <w:color w:val="000000"/>
        </w:rPr>
        <w:t>处理；二是以备出售为目的的，按</w:t>
      </w:r>
      <w:r>
        <w:rPr>
          <w:b/>
          <w:bCs/>
          <w:color w:val="000000"/>
        </w:rPr>
        <w:t>存货</w:t>
      </w:r>
      <w:r>
        <w:rPr>
          <w:color w:val="000000"/>
        </w:rPr>
        <w:t>处理。南</w:t>
      </w:r>
      <w:r>
        <w:rPr>
          <w:rFonts w:hint="eastAsia"/>
          <w:color w:val="000000"/>
        </w:rPr>
        <w:t>钢</w:t>
      </w:r>
      <w:r>
        <w:rPr>
          <w:color w:val="000000"/>
        </w:rPr>
        <w:t>股份大部分数据资产用于内部工艺优化和生产管理，因此主要确认为无形资产。</w:t>
      </w:r>
    </w:p>
    <w:p w14:paraId="41D912B0">
      <w:pPr>
        <w:spacing w:before="160" w:after="80" w:line="360" w:lineRule="auto"/>
        <w:outlineLvl w:val="2"/>
        <w:rPr>
          <w:rFonts w:hint="eastAsia"/>
        </w:rPr>
      </w:pPr>
      <w:bookmarkStart w:id="18" w:name="_Toc22439"/>
      <w:bookmarkStart w:id="19" w:name="_Toc28325"/>
      <w:r>
        <w:rPr>
          <w:b/>
          <w:bCs/>
          <w:color w:val="595959"/>
        </w:rPr>
        <w:t>（三）成本计量：真实可靠</w:t>
      </w:r>
      <w:bookmarkEnd w:id="18"/>
      <w:bookmarkEnd w:id="19"/>
    </w:p>
    <w:p w14:paraId="5E68C8AB">
      <w:pPr>
        <w:spacing w:before="60" w:after="60" w:line="360" w:lineRule="auto"/>
        <w:ind w:firstLine="480" w:firstLineChars="200"/>
        <w:rPr>
          <w:rFonts w:hint="eastAsia"/>
        </w:rPr>
      </w:pPr>
      <w:r>
        <w:rPr>
          <w:color w:val="000000"/>
        </w:rPr>
        <w:t>入表成本须可靠计量，主要包括：数据脱敏、清洗、标注、整合、分析、可视化等加工过程的直接支出；相关资产的折旧及摸销费、租赁费；研发成果论证、鉴定、评审、验收费用等。南</w:t>
      </w:r>
      <w:r>
        <w:rPr>
          <w:rFonts w:hint="eastAsia"/>
          <w:color w:val="000000"/>
        </w:rPr>
        <w:t>钢</w:t>
      </w:r>
      <w:r>
        <w:rPr>
          <w:color w:val="000000"/>
        </w:rPr>
        <w:t>股份采用项目化管理模式，以数据开发项目为核算对象进行成本归集，确保成本计量的真实性与完整性。</w:t>
      </w:r>
    </w:p>
    <w:p w14:paraId="39C327B7">
      <w:pPr>
        <w:spacing w:before="160" w:after="80" w:line="360" w:lineRule="auto"/>
        <w:outlineLvl w:val="2"/>
        <w:rPr>
          <w:rFonts w:hint="eastAsia"/>
        </w:rPr>
      </w:pPr>
      <w:bookmarkStart w:id="20" w:name="_Toc12677"/>
      <w:bookmarkStart w:id="21" w:name="_Toc23121"/>
      <w:r>
        <w:rPr>
          <w:b/>
          <w:bCs/>
          <w:color w:val="595959"/>
        </w:rPr>
        <w:t>（四）适用边界：合规红线</w:t>
      </w:r>
      <w:bookmarkEnd w:id="20"/>
      <w:bookmarkEnd w:id="21"/>
    </w:p>
    <w:p w14:paraId="724E01E3">
      <w:pPr>
        <w:spacing w:before="60" w:after="60" w:line="360" w:lineRule="auto"/>
        <w:ind w:firstLine="480" w:firstLineChars="200"/>
        <w:rPr>
          <w:color w:val="000000"/>
        </w:rPr>
      </w:pPr>
      <w:r>
        <w:rPr>
          <w:color w:val="000000"/>
        </w:rPr>
        <w:t>数据资源入表须严守合规底线：数据来源须合法合规，不得包含违规采集的个人隐私数据；处理过程须符合数据安全要求；披露信息须遵循信息对称原则。同时，企业不应为追求报表美化而过度资本化，须防止“为入表而入表”的形式主义风险。</w:t>
      </w:r>
    </w:p>
    <w:p w14:paraId="3DE9EC0D">
      <w:pPr>
        <w:spacing w:before="60" w:after="60" w:line="360" w:lineRule="auto"/>
        <w:rPr>
          <w:color w:val="000000"/>
        </w:rPr>
      </w:pPr>
    </w:p>
    <w:p w14:paraId="4E73639E">
      <w:pPr>
        <w:spacing w:before="60" w:after="60" w:line="360" w:lineRule="auto"/>
        <w:rPr>
          <w:rFonts w:hint="eastAsia"/>
          <w:color w:val="000000"/>
        </w:rPr>
      </w:pPr>
    </w:p>
    <w:p w14:paraId="37C744FE">
      <w:pPr>
        <w:pBdr>
          <w:bottom w:val="single" w:color="2E5FA3" w:sz="12" w:space="6"/>
        </w:pBdr>
        <w:spacing w:before="300" w:after="180" w:line="360" w:lineRule="auto"/>
        <w:outlineLvl w:val="0"/>
        <w:rPr>
          <w:rFonts w:hint="eastAsia"/>
        </w:rPr>
      </w:pPr>
      <w:bookmarkStart w:id="22" w:name="_Toc8555"/>
      <w:bookmarkStart w:id="23" w:name="_Toc12113"/>
      <w:r>
        <w:rPr>
          <w:b/>
          <w:bCs/>
          <w:color w:val="1F3864"/>
          <w:sz w:val="28"/>
          <w:szCs w:val="28"/>
        </w:rPr>
        <w:t>第二章  全流程拆解与难点突破：南</w:t>
      </w:r>
      <w:r>
        <w:rPr>
          <w:rFonts w:hint="eastAsia"/>
          <w:b/>
          <w:bCs/>
          <w:color w:val="1F3864"/>
          <w:sz w:val="28"/>
          <w:szCs w:val="28"/>
        </w:rPr>
        <w:t>钢</w:t>
      </w:r>
      <w:r>
        <w:rPr>
          <w:b/>
          <w:bCs/>
          <w:color w:val="1F3864"/>
          <w:sz w:val="28"/>
          <w:szCs w:val="28"/>
        </w:rPr>
        <w:t>数据资产入表的实操路径与优化方案</w:t>
      </w:r>
      <w:bookmarkEnd w:id="22"/>
      <w:bookmarkEnd w:id="23"/>
    </w:p>
    <w:p w14:paraId="1912DAE3">
      <w:pPr>
        <w:spacing w:before="200" w:after="120" w:line="360" w:lineRule="auto"/>
        <w:outlineLvl w:val="1"/>
        <w:rPr>
          <w:rFonts w:hint="eastAsia"/>
        </w:rPr>
      </w:pPr>
      <w:bookmarkStart w:id="24" w:name="_Toc16866"/>
      <w:bookmarkStart w:id="25" w:name="_Toc2681"/>
      <w:r>
        <w:rPr>
          <w:b/>
          <w:bCs/>
          <w:color w:val="2E5FA3"/>
          <w:sz w:val="26"/>
          <w:szCs w:val="26"/>
        </w:rPr>
        <w:t>2.1  南</w:t>
      </w:r>
      <w:r>
        <w:rPr>
          <w:rFonts w:hint="eastAsia"/>
          <w:b/>
          <w:bCs/>
          <w:color w:val="2E5FA3"/>
          <w:sz w:val="26"/>
          <w:szCs w:val="26"/>
        </w:rPr>
        <w:t>钢</w:t>
      </w:r>
      <w:r>
        <w:rPr>
          <w:b/>
          <w:bCs/>
          <w:color w:val="2E5FA3"/>
          <w:sz w:val="26"/>
          <w:szCs w:val="26"/>
        </w:rPr>
        <w:t>数据资产入表全流程还原</w:t>
      </w:r>
      <w:bookmarkEnd w:id="24"/>
      <w:bookmarkEnd w:id="25"/>
    </w:p>
    <w:p w14:paraId="51B6F5AA">
      <w:pPr>
        <w:spacing w:before="60" w:after="60" w:line="360" w:lineRule="auto"/>
        <w:ind w:left="0" w:leftChars="0" w:firstLine="480" w:firstLineChars="200"/>
        <w:rPr>
          <w:rFonts w:hint="eastAsia"/>
        </w:rPr>
      </w:pPr>
      <w:r>
        <w:rPr>
          <w:color w:val="000000"/>
        </w:rPr>
        <w:t>南</w:t>
      </w:r>
      <w:r>
        <w:rPr>
          <w:rFonts w:hint="eastAsia"/>
          <w:color w:val="000000"/>
        </w:rPr>
        <w:t>钢</w:t>
      </w:r>
      <w:r>
        <w:rPr>
          <w:color w:val="000000"/>
        </w:rPr>
        <w:t>股份采取项目化管理模式，将数据资源管理嵌入“智改数转网联”全过程，构建了完整的入表实操路径：</w:t>
      </w:r>
    </w:p>
    <w:p w14:paraId="15577BEC">
      <w:pPr>
        <w:spacing w:before="100" w:after="60"/>
        <w:jc w:val="center"/>
        <w:rPr>
          <w:rFonts w:hint="eastAsia"/>
        </w:rPr>
      </w:pPr>
      <w:r>
        <w:rPr>
          <w:b/>
          <w:bCs/>
          <w:color w:val="1F3864"/>
        </w:rPr>
        <w:t>图1  南</w:t>
      </w:r>
      <w:r>
        <w:rPr>
          <w:rFonts w:hint="eastAsia"/>
          <w:b/>
          <w:bCs/>
          <w:color w:val="1F3864"/>
        </w:rPr>
        <w:t>钢</w:t>
      </w:r>
      <w:r>
        <w:rPr>
          <w:b/>
          <w:bCs/>
          <w:color w:val="1F3864"/>
        </w:rPr>
        <w:t>数据资产入表全流程</w:t>
      </w:r>
    </w:p>
    <w:p w14:paraId="587A98F0"/>
    <w:tbl>
      <w:tblPr>
        <w:tblStyle w:val="16"/>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74"/>
        <w:gridCol w:w="303"/>
        <w:gridCol w:w="1480"/>
        <w:gridCol w:w="217"/>
        <w:gridCol w:w="1480"/>
        <w:gridCol w:w="260"/>
        <w:gridCol w:w="1480"/>
        <w:gridCol w:w="260"/>
        <w:gridCol w:w="1480"/>
      </w:tblGrid>
      <w:tr w14:paraId="0F35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4" w:hRule="atLeast"/>
        </w:trPr>
        <w:tc>
          <w:tcPr>
            <w:tcW w:w="1474" w:type="dxa"/>
            <w:tcBorders>
              <w:top w:val="single" w:color="AAAAAA" w:sz="4" w:space="0"/>
              <w:left w:val="single" w:color="AAAAAA" w:sz="4" w:space="0"/>
              <w:bottom w:val="single" w:color="AAAAAA" w:sz="4" w:space="0"/>
              <w:right w:val="single" w:color="AAAAAA" w:sz="4" w:space="0"/>
            </w:tcBorders>
            <w:shd w:val="clear" w:color="auto" w:fill="2E5FA3"/>
            <w:tcMar>
              <w:top w:w="120" w:type="dxa"/>
              <w:left w:w="80" w:type="dxa"/>
              <w:bottom w:w="120" w:type="dxa"/>
              <w:right w:w="80" w:type="dxa"/>
            </w:tcMar>
          </w:tcPr>
          <w:p w14:paraId="6A2CB246">
            <w:pPr>
              <w:jc w:val="center"/>
              <w:rPr>
                <w:rFonts w:hint="eastAsia"/>
              </w:rPr>
            </w:pPr>
            <w:r>
              <w:rPr>
                <w:b/>
                <w:bCs/>
                <w:color w:val="FFFFFF"/>
              </w:rPr>
              <w:t>①场景识别</w:t>
            </w:r>
          </w:p>
        </w:tc>
        <w:tc>
          <w:tcPr>
            <w:tcW w:w="303" w:type="dxa"/>
            <w:tcBorders>
              <w:top w:val="nil"/>
              <w:left w:val="nil"/>
              <w:bottom w:val="nil"/>
              <w:right w:val="nil"/>
            </w:tcBorders>
          </w:tcPr>
          <w:p w14:paraId="215AC753">
            <w:pPr>
              <w:jc w:val="center"/>
              <w:rPr>
                <w:rFonts w:hint="eastAsia"/>
              </w:rPr>
            </w:pPr>
            <w:r>
              <w:rPr>
                <w:rFonts w:ascii="Times New Roman" w:hAnsi="Times New Roman" w:eastAsia="Times New Roman" w:cs="Times New Roman"/>
                <w:b/>
                <w:bCs/>
                <w:color w:val="2E5FA3"/>
              </w:rPr>
              <w:t>→</w:t>
            </w:r>
          </w:p>
        </w:tc>
        <w:tc>
          <w:tcPr>
            <w:tcW w:w="1480" w:type="dxa"/>
            <w:tcBorders>
              <w:top w:val="single" w:color="AAAAAA" w:sz="4" w:space="0"/>
              <w:left w:val="single" w:color="AAAAAA" w:sz="4" w:space="0"/>
              <w:bottom w:val="single" w:color="AAAAAA" w:sz="4" w:space="0"/>
              <w:right w:val="single" w:color="AAAAAA" w:sz="4" w:space="0"/>
            </w:tcBorders>
            <w:shd w:val="clear" w:color="auto" w:fill="2E5FA3"/>
            <w:tcMar>
              <w:top w:w="120" w:type="dxa"/>
              <w:left w:w="80" w:type="dxa"/>
              <w:bottom w:w="120" w:type="dxa"/>
              <w:right w:w="80" w:type="dxa"/>
            </w:tcMar>
          </w:tcPr>
          <w:p w14:paraId="06B9093C">
            <w:pPr>
              <w:jc w:val="center"/>
              <w:rPr>
                <w:rFonts w:hint="eastAsia"/>
              </w:rPr>
            </w:pPr>
            <w:r>
              <w:rPr>
                <w:b/>
                <w:bCs/>
                <w:color w:val="FFFFFF"/>
              </w:rPr>
              <w:t>②项目立项</w:t>
            </w:r>
          </w:p>
        </w:tc>
        <w:tc>
          <w:tcPr>
            <w:tcW w:w="217" w:type="dxa"/>
            <w:tcBorders>
              <w:top w:val="nil"/>
              <w:left w:val="nil"/>
              <w:bottom w:val="nil"/>
              <w:right w:val="nil"/>
            </w:tcBorders>
          </w:tcPr>
          <w:p w14:paraId="48338222">
            <w:pPr>
              <w:jc w:val="center"/>
              <w:rPr>
                <w:rFonts w:hint="eastAsia"/>
              </w:rPr>
            </w:pPr>
            <w:r>
              <w:rPr>
                <w:rFonts w:ascii="Times New Roman" w:hAnsi="Times New Roman" w:eastAsia="Times New Roman" w:cs="Times New Roman"/>
                <w:b/>
                <w:bCs/>
                <w:color w:val="2E5FA3"/>
              </w:rPr>
              <w:t>→</w:t>
            </w:r>
          </w:p>
        </w:tc>
        <w:tc>
          <w:tcPr>
            <w:tcW w:w="1480" w:type="dxa"/>
            <w:tcBorders>
              <w:top w:val="single" w:color="AAAAAA" w:sz="4" w:space="0"/>
              <w:left w:val="single" w:color="AAAAAA" w:sz="4" w:space="0"/>
              <w:bottom w:val="single" w:color="AAAAAA" w:sz="4" w:space="0"/>
              <w:right w:val="single" w:color="AAAAAA" w:sz="4" w:space="0"/>
            </w:tcBorders>
            <w:shd w:val="clear" w:color="auto" w:fill="2E5FA3"/>
            <w:tcMar>
              <w:top w:w="120" w:type="dxa"/>
              <w:left w:w="80" w:type="dxa"/>
              <w:bottom w:w="120" w:type="dxa"/>
              <w:right w:w="80" w:type="dxa"/>
            </w:tcMar>
          </w:tcPr>
          <w:p w14:paraId="46133B14">
            <w:pPr>
              <w:jc w:val="center"/>
              <w:rPr>
                <w:rFonts w:hint="eastAsia"/>
              </w:rPr>
            </w:pPr>
            <w:r>
              <w:rPr>
                <w:b/>
                <w:bCs/>
                <w:color w:val="FFFFFF"/>
              </w:rPr>
              <w:t>③成本归集</w:t>
            </w:r>
          </w:p>
        </w:tc>
        <w:tc>
          <w:tcPr>
            <w:tcW w:w="260" w:type="dxa"/>
            <w:tcBorders>
              <w:top w:val="nil"/>
              <w:left w:val="nil"/>
              <w:bottom w:val="nil"/>
              <w:right w:val="nil"/>
            </w:tcBorders>
          </w:tcPr>
          <w:p w14:paraId="35295C33">
            <w:pPr>
              <w:jc w:val="center"/>
              <w:rPr>
                <w:rFonts w:hint="eastAsia"/>
              </w:rPr>
            </w:pPr>
            <w:r>
              <w:rPr>
                <w:rFonts w:ascii="Times New Roman" w:hAnsi="Times New Roman" w:eastAsia="Times New Roman" w:cs="Times New Roman"/>
                <w:b/>
                <w:bCs/>
                <w:color w:val="2E5FA3"/>
              </w:rPr>
              <w:t>→</w:t>
            </w:r>
          </w:p>
        </w:tc>
        <w:tc>
          <w:tcPr>
            <w:tcW w:w="1480" w:type="dxa"/>
            <w:tcBorders>
              <w:top w:val="single" w:color="AAAAAA" w:sz="4" w:space="0"/>
              <w:left w:val="single" w:color="AAAAAA" w:sz="4" w:space="0"/>
              <w:bottom w:val="single" w:color="AAAAAA" w:sz="4" w:space="0"/>
              <w:right w:val="single" w:color="AAAAAA" w:sz="4" w:space="0"/>
            </w:tcBorders>
            <w:shd w:val="clear" w:color="auto" w:fill="2E5FA3"/>
            <w:tcMar>
              <w:top w:w="120" w:type="dxa"/>
              <w:left w:w="80" w:type="dxa"/>
              <w:bottom w:w="120" w:type="dxa"/>
              <w:right w:w="80" w:type="dxa"/>
            </w:tcMar>
          </w:tcPr>
          <w:p w14:paraId="10C995DB">
            <w:pPr>
              <w:jc w:val="center"/>
              <w:rPr>
                <w:rFonts w:hint="eastAsia"/>
              </w:rPr>
            </w:pPr>
            <w:r>
              <w:rPr>
                <w:b/>
                <w:bCs/>
                <w:color w:val="FFFFFF"/>
              </w:rPr>
              <w:t>④价值评估</w:t>
            </w:r>
          </w:p>
        </w:tc>
        <w:tc>
          <w:tcPr>
            <w:tcW w:w="260" w:type="dxa"/>
            <w:tcBorders>
              <w:top w:val="nil"/>
              <w:left w:val="nil"/>
              <w:bottom w:val="nil"/>
              <w:right w:val="nil"/>
            </w:tcBorders>
          </w:tcPr>
          <w:p w14:paraId="740D4D5D">
            <w:pPr>
              <w:jc w:val="center"/>
              <w:rPr>
                <w:rFonts w:hint="eastAsia"/>
              </w:rPr>
            </w:pPr>
            <w:r>
              <w:rPr>
                <w:rFonts w:ascii="Times New Roman" w:hAnsi="Times New Roman" w:eastAsia="Times New Roman" w:cs="Times New Roman"/>
                <w:b/>
                <w:bCs/>
                <w:color w:val="2E5FA3"/>
              </w:rPr>
              <w:t>→</w:t>
            </w:r>
          </w:p>
        </w:tc>
        <w:tc>
          <w:tcPr>
            <w:tcW w:w="1480" w:type="dxa"/>
            <w:tcBorders>
              <w:top w:val="single" w:color="AAAAAA" w:sz="4" w:space="0"/>
              <w:left w:val="single" w:color="AAAAAA" w:sz="4" w:space="0"/>
              <w:bottom w:val="single" w:color="AAAAAA" w:sz="4" w:space="0"/>
              <w:right w:val="single" w:color="AAAAAA" w:sz="4" w:space="0"/>
            </w:tcBorders>
            <w:shd w:val="clear" w:color="auto" w:fill="2E5FA3"/>
            <w:tcMar>
              <w:top w:w="120" w:type="dxa"/>
              <w:left w:w="80" w:type="dxa"/>
              <w:bottom w:w="120" w:type="dxa"/>
              <w:right w:w="80" w:type="dxa"/>
            </w:tcMar>
          </w:tcPr>
          <w:p w14:paraId="15DB1199">
            <w:pPr>
              <w:jc w:val="center"/>
              <w:rPr>
                <w:rFonts w:hint="eastAsia"/>
                <w:b/>
                <w:bCs/>
                <w:color w:val="FFFFFF"/>
              </w:rPr>
            </w:pPr>
            <w:r>
              <w:rPr>
                <w:b/>
                <w:bCs/>
                <w:color w:val="FFFFFF"/>
              </w:rPr>
              <w:t>⑤会计确认</w:t>
            </w:r>
          </w:p>
        </w:tc>
      </w:tr>
    </w:tbl>
    <w:p w14:paraId="4560C93A">
      <w:r>
        <mc:AlternateContent>
          <mc:Choice Requires="wps">
            <w:drawing>
              <wp:anchor distT="0" distB="0" distL="0" distR="0" simplePos="0" relativeHeight="251659264" behindDoc="1" locked="0" layoutInCell="1" allowOverlap="1">
                <wp:simplePos x="0" y="0"/>
                <wp:positionH relativeFrom="column">
                  <wp:posOffset>-78105</wp:posOffset>
                </wp:positionH>
                <wp:positionV relativeFrom="paragraph">
                  <wp:posOffset>185420</wp:posOffset>
                </wp:positionV>
                <wp:extent cx="1002665" cy="1864360"/>
                <wp:effectExtent l="12700" t="12700" r="13335" b="27940"/>
                <wp:wrapNone/>
                <wp:docPr id="1029" name="矩形 1"/>
                <wp:cNvGraphicFramePr/>
                <a:graphic xmlns:a="http://schemas.openxmlformats.org/drawingml/2006/main">
                  <a:graphicData uri="http://schemas.microsoft.com/office/word/2010/wordprocessingShape">
                    <wps:wsp>
                      <wps:cNvSpPr/>
                      <wps:spPr>
                        <a:xfrm>
                          <a:off x="0" y="0"/>
                          <a:ext cx="1002665" cy="1864360"/>
                        </a:xfrm>
                        <a:prstGeom prst="rect">
                          <a:avLst/>
                        </a:prstGeom>
                        <a:solidFill>
                          <a:srgbClr val="FFFFFF"/>
                        </a:solidFill>
                        <a:ln w="25400" cap="flat" cmpd="sng">
                          <a:solidFill>
                            <a:srgbClr val="FFC000"/>
                          </a:solidFill>
                          <a:prstDash val="dashDot"/>
                          <a:round/>
                        </a:ln>
                      </wps:spPr>
                      <wps:bodyPr/>
                    </wps:wsp>
                  </a:graphicData>
                </a:graphic>
              </wp:anchor>
            </w:drawing>
          </mc:Choice>
          <mc:Fallback>
            <w:pict>
              <v:rect id="矩形 1" o:spid="_x0000_s1026" o:spt="1" style="position:absolute;left:0pt;margin-left:-6.15pt;margin-top:14.6pt;height:146.8pt;width:78.95pt;z-index:-251657216;mso-width-relative:page;mso-height-relative:page;" fillcolor="#FFFFFF" filled="t" stroked="t" coordsize="21600,21600" o:gfxdata="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vZvL21wAAAAkBAAAPAAAA&#10;AAAAAAEAIAAAACIAAABkcnMvZG93bnJldi54bWxQSwECFAAUAAAACACHTuJAh9WK9t0BAADFAwAA&#10;DgAAAAAAAAABACAAAAAmAQAAZHJzL2Uyb0RvYy54bWxQSwUGAAAAAAYABgBZAQAAdQUAAAAA&#10;">
                <v:fill on="t" focussize="0,0"/>
                <v:stroke weight="2pt" color="#FFC000" joinstyle="round" dashstyle="dashDot"/>
                <v:imagedata o:title=""/>
                <o:lock v:ext="edit" aspectratio="f"/>
              </v:rect>
            </w:pict>
          </mc:Fallback>
        </mc:AlternateContent>
      </w:r>
      <w:r>
        <mc:AlternateContent>
          <mc:Choice Requires="wps">
            <w:drawing>
              <wp:anchor distT="0" distB="0" distL="0" distR="0" simplePos="0" relativeHeight="251659264" behindDoc="1" locked="0" layoutInCell="1" allowOverlap="1">
                <wp:simplePos x="0" y="0"/>
                <wp:positionH relativeFrom="column">
                  <wp:posOffset>2160905</wp:posOffset>
                </wp:positionH>
                <wp:positionV relativeFrom="paragraph">
                  <wp:posOffset>178435</wp:posOffset>
                </wp:positionV>
                <wp:extent cx="1002665" cy="1864360"/>
                <wp:effectExtent l="12700" t="12700" r="13335" b="27940"/>
                <wp:wrapNone/>
                <wp:docPr id="1028" name="矩形 1"/>
                <wp:cNvGraphicFramePr/>
                <a:graphic xmlns:a="http://schemas.openxmlformats.org/drawingml/2006/main">
                  <a:graphicData uri="http://schemas.microsoft.com/office/word/2010/wordprocessingShape">
                    <wps:wsp>
                      <wps:cNvSpPr/>
                      <wps:spPr>
                        <a:xfrm>
                          <a:off x="0" y="0"/>
                          <a:ext cx="1002664" cy="1864360"/>
                        </a:xfrm>
                        <a:prstGeom prst="rect">
                          <a:avLst/>
                        </a:prstGeom>
                        <a:solidFill>
                          <a:srgbClr val="FFFFFF"/>
                        </a:solidFill>
                        <a:ln w="25400" cap="flat" cmpd="sng">
                          <a:solidFill>
                            <a:srgbClr val="FFC000"/>
                          </a:solidFill>
                          <a:prstDash val="dashDot"/>
                          <a:round/>
                        </a:ln>
                      </wps:spPr>
                      <wps:bodyPr/>
                    </wps:wsp>
                  </a:graphicData>
                </a:graphic>
              </wp:anchor>
            </w:drawing>
          </mc:Choice>
          <mc:Fallback>
            <w:pict>
              <v:rect id="矩形 1" o:spid="_x0000_s1026" o:spt="1" style="position:absolute;left:0pt;margin-left:170.15pt;margin-top:14.05pt;height:146.8pt;width:78.95pt;z-index:-251657216;mso-width-relative:page;mso-height-relative:page;" fillcolor="#FFFFFF" filled="t" stroked="t" coordsize="21600,21600" o:gfxdata="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lw0TwNYAAAAKAQAADwAAAAAA&#10;AAABACAAAAAiAAAAZHJzL2Rvd25yZXYueG1sUEsBAhQAFAAAAAgAh07iQChF5sfcAQAAxQMAAA4A&#10;AAAAAAAAAQAgAAAAJQEAAGRycy9lMm9Eb2MueG1sUEsFBgAAAAAGAAYAWQEAAHMFAAAAAA==&#10;">
                <v:fill on="t" focussize="0,0"/>
                <v:stroke weight="2pt" color="#FFC000" joinstyle="round" dashstyle="dashDot"/>
                <v:imagedata o:title=""/>
                <o:lock v:ext="edit" aspectratio="f"/>
              </v:rect>
            </w:pict>
          </mc:Fallback>
        </mc:AlternateContent>
      </w:r>
      <w:r>
        <mc:AlternateContent>
          <mc:Choice Requires="wps">
            <w:drawing>
              <wp:anchor distT="0" distB="0" distL="0" distR="0" simplePos="0" relativeHeight="251659264" behindDoc="1" locked="0" layoutInCell="1" allowOverlap="1">
                <wp:simplePos x="0" y="0"/>
                <wp:positionH relativeFrom="column">
                  <wp:posOffset>4382770</wp:posOffset>
                </wp:positionH>
                <wp:positionV relativeFrom="paragraph">
                  <wp:posOffset>157480</wp:posOffset>
                </wp:positionV>
                <wp:extent cx="1002665" cy="1864360"/>
                <wp:effectExtent l="0" t="0" r="26669" b="22225"/>
                <wp:wrapNone/>
                <wp:docPr id="1026" name="矩形 1"/>
                <wp:cNvGraphicFramePr/>
                <a:graphic xmlns:a="http://schemas.openxmlformats.org/drawingml/2006/main">
                  <a:graphicData uri="http://schemas.microsoft.com/office/word/2010/wordprocessingShape">
                    <wps:wsp>
                      <wps:cNvSpPr/>
                      <wps:spPr>
                        <a:xfrm>
                          <a:off x="0" y="0"/>
                          <a:ext cx="1002665" cy="1864360"/>
                        </a:xfrm>
                        <a:prstGeom prst="rect">
                          <a:avLst/>
                        </a:prstGeom>
                        <a:solidFill>
                          <a:srgbClr val="FFFFFF"/>
                        </a:solidFill>
                        <a:ln w="25400" cap="flat" cmpd="sng">
                          <a:solidFill>
                            <a:srgbClr val="FFC000"/>
                          </a:solidFill>
                          <a:prstDash val="dashDot"/>
                          <a:round/>
                        </a:ln>
                      </wps:spPr>
                      <wps:bodyPr/>
                    </wps:wsp>
                  </a:graphicData>
                </a:graphic>
              </wp:anchor>
            </w:drawing>
          </mc:Choice>
          <mc:Fallback>
            <w:pict>
              <v:rect id="矩形 1" o:spid="_x0000_s1026" o:spt="1" style="position:absolute;left:0pt;margin-left:345.1pt;margin-top:12.4pt;height:146.8pt;width:78.95pt;z-index:-251657216;mso-width-relative:page;mso-height-relative:page;" fillcolor="#FFFFFF" filled="t" stroked="t" coordsize="21600,21600" o:gfxdata="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gAWJvXAAAACgEAAA8AAAAA&#10;AAAAAQAgAAAAIgAAAGRycy9kb3ducmV2LnhtbFBLAQIUABQAAAAIAIdO4kDtDcGu3AEAAMUDAAAO&#10;AAAAAAAAAAEAIAAAACYBAABkcnMvZTJvRG9jLnhtbFBLBQYAAAAABgAGAFkBAAB0BQAAAAA=&#10;">
                <v:fill on="t" focussize="0,0"/>
                <v:stroke weight="2pt" color="#FFC000" joinstyle="round" dashstyle="dashDot"/>
                <v:imagedata o:title=""/>
                <o:lock v:ext="edit" aspectratio="f"/>
              </v:rect>
            </w:pict>
          </mc:Fallback>
        </mc:AlternateContent>
      </w:r>
      <w:r>
        <mc:AlternateContent>
          <mc:Choice Requires="wps">
            <w:drawing>
              <wp:anchor distT="0" distB="0" distL="0" distR="0" simplePos="0" relativeHeight="251659264" behindDoc="1" locked="0" layoutInCell="1" allowOverlap="1">
                <wp:simplePos x="0" y="0"/>
                <wp:positionH relativeFrom="column">
                  <wp:posOffset>3282950</wp:posOffset>
                </wp:positionH>
                <wp:positionV relativeFrom="paragraph">
                  <wp:posOffset>169545</wp:posOffset>
                </wp:positionV>
                <wp:extent cx="1002665" cy="1864360"/>
                <wp:effectExtent l="0" t="0" r="26669" b="22225"/>
                <wp:wrapNone/>
                <wp:docPr id="1027" name="矩形 1"/>
                <wp:cNvGraphicFramePr/>
                <a:graphic xmlns:a="http://schemas.openxmlformats.org/drawingml/2006/main">
                  <a:graphicData uri="http://schemas.microsoft.com/office/word/2010/wordprocessingShape">
                    <wps:wsp>
                      <wps:cNvSpPr/>
                      <wps:spPr>
                        <a:xfrm>
                          <a:off x="0" y="0"/>
                          <a:ext cx="1002665" cy="1864360"/>
                        </a:xfrm>
                        <a:prstGeom prst="rect">
                          <a:avLst/>
                        </a:prstGeom>
                        <a:solidFill>
                          <a:srgbClr val="FFFFFF"/>
                        </a:solidFill>
                        <a:ln w="25400" cap="flat" cmpd="sng">
                          <a:solidFill>
                            <a:srgbClr val="FFC000"/>
                          </a:solidFill>
                          <a:prstDash val="dashDot"/>
                          <a:round/>
                        </a:ln>
                      </wps:spPr>
                      <wps:bodyPr/>
                    </wps:wsp>
                  </a:graphicData>
                </a:graphic>
              </wp:anchor>
            </w:drawing>
          </mc:Choice>
          <mc:Fallback>
            <w:pict>
              <v:rect id="矩形 1" o:spid="_x0000_s1026" o:spt="1" style="position:absolute;left:0pt;margin-left:258.5pt;margin-top:13.35pt;height:146.8pt;width:78.95pt;z-index:-251657216;mso-width-relative:page;mso-height-relative:page;" fillcolor="#FFFFFF" filled="t" stroked="t" coordsize="21600,21600" o:gfxdata="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0SCx91wAAAAoBAAAPAAAA&#10;AAAAAAEAIAAAACIAAABkcnMvZG93bnJldi54bWxQSwECFAAUAAAACACHTuJAVRuK6d0BAADFAwAA&#10;DgAAAAAAAAABACAAAAAmAQAAZHJzL2Uyb0RvYy54bWxQSwUGAAAAAAYABgBZAQAAdQUAAAAA&#10;">
                <v:fill on="t" focussize="0,0"/>
                <v:stroke weight="2pt" color="#FFC000" joinstyle="round" dashstyle="dashDot"/>
                <v:imagedata o:title=""/>
                <o:lock v:ext="edit" aspectratio="f"/>
              </v:rect>
            </w:pict>
          </mc:Fallback>
        </mc:AlternateContent>
      </w:r>
    </w:p>
    <w:tbl>
      <w:tblPr>
        <w:tblStyle w:val="16"/>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474"/>
        <w:gridCol w:w="303"/>
        <w:gridCol w:w="1480"/>
        <w:gridCol w:w="217"/>
        <w:gridCol w:w="1480"/>
        <w:gridCol w:w="260"/>
        <w:gridCol w:w="1480"/>
        <w:gridCol w:w="260"/>
        <w:gridCol w:w="1480"/>
      </w:tblGrid>
      <w:tr w14:paraId="13A0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4" w:hRule="atLeast"/>
        </w:trPr>
        <w:tc>
          <w:tcPr>
            <w:tcW w:w="1474"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12BE7AA5">
            <w:pPr>
              <w:jc w:val="center"/>
              <w:rPr>
                <w:rFonts w:hint="eastAsia"/>
                <w:b/>
                <w:bCs/>
                <w:color w:val="FFFFFF"/>
                <w:sz w:val="20"/>
                <w:szCs w:val="20"/>
              </w:rPr>
            </w:pPr>
            <w:r>
              <w:rPr>
                <w:b/>
                <w:bCs/>
                <w:color w:val="FFFFFF"/>
                <w:sz w:val="20"/>
                <w:szCs w:val="20"/>
              </w:rPr>
              <w:t>应用场景锚定</w:t>
            </w:r>
          </w:p>
        </w:tc>
        <w:tc>
          <w:tcPr>
            <w:tcW w:w="303" w:type="dxa"/>
            <w:tcBorders>
              <w:top w:val="nil"/>
              <w:left w:val="nil"/>
              <w:bottom w:val="nil"/>
              <w:right w:val="nil"/>
            </w:tcBorders>
            <w:vAlign w:val="center"/>
          </w:tcPr>
          <w:p w14:paraId="3073D260">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665A7CD2">
            <w:pPr>
              <w:jc w:val="center"/>
              <w:rPr>
                <w:b/>
                <w:bCs/>
                <w:color w:val="FFFFFF"/>
                <w:sz w:val="20"/>
                <w:szCs w:val="20"/>
              </w:rPr>
            </w:pPr>
            <w:r>
              <w:rPr>
                <w:b/>
                <w:bCs/>
                <w:color w:val="FFFFFF"/>
                <w:sz w:val="20"/>
                <w:szCs w:val="20"/>
              </w:rPr>
              <w:t>合规确权界定</w:t>
            </w:r>
          </w:p>
        </w:tc>
        <w:tc>
          <w:tcPr>
            <w:tcW w:w="217" w:type="dxa"/>
            <w:tcBorders>
              <w:top w:val="nil"/>
              <w:left w:val="nil"/>
              <w:bottom w:val="nil"/>
              <w:right w:val="nil"/>
            </w:tcBorders>
            <w:vAlign w:val="center"/>
          </w:tcPr>
          <w:p w14:paraId="38737D39">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4197D3FD">
            <w:pPr>
              <w:jc w:val="center"/>
              <w:rPr>
                <w:b/>
                <w:bCs/>
                <w:color w:val="FFFFFF"/>
                <w:sz w:val="20"/>
                <w:szCs w:val="20"/>
              </w:rPr>
            </w:pPr>
            <w:r>
              <w:rPr>
                <w:b/>
                <w:bCs/>
                <w:color w:val="FFFFFF"/>
                <w:sz w:val="20"/>
                <w:szCs w:val="20"/>
              </w:rPr>
              <w:t>历史成本归集</w:t>
            </w:r>
          </w:p>
        </w:tc>
        <w:tc>
          <w:tcPr>
            <w:tcW w:w="260" w:type="dxa"/>
            <w:tcBorders>
              <w:top w:val="nil"/>
              <w:left w:val="nil"/>
              <w:bottom w:val="nil"/>
              <w:right w:val="nil"/>
            </w:tcBorders>
            <w:vAlign w:val="center"/>
          </w:tcPr>
          <w:p w14:paraId="78AC7A68">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0BE0DE65">
            <w:pPr>
              <w:jc w:val="center"/>
              <w:rPr>
                <w:b/>
                <w:bCs/>
                <w:color w:val="FFFFFF"/>
                <w:sz w:val="20"/>
                <w:szCs w:val="20"/>
              </w:rPr>
            </w:pPr>
            <w:r>
              <w:rPr>
                <w:b/>
                <w:bCs/>
                <w:color w:val="FFFFFF"/>
                <w:sz w:val="20"/>
                <w:szCs w:val="20"/>
              </w:rPr>
              <w:t>收益量化验证</w:t>
            </w:r>
          </w:p>
        </w:tc>
        <w:tc>
          <w:tcPr>
            <w:tcW w:w="260" w:type="dxa"/>
            <w:tcBorders>
              <w:top w:val="nil"/>
              <w:left w:val="nil"/>
              <w:bottom w:val="nil"/>
              <w:right w:val="nil"/>
            </w:tcBorders>
            <w:vAlign w:val="center"/>
          </w:tcPr>
          <w:p w14:paraId="4CC090D9">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1281AB9A">
            <w:pPr>
              <w:jc w:val="center"/>
              <w:rPr>
                <w:b/>
                <w:bCs/>
                <w:color w:val="FFFFFF"/>
                <w:sz w:val="20"/>
                <w:szCs w:val="20"/>
              </w:rPr>
            </w:pPr>
            <w:r>
              <w:rPr>
                <w:b/>
                <w:bCs/>
                <w:color w:val="FFFFFF"/>
                <w:sz w:val="20"/>
                <w:szCs w:val="20"/>
              </w:rPr>
              <w:t>会计初始计量</w:t>
            </w:r>
          </w:p>
        </w:tc>
      </w:tr>
      <w:tr w14:paraId="2EB8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4" w:hRule="atLeast"/>
        </w:trPr>
        <w:tc>
          <w:tcPr>
            <w:tcW w:w="1474"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6BD60E51">
            <w:pPr>
              <w:jc w:val="center"/>
              <w:rPr>
                <w:b/>
                <w:bCs/>
                <w:color w:val="FFFFFF"/>
                <w:sz w:val="20"/>
                <w:szCs w:val="20"/>
              </w:rPr>
            </w:pPr>
            <w:r>
              <w:rPr>
                <w:b/>
                <w:bCs/>
                <w:color w:val="FFFFFF"/>
                <w:sz w:val="20"/>
                <w:szCs w:val="20"/>
              </w:rPr>
              <w:t>价值路径验证</w:t>
            </w:r>
          </w:p>
        </w:tc>
        <w:tc>
          <w:tcPr>
            <w:tcW w:w="303" w:type="dxa"/>
            <w:tcBorders>
              <w:top w:val="nil"/>
              <w:left w:val="nil"/>
              <w:bottom w:val="nil"/>
              <w:right w:val="nil"/>
            </w:tcBorders>
          </w:tcPr>
          <w:p w14:paraId="0DF01EBB">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4FD7B596">
            <w:pPr>
              <w:jc w:val="center"/>
              <w:rPr>
                <w:b/>
                <w:bCs/>
                <w:color w:val="FFFFFF"/>
                <w:sz w:val="20"/>
                <w:szCs w:val="20"/>
              </w:rPr>
            </w:pPr>
            <w:r>
              <w:rPr>
                <w:b/>
                <w:bCs/>
                <w:color w:val="FFFFFF"/>
                <w:sz w:val="20"/>
                <w:szCs w:val="20"/>
              </w:rPr>
              <w:t>权属三权划分</w:t>
            </w:r>
          </w:p>
        </w:tc>
        <w:tc>
          <w:tcPr>
            <w:tcW w:w="217" w:type="dxa"/>
            <w:tcBorders>
              <w:top w:val="nil"/>
              <w:left w:val="nil"/>
              <w:bottom w:val="nil"/>
              <w:right w:val="nil"/>
            </w:tcBorders>
            <w:vAlign w:val="center"/>
          </w:tcPr>
          <w:p w14:paraId="215E2A8A">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3492AAF4">
            <w:pPr>
              <w:jc w:val="center"/>
              <w:rPr>
                <w:b/>
                <w:bCs/>
                <w:color w:val="FFFFFF"/>
                <w:sz w:val="18"/>
                <w:szCs w:val="18"/>
              </w:rPr>
            </w:pPr>
            <w:r>
              <w:rPr>
                <w:b/>
                <w:bCs/>
                <w:color w:val="FFFFFF"/>
                <w:sz w:val="18"/>
                <w:szCs w:val="18"/>
              </w:rPr>
              <w:t>全流程质量管控</w:t>
            </w:r>
          </w:p>
        </w:tc>
        <w:tc>
          <w:tcPr>
            <w:tcW w:w="260" w:type="dxa"/>
            <w:tcBorders>
              <w:top w:val="nil"/>
              <w:left w:val="nil"/>
              <w:bottom w:val="nil"/>
              <w:right w:val="nil"/>
            </w:tcBorders>
            <w:vAlign w:val="center"/>
          </w:tcPr>
          <w:p w14:paraId="79B51CAB">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3419B7A5">
            <w:pPr>
              <w:jc w:val="center"/>
              <w:rPr>
                <w:b/>
                <w:bCs/>
                <w:color w:val="FFFFFF"/>
                <w:sz w:val="20"/>
                <w:szCs w:val="20"/>
              </w:rPr>
            </w:pPr>
            <w:r>
              <w:rPr>
                <w:b/>
                <w:bCs/>
                <w:color w:val="FFFFFF"/>
                <w:sz w:val="20"/>
                <w:szCs w:val="20"/>
              </w:rPr>
              <w:t>风险对冲分析</w:t>
            </w:r>
          </w:p>
        </w:tc>
        <w:tc>
          <w:tcPr>
            <w:tcW w:w="260" w:type="dxa"/>
            <w:tcBorders>
              <w:top w:val="nil"/>
              <w:left w:val="nil"/>
              <w:bottom w:val="nil"/>
              <w:right w:val="nil"/>
            </w:tcBorders>
            <w:vAlign w:val="center"/>
          </w:tcPr>
          <w:p w14:paraId="59A70198">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76F4F716">
            <w:pPr>
              <w:jc w:val="center"/>
              <w:rPr>
                <w:b/>
                <w:bCs/>
                <w:color w:val="FFFFFF"/>
                <w:sz w:val="20"/>
                <w:szCs w:val="20"/>
              </w:rPr>
            </w:pPr>
            <w:r>
              <w:rPr>
                <w:b/>
                <w:bCs/>
                <w:color w:val="FFFFFF"/>
                <w:sz w:val="20"/>
                <w:szCs w:val="20"/>
              </w:rPr>
              <w:t>差异化摊销计量</w:t>
            </w:r>
          </w:p>
        </w:tc>
      </w:tr>
      <w:tr w14:paraId="2540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4" w:hRule="atLeast"/>
        </w:trPr>
        <w:tc>
          <w:tcPr>
            <w:tcW w:w="1474"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44AA2820">
            <w:pPr>
              <w:jc w:val="center"/>
              <w:rPr>
                <w:b/>
                <w:bCs/>
                <w:color w:val="FFFFFF"/>
                <w:sz w:val="20"/>
                <w:szCs w:val="20"/>
              </w:rPr>
            </w:pPr>
            <w:r>
              <w:rPr>
                <w:b/>
                <w:bCs/>
                <w:color w:val="FFFFFF"/>
                <w:sz w:val="20"/>
                <w:szCs w:val="20"/>
              </w:rPr>
              <w:t>合规前置预判</w:t>
            </w:r>
          </w:p>
        </w:tc>
        <w:tc>
          <w:tcPr>
            <w:tcW w:w="303" w:type="dxa"/>
            <w:tcBorders>
              <w:top w:val="nil"/>
              <w:left w:val="nil"/>
              <w:bottom w:val="nil"/>
              <w:right w:val="nil"/>
            </w:tcBorders>
            <w:vAlign w:val="center"/>
          </w:tcPr>
          <w:p w14:paraId="4ED23448">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712C9422">
            <w:pPr>
              <w:jc w:val="center"/>
              <w:rPr>
                <w:rFonts w:hint="eastAsia"/>
                <w:b/>
                <w:bCs/>
                <w:color w:val="FFFFFF"/>
                <w:sz w:val="20"/>
                <w:szCs w:val="20"/>
              </w:rPr>
            </w:pPr>
            <w:r>
              <w:rPr>
                <w:b/>
                <w:bCs/>
                <w:color w:val="FFFFFF"/>
                <w:sz w:val="20"/>
                <w:szCs w:val="20"/>
              </w:rPr>
              <w:t>治理体系搭建</w:t>
            </w:r>
          </w:p>
        </w:tc>
        <w:tc>
          <w:tcPr>
            <w:tcW w:w="217" w:type="dxa"/>
            <w:tcBorders>
              <w:top w:val="nil"/>
              <w:left w:val="nil"/>
              <w:bottom w:val="nil"/>
              <w:right w:val="nil"/>
            </w:tcBorders>
            <w:vAlign w:val="center"/>
          </w:tcPr>
          <w:p w14:paraId="563BBE5B">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4D029960">
            <w:pPr>
              <w:jc w:val="center"/>
              <w:rPr>
                <w:b/>
                <w:bCs/>
                <w:color w:val="FFFFFF"/>
                <w:sz w:val="20"/>
                <w:szCs w:val="20"/>
              </w:rPr>
            </w:pPr>
            <w:r>
              <w:rPr>
                <w:b/>
                <w:bCs/>
                <w:color w:val="FFFFFF"/>
                <w:sz w:val="20"/>
                <w:szCs w:val="20"/>
              </w:rPr>
              <w:t>安全防护落地</w:t>
            </w:r>
          </w:p>
        </w:tc>
        <w:tc>
          <w:tcPr>
            <w:tcW w:w="260" w:type="dxa"/>
            <w:tcBorders>
              <w:top w:val="nil"/>
              <w:left w:val="nil"/>
              <w:bottom w:val="nil"/>
              <w:right w:val="nil"/>
            </w:tcBorders>
            <w:vAlign w:val="center"/>
          </w:tcPr>
          <w:p w14:paraId="77C2DC6D">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098F38AA">
            <w:pPr>
              <w:jc w:val="center"/>
              <w:rPr>
                <w:b/>
                <w:bCs/>
                <w:color w:val="FFFFFF"/>
                <w:sz w:val="20"/>
                <w:szCs w:val="20"/>
              </w:rPr>
            </w:pPr>
            <w:r>
              <w:rPr>
                <w:b/>
                <w:bCs/>
                <w:color w:val="FFFFFF"/>
                <w:sz w:val="20"/>
                <w:szCs w:val="20"/>
              </w:rPr>
              <w:t>价值波动预警</w:t>
            </w:r>
          </w:p>
        </w:tc>
        <w:tc>
          <w:tcPr>
            <w:tcW w:w="260" w:type="dxa"/>
            <w:tcBorders>
              <w:top w:val="nil"/>
              <w:left w:val="nil"/>
              <w:bottom w:val="nil"/>
              <w:right w:val="nil"/>
            </w:tcBorders>
            <w:vAlign w:val="center"/>
          </w:tcPr>
          <w:p w14:paraId="567D76FF">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264AF90B">
            <w:pPr>
              <w:jc w:val="center"/>
              <w:rPr>
                <w:rFonts w:hint="eastAsia"/>
                <w:b/>
                <w:bCs/>
                <w:color w:val="FFFFFF"/>
                <w:sz w:val="20"/>
                <w:szCs w:val="20"/>
              </w:rPr>
            </w:pPr>
            <w:r>
              <w:rPr>
                <w:b/>
                <w:bCs/>
                <w:color w:val="FFFFFF"/>
                <w:sz w:val="20"/>
                <w:szCs w:val="20"/>
              </w:rPr>
              <w:t>表内外信息披露</w:t>
            </w:r>
          </w:p>
        </w:tc>
      </w:tr>
      <w:tr w14:paraId="7BF7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44" w:hRule="atLeast"/>
        </w:trPr>
        <w:tc>
          <w:tcPr>
            <w:tcW w:w="1474"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44882F3F">
            <w:pPr>
              <w:jc w:val="center"/>
              <w:rPr>
                <w:b/>
                <w:bCs/>
                <w:color w:val="FFFFFF"/>
                <w:sz w:val="20"/>
                <w:szCs w:val="20"/>
              </w:rPr>
            </w:pPr>
            <w:r>
              <w:rPr>
                <w:b/>
                <w:bCs/>
                <w:color w:val="FFFFFF"/>
                <w:sz w:val="20"/>
                <w:szCs w:val="20"/>
              </w:rPr>
              <w:t>数据资源梳理</w:t>
            </w:r>
          </w:p>
        </w:tc>
        <w:tc>
          <w:tcPr>
            <w:tcW w:w="303" w:type="dxa"/>
            <w:tcBorders>
              <w:top w:val="nil"/>
              <w:left w:val="nil"/>
              <w:bottom w:val="nil"/>
              <w:right w:val="nil"/>
            </w:tcBorders>
            <w:vAlign w:val="center"/>
          </w:tcPr>
          <w:p w14:paraId="37896093">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2C4AB554">
            <w:pPr>
              <w:jc w:val="center"/>
              <w:rPr>
                <w:rFonts w:hint="eastAsia"/>
                <w:b/>
                <w:bCs/>
                <w:color w:val="FFFFFF"/>
                <w:sz w:val="20"/>
                <w:szCs w:val="20"/>
              </w:rPr>
            </w:pPr>
            <w:r>
              <mc:AlternateContent>
                <mc:Choice Requires="wps">
                  <w:drawing>
                    <wp:anchor distT="0" distB="0" distL="0" distR="0" simplePos="0" relativeHeight="251659264" behindDoc="1" locked="0" layoutInCell="1" allowOverlap="1">
                      <wp:simplePos x="0" y="0"/>
                      <wp:positionH relativeFrom="column">
                        <wp:posOffset>-81915</wp:posOffset>
                      </wp:positionH>
                      <wp:positionV relativeFrom="paragraph">
                        <wp:posOffset>-1407795</wp:posOffset>
                      </wp:positionV>
                      <wp:extent cx="1002030" cy="1863725"/>
                      <wp:effectExtent l="0" t="0" r="26669" b="22225"/>
                      <wp:wrapNone/>
                      <wp:docPr id="1030" name="矩形 1"/>
                      <wp:cNvGraphicFramePr/>
                      <a:graphic xmlns:a="http://schemas.openxmlformats.org/drawingml/2006/main">
                        <a:graphicData uri="http://schemas.microsoft.com/office/word/2010/wordprocessingShape">
                          <wps:wsp>
                            <wps:cNvSpPr/>
                            <wps:spPr>
                              <a:xfrm>
                                <a:off x="0" y="0"/>
                                <a:ext cx="1002030" cy="1863725"/>
                              </a:xfrm>
                              <a:prstGeom prst="rect">
                                <a:avLst/>
                              </a:prstGeom>
                              <a:solidFill>
                                <a:srgbClr val="FFFFFF"/>
                              </a:solidFill>
                              <a:ln w="25400" cap="flat" cmpd="sng">
                                <a:solidFill>
                                  <a:srgbClr val="FFC000"/>
                                </a:solidFill>
                                <a:prstDash val="dashDot"/>
                                <a:round/>
                              </a:ln>
                            </wps:spPr>
                            <wps:bodyPr/>
                          </wps:wsp>
                        </a:graphicData>
                      </a:graphic>
                    </wp:anchor>
                  </w:drawing>
                </mc:Choice>
                <mc:Fallback>
                  <w:pict>
                    <v:rect id="矩形 1" o:spid="_x0000_s1026" o:spt="1" style="position:absolute;left:0pt;margin-left:-6.45pt;margin-top:-110.85pt;height:146.75pt;width:78.9pt;z-index:-251657216;mso-width-relative:page;mso-height-relative:page;" fillcolor="#FFFFFF" filled="t" stroked="t" coordsize="21600,21600" o:gfxdata="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FJt9kXXAAAACwEAAA8AAAAAAAAA&#10;AQAgAAAAIgAAAGRycy9kb3ducmV2LnhtbFBLAQIUABQAAAAIAIdO4kCFh06e2QEAAMUDAAAOAAAA&#10;AAAAAAEAIAAAACYBAABkcnMvZTJvRG9jLnhtbFBLBQYAAAAABgAGAFkBAABxBQAAAAA=&#10;">
                      <v:fill on="t" focussize="0,0"/>
                      <v:stroke weight="2pt" color="#FFC000" joinstyle="round" dashstyle="dashDot"/>
                      <v:imagedata o:title=""/>
                      <o:lock v:ext="edit" aspectratio="f"/>
                    </v:rect>
                  </w:pict>
                </mc:Fallback>
              </mc:AlternateContent>
            </w:r>
            <w:r>
              <w:rPr>
                <w:b/>
                <w:bCs/>
                <w:color w:val="FFFFFF"/>
                <w:sz w:val="20"/>
                <w:szCs w:val="20"/>
              </w:rPr>
              <w:t>流程规则制定</w:t>
            </w:r>
          </w:p>
        </w:tc>
        <w:tc>
          <w:tcPr>
            <w:tcW w:w="217" w:type="dxa"/>
            <w:tcBorders>
              <w:top w:val="nil"/>
              <w:left w:val="nil"/>
              <w:bottom w:val="nil"/>
              <w:right w:val="nil"/>
            </w:tcBorders>
            <w:vAlign w:val="center"/>
          </w:tcPr>
          <w:p w14:paraId="491B2DC2">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32B747F0">
            <w:pPr>
              <w:jc w:val="center"/>
              <w:rPr>
                <w:b/>
                <w:bCs/>
                <w:color w:val="FFFFFF"/>
                <w:sz w:val="20"/>
                <w:szCs w:val="20"/>
              </w:rPr>
            </w:pPr>
            <w:r>
              <w:rPr>
                <w:b/>
                <w:bCs/>
                <w:color w:val="FFFFFF"/>
                <w:sz w:val="20"/>
                <w:szCs w:val="20"/>
              </w:rPr>
              <w:t>过程审计跟踪</w:t>
            </w:r>
          </w:p>
        </w:tc>
        <w:tc>
          <w:tcPr>
            <w:tcW w:w="260" w:type="dxa"/>
            <w:tcBorders>
              <w:top w:val="nil"/>
              <w:left w:val="nil"/>
              <w:bottom w:val="nil"/>
              <w:right w:val="nil"/>
            </w:tcBorders>
            <w:vAlign w:val="center"/>
          </w:tcPr>
          <w:p w14:paraId="3C4FA192">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55F640A5">
            <w:pPr>
              <w:jc w:val="center"/>
              <w:rPr>
                <w:b/>
                <w:bCs/>
                <w:color w:val="FFFFFF"/>
                <w:sz w:val="20"/>
                <w:szCs w:val="20"/>
              </w:rPr>
            </w:pPr>
            <w:r>
              <w:rPr>
                <w:b/>
                <w:bCs/>
                <w:color w:val="FFFFFF"/>
                <w:sz w:val="20"/>
                <w:szCs w:val="20"/>
              </w:rPr>
              <w:t>第三方审计鉴证</w:t>
            </w:r>
          </w:p>
        </w:tc>
        <w:tc>
          <w:tcPr>
            <w:tcW w:w="260" w:type="dxa"/>
            <w:tcBorders>
              <w:top w:val="nil"/>
              <w:left w:val="nil"/>
              <w:bottom w:val="nil"/>
              <w:right w:val="nil"/>
            </w:tcBorders>
            <w:vAlign w:val="center"/>
          </w:tcPr>
          <w:p w14:paraId="631AD547">
            <w:pPr>
              <w:jc w:val="center"/>
              <w:rPr>
                <w:rFonts w:ascii="Times New Roman" w:hAnsi="Times New Roman" w:eastAsia="Times New Roman" w:cs="Times New Roman"/>
                <w:b/>
                <w:bCs/>
                <w:color w:val="2E5FA3"/>
                <w:sz w:val="20"/>
                <w:szCs w:val="20"/>
              </w:rPr>
            </w:pPr>
          </w:p>
        </w:tc>
        <w:tc>
          <w:tcPr>
            <w:tcW w:w="1480" w:type="dxa"/>
            <w:tcBorders>
              <w:top w:val="single" w:color="AAAAAA" w:sz="4" w:space="0"/>
              <w:left w:val="single" w:color="AAAAAA" w:sz="4" w:space="0"/>
              <w:bottom w:val="single" w:color="AAAAAA" w:sz="4" w:space="0"/>
              <w:right w:val="single" w:color="AAAAAA" w:sz="4" w:space="0"/>
            </w:tcBorders>
            <w:shd w:val="clear" w:color="auto" w:fill="548DD4"/>
            <w:tcMar>
              <w:top w:w="120" w:type="dxa"/>
              <w:left w:w="80" w:type="dxa"/>
              <w:bottom w:w="120" w:type="dxa"/>
              <w:right w:w="80" w:type="dxa"/>
            </w:tcMar>
            <w:vAlign w:val="center"/>
          </w:tcPr>
          <w:p w14:paraId="1774EEBF">
            <w:pPr>
              <w:jc w:val="center"/>
              <w:rPr>
                <w:rFonts w:hint="eastAsia"/>
                <w:b/>
                <w:bCs/>
                <w:color w:val="FFFFFF"/>
                <w:sz w:val="20"/>
                <w:szCs w:val="20"/>
              </w:rPr>
            </w:pPr>
            <w:r>
              <w:rPr>
                <w:b/>
                <w:bCs/>
                <w:color w:val="FFFFFF"/>
                <w:sz w:val="20"/>
                <w:szCs w:val="20"/>
              </w:rPr>
              <w:t>市场化价值实现</w:t>
            </w:r>
          </w:p>
        </w:tc>
      </w:tr>
    </w:tbl>
    <w:p w14:paraId="6C1458C6"/>
    <w:p w14:paraId="4655488A">
      <w:pPr>
        <w:spacing w:before="60" w:after="60" w:line="360" w:lineRule="auto"/>
        <w:ind w:firstLine="420" w:firstLineChars="0"/>
        <w:rPr>
          <w:color w:val="000000"/>
        </w:rPr>
      </w:pPr>
      <w:r>
        <w:rPr>
          <w:color w:val="000000"/>
        </w:rPr>
        <w:t>各环节的核心任务依次为：</w:t>
      </w:r>
    </w:p>
    <w:p w14:paraId="3C9F1D17">
      <w:pPr>
        <w:spacing w:before="60" w:after="60" w:line="360" w:lineRule="auto"/>
        <w:ind w:firstLine="420" w:firstLineChars="0"/>
        <w:rPr>
          <w:color w:val="000000"/>
        </w:rPr>
      </w:pPr>
      <w:r>
        <w:rPr>
          <w:color w:val="000000"/>
        </w:rPr>
        <w:t>明确数据场景与用途（是否满足资产确认条件）→确立项目管理框架（以项目为核算对象）→归集直接成本（脱敏、清洗、整合等支出）→评估资产价值（区分研究与开发阶段）→正式入表（分类为无形资产或存货）。</w:t>
      </w:r>
    </w:p>
    <w:p w14:paraId="5E784B28">
      <w:pPr>
        <w:spacing w:before="60" w:after="60" w:line="360" w:lineRule="auto"/>
        <w:ind w:firstLine="420" w:firstLineChars="0"/>
        <w:rPr>
          <w:rFonts w:hint="eastAsia" w:eastAsia="宋体"/>
          <w:lang w:eastAsia="zh"/>
          <w:woUserID w:val="3"/>
        </w:rPr>
      </w:pPr>
      <w:r>
        <w:t>第一步</w:t>
      </w:r>
      <w:r>
        <w:rPr>
          <w:rFonts w:hint="eastAsia"/>
          <w:lang w:eastAsia="zh-CN"/>
        </w:rPr>
        <w:t>，</w:t>
      </w:r>
      <w:r>
        <w:t>场景识别环节，公司锚定钢铁生产工艺优化、供应链协同管控、能源一体化调度等内部降本场景，完成全业务链路数据资源的系统性梳理，前置核验数据资产确认的核心条件与合规底线，明确数据价值实现的核心路径</w:t>
      </w:r>
      <w:r>
        <w:rPr>
          <w:rFonts w:hint="eastAsia"/>
          <w:lang w:eastAsia="zh"/>
          <w:woUserID w:val="3"/>
        </w:rPr>
        <w:t>。</w:t>
      </w:r>
    </w:p>
    <w:p w14:paraId="1254AC8D">
      <w:pPr>
        <w:spacing w:before="60" w:after="60" w:line="360" w:lineRule="auto"/>
        <w:ind w:firstLine="420" w:firstLineChars="0"/>
        <w:rPr>
          <w:rFonts w:hint="eastAsia" w:eastAsia="宋体"/>
          <w:lang w:eastAsia="zh"/>
          <w:woUserID w:val="3"/>
        </w:rPr>
      </w:pPr>
      <w:r>
        <w:t>第二步</w:t>
      </w:r>
      <w:r>
        <w:rPr>
          <w:rFonts w:hint="eastAsia"/>
          <w:lang w:eastAsia="zh-CN"/>
        </w:rPr>
        <w:t>，</w:t>
      </w:r>
      <w:r>
        <w:t>项目立项环节，公司搭建</w:t>
      </w:r>
      <w:r>
        <w:rPr>
          <w:rFonts w:hint="eastAsia"/>
          <w:lang w:val="en-US" w:eastAsia="zh-CN"/>
        </w:rPr>
        <w:t>南钢设立数字化管理委员会</w:t>
      </w:r>
      <w:r>
        <w:rPr>
          <w:rFonts w:ascii="宋体" w:hAnsi="宋体" w:eastAsia="宋体" w:cs="宋体"/>
          <w:sz w:val="24"/>
          <w:szCs w:val="24"/>
          <w:lang w:eastAsia="zh-CN"/>
          <w:woUserID w:val="4"/>
        </w:rPr>
        <w:t xml:space="preserve"> </w:t>
      </w:r>
      <w:r>
        <w:t>，落地 “炼数成金” 数据资产入表管理与运营平台，完成数据权属三权界定与全流程溯源体系搭建，同步制定数据全生命周期管理、质量控制、安全防护的标准化规则，确立以开发项目为核心的核算管理框架，同步启动 DCMM4 级认证与数据交易所确权前置准备</w:t>
      </w:r>
      <w:r>
        <w:rPr>
          <w:rFonts w:hint="eastAsia"/>
          <w:lang w:eastAsia="zh"/>
          <w:woUserID w:val="3"/>
        </w:rPr>
        <w:t>。</w:t>
      </w:r>
    </w:p>
    <w:p w14:paraId="293119C6">
      <w:pPr>
        <w:spacing w:before="60" w:after="60" w:line="360" w:lineRule="auto"/>
        <w:ind w:firstLine="420" w:firstLineChars="0"/>
        <w:rPr>
          <w:rFonts w:hint="eastAsia" w:eastAsia="宋体"/>
          <w:lang w:eastAsia="zh"/>
          <w:woUserID w:val="3"/>
        </w:rPr>
      </w:pPr>
      <w:r>
        <w:t>第三步</w:t>
      </w:r>
      <w:r>
        <w:rPr>
          <w:rFonts w:hint="eastAsia"/>
          <w:lang w:eastAsia="zh-CN"/>
        </w:rPr>
        <w:t>，</w:t>
      </w:r>
      <w:r>
        <w:t>成本归集环节，公司以单个数据开发项目为最小核算单元，严格遵循历史成本法，完整归集数据脱敏、清洗、标注、整合、算法开发、模型训练等加工环节的直接支出，以及对应开发资产的折旧摊销、租赁费用、研发成果评审验收费等相关支出，全流程落地数据质量管控与安全防护机制，同步引入第三方机构开展过程审计跟踪，确保成本归集的合规性、准确性与可追溯性</w:t>
      </w:r>
      <w:r>
        <w:rPr>
          <w:rFonts w:hint="eastAsia"/>
          <w:lang w:eastAsia="zh"/>
          <w:woUserID w:val="3"/>
        </w:rPr>
        <w:t>。</w:t>
      </w:r>
    </w:p>
    <w:p w14:paraId="05899870">
      <w:pPr>
        <w:spacing w:before="60" w:after="60" w:line="360" w:lineRule="auto"/>
        <w:ind w:firstLine="420" w:firstLineChars="0"/>
        <w:rPr>
          <w:rFonts w:hint="eastAsia" w:eastAsia="宋体"/>
          <w:lang w:eastAsia="zh"/>
          <w:woUserID w:val="3"/>
        </w:rPr>
      </w:pPr>
      <w:r>
        <w:t>第四步</w:t>
      </w:r>
      <w:r>
        <w:rPr>
          <w:rFonts w:hint="eastAsia"/>
          <w:lang w:eastAsia="zh-CN"/>
        </w:rPr>
        <w:t>，</w:t>
      </w:r>
      <w:r>
        <w:t>价值评估环节，公司针对开发完成的数据资源，量化测算其在生产经营中带来的降本增效收益规模与对外市场化变现空间，完成研究阶段与开发阶段的专业划分，同步开展收益风险对冲分析、搭建价值波动预警机制，最终通过江苏省、上海数据交易所完成数据资产登记与价值鉴证，获取第三方专业审计与评估意见，为会计确认提供完整合规依据</w:t>
      </w:r>
      <w:r>
        <w:rPr>
          <w:rFonts w:hint="eastAsia"/>
          <w:lang w:eastAsia="zh"/>
          <w:woUserID w:val="3"/>
        </w:rPr>
        <w:t>。</w:t>
      </w:r>
    </w:p>
    <w:p w14:paraId="401FBD67">
      <w:pPr>
        <w:spacing w:before="60" w:after="60" w:line="360" w:lineRule="auto"/>
        <w:ind w:firstLine="420" w:firstLineChars="0"/>
        <w:rPr>
          <w:rFonts w:hint="default"/>
          <w:lang w:val="en-US"/>
        </w:rPr>
      </w:pPr>
      <w:r>
        <w:t>第五步</w:t>
      </w:r>
      <w:r>
        <w:rPr>
          <w:rFonts w:hint="eastAsia"/>
          <w:lang w:eastAsia="zh-CN"/>
        </w:rPr>
        <w:t>，</w:t>
      </w:r>
      <w:r>
        <w:t>会计确认环节，公司严格遵照《企业数据资源相关会计处理暂行规定》与企业会计准则，将自用的数据资源确认为无形资产，以历史成本完成初始计量正式入表，结合数据资产预期收益实现模式制定差异化摊销政策，定期开展减值测试，执行表内外结合的信息披露要求，最终通过内部场景降本增效、数据产品交易所挂牌交易完成市场化价值落地，同时建立全流程动态反馈优化机制，将价值实现结果反向迭代前端全流程管理体系，形成数据资产运营的闭环。</w:t>
      </w:r>
      <w:r>
        <w:rPr>
          <w:rFonts w:hint="default"/>
          <w:lang w:val="en-US"/>
        </w:rPr>
        <w:t xml:space="preserve"> </w:t>
      </w:r>
    </w:p>
    <w:p w14:paraId="6A0E34E2">
      <w:pPr>
        <w:spacing w:before="60" w:after="60" w:line="360" w:lineRule="auto"/>
        <w:ind w:firstLine="420" w:firstLineChars="0"/>
        <w:rPr>
          <w:rFonts w:hint="default"/>
          <w:lang w:val="en-US"/>
        </w:rPr>
      </w:pPr>
      <w:r>
        <w:rPr>
          <w:rFonts w:hint="eastAsia"/>
          <w:lang w:val="en-US" w:eastAsia="zh-CN"/>
        </w:rPr>
        <w:t>以上</w:t>
      </w:r>
      <w:r>
        <w:rPr>
          <w:rFonts w:hint="default"/>
          <w:lang w:val="en-US"/>
        </w:rPr>
        <w:t>数据资产入表的五环节，以数据资产价值实现为最终目标，以合规性与会计准则为准绳，形成</w:t>
      </w:r>
      <w:r>
        <w:rPr>
          <w:rFonts w:hint="default"/>
          <w:b/>
          <w:bCs/>
          <w:lang w:val="en-US"/>
        </w:rPr>
        <w:t>源头锚定→框架搭建→过程管控→价值鉴证→落地闭环</w:t>
      </w:r>
      <w:r>
        <w:rPr>
          <w:rFonts w:hint="default"/>
          <w:lang w:val="en-US"/>
        </w:rPr>
        <w:t>的强逻辑线性递进关系，同时构建</w:t>
      </w:r>
      <w:r>
        <w:rPr>
          <w:rFonts w:hint="default"/>
          <w:b/>
          <w:bCs/>
          <w:lang w:val="en-US"/>
        </w:rPr>
        <w:t>结果反向优化前端</w:t>
      </w:r>
      <w:r>
        <w:rPr>
          <w:rFonts w:hint="default"/>
          <w:lang w:val="en-US"/>
        </w:rPr>
        <w:t>的全生命周期动态闭环体系。五个环节环环相扣、前后承接、互为前提，完整覆盖了数据从</w:t>
      </w:r>
      <w:r>
        <w:rPr>
          <w:rFonts w:hint="default"/>
          <w:b/>
          <w:bCs/>
          <w:lang w:val="en-US"/>
        </w:rPr>
        <w:t>业务资源</w:t>
      </w:r>
      <w:r>
        <w:rPr>
          <w:rFonts w:hint="default"/>
          <w:lang w:val="en-US"/>
        </w:rPr>
        <w:t>到</w:t>
      </w:r>
      <w:r>
        <w:rPr>
          <w:rFonts w:hint="default"/>
          <w:b/>
          <w:bCs/>
          <w:lang w:val="en-US"/>
        </w:rPr>
        <w:t>表内资产</w:t>
      </w:r>
      <w:r>
        <w:rPr>
          <w:rFonts w:hint="default"/>
          <w:lang w:val="en-US"/>
        </w:rPr>
        <w:t>再到</w:t>
      </w:r>
      <w:r>
        <w:rPr>
          <w:rFonts w:hint="default"/>
          <w:b/>
          <w:bCs/>
          <w:lang w:val="en-US"/>
        </w:rPr>
        <w:t>价值变现</w:t>
      </w:r>
      <w:r>
        <w:rPr>
          <w:rFonts w:hint="default"/>
          <w:lang w:val="en-US"/>
        </w:rPr>
        <w:t>的全转化链条，缺一不可。</w:t>
      </w:r>
      <w:bookmarkStart w:id="26" w:name="_Toc5620"/>
      <w:bookmarkStart w:id="27" w:name="_Toc17402"/>
    </w:p>
    <w:p w14:paraId="1FC94BE2">
      <w:pPr>
        <w:spacing w:before="60" w:after="60" w:line="360" w:lineRule="auto"/>
        <w:rPr>
          <w:rFonts w:hint="default"/>
          <w:lang w:val="en-US"/>
        </w:rPr>
      </w:pPr>
    </w:p>
    <w:p w14:paraId="0753823A">
      <w:pPr>
        <w:spacing w:before="200" w:after="120" w:line="360" w:lineRule="auto"/>
        <w:outlineLvl w:val="1"/>
        <w:rPr>
          <w:rFonts w:hint="eastAsia"/>
        </w:rPr>
      </w:pPr>
      <w:r>
        <w:rPr>
          <w:b/>
          <w:bCs/>
          <w:color w:val="2E5FA3"/>
          <w:sz w:val="26"/>
          <w:szCs w:val="26"/>
        </w:rPr>
        <w:t>2.2  三大核心难点深度拆解与优化方案</w:t>
      </w:r>
      <w:bookmarkEnd w:id="26"/>
      <w:bookmarkEnd w:id="27"/>
    </w:p>
    <w:p w14:paraId="6EBF3165">
      <w:pPr>
        <w:spacing w:before="160" w:after="80" w:line="360" w:lineRule="auto"/>
        <w:outlineLvl w:val="2"/>
        <w:rPr>
          <w:rFonts w:hint="eastAsia"/>
          <w:b/>
          <w:bCs/>
          <w:color w:val="000000"/>
        </w:rPr>
      </w:pPr>
      <w:bookmarkStart w:id="28" w:name="_Toc27196"/>
      <w:bookmarkStart w:id="29" w:name="_Toc10123"/>
      <w:r>
        <w:rPr>
          <w:b/>
          <w:bCs/>
          <w:color w:val="000000"/>
        </w:rPr>
        <w:t>难点一：研究阶段与开发阶段的划分</w:t>
      </w:r>
      <w:bookmarkEnd w:id="28"/>
      <w:bookmarkEnd w:id="29"/>
    </w:p>
    <w:p w14:paraId="23FA3286">
      <w:pPr>
        <w:spacing w:before="60" w:after="60" w:line="360" w:lineRule="auto"/>
        <w:rPr>
          <w:rFonts w:hint="eastAsia"/>
        </w:rPr>
      </w:pPr>
      <w:r>
        <w:rPr>
          <w:color w:val="000000"/>
        </w:rPr>
        <w:t>准则要求，研究阶段支出全部费用化，开发阶段满足条件的支出予以资本化。然而，数据开发项目的阶段划分在实务中缺乏清晰标准，极易产生主观判断偏差。</w:t>
      </w:r>
    </w:p>
    <w:p w14:paraId="28DEFC9B">
      <w:pPr>
        <w:spacing w:before="60" w:after="60" w:line="360" w:lineRule="auto"/>
        <w:outlineLvl w:val="3"/>
        <w:rPr>
          <w:rFonts w:hint="eastAsia"/>
        </w:rPr>
      </w:pPr>
      <w:r>
        <w:rPr>
          <w:b/>
          <w:bCs/>
          <w:color w:val="000000"/>
        </w:rPr>
        <w:t>【优化方案——阶段划分五步法】</w:t>
      </w:r>
    </w:p>
    <w:p w14:paraId="39635BC7">
      <w:pPr>
        <w:pStyle w:val="21"/>
        <w:numPr>
          <w:ilvl w:val="0"/>
          <w:numId w:val="1"/>
        </w:numPr>
        <w:spacing w:before="40" w:after="40"/>
        <w:ind w:left="425" w:leftChars="0" w:hanging="425" w:firstLineChars="0"/>
        <w:rPr>
          <w:rFonts w:hint="eastAsia"/>
        </w:rPr>
      </w:pPr>
      <w:r>
        <w:t>技术可行性论证：技术方案是否已通过内部专家评审，具备完成开发的技术能力</w:t>
      </w:r>
      <w:r>
        <w:rPr>
          <w:rFonts w:hint="eastAsia"/>
          <w:lang w:eastAsia="zh"/>
          <w:woUserID w:val="3"/>
        </w:rPr>
        <w:t>；</w:t>
      </w:r>
    </w:p>
    <w:p w14:paraId="1FA7976D">
      <w:pPr>
        <w:pStyle w:val="21"/>
        <w:numPr>
          <w:ilvl w:val="0"/>
          <w:numId w:val="1"/>
        </w:numPr>
        <w:spacing w:before="40" w:after="40"/>
        <w:ind w:left="425" w:leftChars="0" w:hanging="425" w:firstLineChars="0"/>
        <w:rPr>
          <w:rFonts w:hint="eastAsia"/>
        </w:rPr>
      </w:pPr>
      <w:r>
        <w:t>开发意图确认：管理层是否有明确书面决策，将该项目推进至商业化应用阶段</w:t>
      </w:r>
      <w:r>
        <w:rPr>
          <w:rFonts w:hint="eastAsia"/>
          <w:lang w:eastAsia="zh"/>
          <w:woUserID w:val="3"/>
        </w:rPr>
        <w:t>；</w:t>
      </w:r>
    </w:p>
    <w:p w14:paraId="03702107">
      <w:pPr>
        <w:pStyle w:val="21"/>
        <w:numPr>
          <w:ilvl w:val="0"/>
          <w:numId w:val="1"/>
        </w:numPr>
        <w:spacing w:before="40" w:after="40"/>
        <w:ind w:left="425" w:leftChars="0" w:hanging="425" w:firstLineChars="0"/>
        <w:rPr>
          <w:rFonts w:hint="eastAsia"/>
        </w:rPr>
      </w:pPr>
      <w:r>
        <w:t>资源支持确认：企业是否具备充足的财务、技术及人力资源保证项目完成</w:t>
      </w:r>
    </w:p>
    <w:p w14:paraId="4EC8E484">
      <w:pPr>
        <w:pStyle w:val="21"/>
        <w:numPr>
          <w:ilvl w:val="0"/>
          <w:numId w:val="1"/>
        </w:numPr>
        <w:spacing w:before="40" w:after="40"/>
        <w:ind w:left="425" w:leftChars="0" w:hanging="425" w:firstLineChars="0"/>
        <w:rPr>
          <w:rFonts w:hint="eastAsia"/>
        </w:rPr>
      </w:pPr>
      <w:r>
        <w:t>产出可识别性：数据资产的预期应用场景是否清晰、可识别</w:t>
      </w:r>
      <w:r>
        <w:rPr>
          <w:rFonts w:hint="eastAsia"/>
          <w:lang w:eastAsia="zh"/>
          <w:woUserID w:val="3"/>
        </w:rPr>
        <w:t>；</w:t>
      </w:r>
    </w:p>
    <w:p w14:paraId="4FDD5696">
      <w:pPr>
        <w:pStyle w:val="21"/>
        <w:numPr>
          <w:ilvl w:val="0"/>
          <w:numId w:val="1"/>
        </w:numPr>
        <w:spacing w:before="40" w:after="40"/>
        <w:ind w:left="425" w:leftChars="0" w:hanging="425" w:firstLineChars="0"/>
        <w:rPr>
          <w:rFonts w:hint="eastAsia"/>
        </w:rPr>
      </w:pPr>
      <w:r>
        <w:t>经济利益可预测：是否有合理依据支持该数据资产将带来未来经济利益</w:t>
      </w:r>
      <w:r>
        <w:rPr>
          <w:rFonts w:hint="eastAsia"/>
          <w:lang w:eastAsia="zh"/>
          <w:woUserID w:val="3"/>
        </w:rPr>
        <w:t>；</w:t>
      </w:r>
    </w:p>
    <w:p w14:paraId="6B80A47B">
      <w:pPr>
        <w:spacing w:before="60" w:after="60" w:line="360" w:lineRule="auto"/>
        <w:ind w:firstLine="420" w:firstLineChars="0"/>
        <w:rPr>
          <w:rFonts w:hint="eastAsia"/>
        </w:rPr>
      </w:pPr>
      <w:r>
        <w:rPr>
          <w:color w:val="000000"/>
        </w:rPr>
        <w:t>上述五个标准同时满足，方可判定进入开发阶段，以该时间节点作为资本化起始点。</w:t>
      </w:r>
    </w:p>
    <w:p w14:paraId="2497BD47">
      <w:pPr>
        <w:spacing w:before="160" w:after="80" w:line="360" w:lineRule="auto"/>
        <w:outlineLvl w:val="2"/>
        <w:rPr>
          <w:rFonts w:hint="eastAsia"/>
          <w:b/>
          <w:bCs/>
          <w:color w:val="000000"/>
        </w:rPr>
      </w:pPr>
      <w:bookmarkStart w:id="30" w:name="_Toc32459"/>
      <w:r>
        <w:rPr>
          <w:b/>
          <w:bCs/>
          <w:color w:val="000000"/>
        </w:rPr>
        <w:t>难点二：资本化判断标准</w:t>
      </w:r>
      <w:bookmarkEnd w:id="30"/>
    </w:p>
    <w:p w14:paraId="2E1F7272">
      <w:pPr>
        <w:spacing w:before="60" w:after="60" w:line="360" w:lineRule="auto"/>
        <w:ind w:firstLine="420" w:firstLineChars="0"/>
        <w:rPr>
          <w:rFonts w:hint="eastAsia"/>
        </w:rPr>
      </w:pPr>
      <w:r>
        <w:rPr>
          <w:color w:val="000000"/>
        </w:rPr>
        <w:t>数据资产的价值往往难以客观量化，资本化与否的判断空间较大，存在利润操纵风险。</w:t>
      </w:r>
    </w:p>
    <w:p w14:paraId="570E96D0">
      <w:pPr>
        <w:spacing w:before="60" w:after="60" w:line="360" w:lineRule="auto"/>
        <w:outlineLvl w:val="3"/>
        <w:rPr>
          <w:rFonts w:hint="eastAsia"/>
        </w:rPr>
      </w:pPr>
      <w:r>
        <w:rPr>
          <w:b/>
          <w:bCs/>
          <w:color w:val="000000"/>
        </w:rPr>
        <w:t>【优化方案——资本化判断三维度评估模型】</w:t>
      </w:r>
    </w:p>
    <w:p w14:paraId="1B3088A2">
      <w:pPr>
        <w:pStyle w:val="21"/>
        <w:numPr>
          <w:ilvl w:val="0"/>
          <w:numId w:val="2"/>
        </w:numPr>
        <w:spacing w:before="40" w:after="40"/>
        <w:ind w:left="425" w:leftChars="0" w:hanging="425" w:firstLineChars="0"/>
        <w:rPr>
          <w:rFonts w:hint="eastAsia"/>
        </w:rPr>
      </w:pPr>
      <w:r>
        <w:t>业务赋能深度：数据资产对核心业务流程的改善是否可量化（如降低</w:t>
      </w:r>
      <w:r>
        <w:rPr>
          <w:rFonts w:hint="eastAsia"/>
        </w:rPr>
        <w:t>炼钢</w:t>
      </w:r>
      <w:r>
        <w:t>成本、提升良品率）</w:t>
      </w:r>
      <w:r>
        <w:rPr>
          <w:rFonts w:hint="eastAsia"/>
          <w:lang w:eastAsia="zh"/>
          <w:woUserID w:val="3"/>
        </w:rPr>
        <w:t>；</w:t>
      </w:r>
    </w:p>
    <w:p w14:paraId="5059C9C8">
      <w:pPr>
        <w:pStyle w:val="21"/>
        <w:numPr>
          <w:ilvl w:val="0"/>
          <w:numId w:val="2"/>
        </w:numPr>
        <w:spacing w:before="40" w:after="40"/>
        <w:ind w:left="425" w:leftChars="0" w:hanging="425" w:firstLineChars="0"/>
        <w:rPr>
          <w:rFonts w:hint="eastAsia"/>
        </w:rPr>
      </w:pPr>
      <w:r>
        <w:t>外部市场稀缺性：数据资产是否具备市场竞争价值，是否已在数据交易所实现挂牌或询价</w:t>
      </w:r>
      <w:r>
        <w:rPr>
          <w:rFonts w:hint="eastAsia"/>
          <w:lang w:eastAsia="zh"/>
          <w:woUserID w:val="3"/>
        </w:rPr>
        <w:t>；</w:t>
      </w:r>
    </w:p>
    <w:p w14:paraId="4EB09D85">
      <w:pPr>
        <w:pStyle w:val="21"/>
        <w:numPr>
          <w:ilvl w:val="0"/>
          <w:numId w:val="2"/>
        </w:numPr>
        <w:spacing w:before="40" w:after="40"/>
        <w:ind w:left="425" w:leftChars="0" w:hanging="425" w:firstLineChars="0"/>
        <w:rPr>
          <w:rFonts w:hint="eastAsia"/>
        </w:rPr>
      </w:pPr>
      <w:r>
        <w:t>技术可移植性：数据模型是否可跨场景复用，降低未来边际开发成本</w:t>
      </w:r>
      <w:r>
        <w:rPr>
          <w:rFonts w:hint="eastAsia"/>
          <w:lang w:eastAsia="zh"/>
          <w:woUserID w:val="4"/>
        </w:rPr>
        <w:t>。</w:t>
      </w:r>
    </w:p>
    <w:p w14:paraId="4B77A16F">
      <w:pPr>
        <w:spacing w:before="60" w:after="60" w:line="360" w:lineRule="auto"/>
        <w:rPr>
          <w:rFonts w:hint="eastAsia"/>
        </w:rPr>
      </w:pPr>
      <w:r>
        <w:rPr>
          <w:color w:val="000000"/>
        </w:rPr>
        <w:t>三个维度综合评分高于阈値，方可确认为可资本化项目，并形成书面评估记录备查。</w:t>
      </w:r>
    </w:p>
    <w:p w14:paraId="266A5B2C">
      <w:pPr>
        <w:spacing w:before="160" w:after="80" w:line="360" w:lineRule="auto"/>
        <w:outlineLvl w:val="2"/>
        <w:rPr>
          <w:rFonts w:hint="eastAsia"/>
          <w:color w:val="000000"/>
        </w:rPr>
      </w:pPr>
      <w:bookmarkStart w:id="31" w:name="_Toc29872"/>
      <w:r>
        <w:rPr>
          <w:b/>
          <w:bCs/>
          <w:color w:val="000000"/>
        </w:rPr>
        <w:t>难点三：后续</w:t>
      </w:r>
      <w:r>
        <w:rPr>
          <w:rFonts w:hint="eastAsia"/>
          <w:b/>
          <w:bCs/>
          <w:color w:val="000000"/>
        </w:rPr>
        <w:t>摊销</w:t>
      </w:r>
      <w:r>
        <w:rPr>
          <w:b/>
          <w:bCs/>
          <w:color w:val="000000"/>
        </w:rPr>
        <w:t>与减值测试</w:t>
      </w:r>
      <w:bookmarkEnd w:id="31"/>
    </w:p>
    <w:p w14:paraId="0E17B414">
      <w:pPr>
        <w:spacing w:before="60" w:after="60" w:line="360" w:lineRule="auto"/>
        <w:rPr>
          <w:rFonts w:hint="eastAsia"/>
        </w:rPr>
      </w:pPr>
      <w:r>
        <w:rPr>
          <w:color w:val="000000"/>
        </w:rPr>
        <w:t>数字技术迭代加速，数据资产的使用寿命难以精确评估，减值迅象的判断标准不明确。</w:t>
      </w:r>
    </w:p>
    <w:p w14:paraId="0428FD44">
      <w:pPr>
        <w:spacing w:before="60" w:after="60" w:line="360" w:lineRule="auto"/>
        <w:outlineLvl w:val="3"/>
        <w:rPr>
          <w:rFonts w:hint="eastAsia"/>
        </w:rPr>
      </w:pPr>
      <w:r>
        <w:rPr>
          <w:b/>
          <w:bCs/>
          <w:color w:val="000000"/>
        </w:rPr>
        <w:t>【优化方案——减值测试双模型】</w:t>
      </w:r>
    </w:p>
    <w:p w14:paraId="04092538">
      <w:pPr>
        <w:pStyle w:val="21"/>
        <w:numPr>
          <w:ilvl w:val="0"/>
          <w:numId w:val="3"/>
        </w:numPr>
        <w:spacing w:before="40" w:after="40"/>
        <w:ind w:left="425" w:leftChars="0" w:hanging="425" w:firstLineChars="0"/>
        <w:rPr>
          <w:rFonts w:hint="eastAsia"/>
        </w:rPr>
      </w:pPr>
      <w:r>
        <w:t>市场对标模型：定期检索同类数据产品的市场交易价格，与账面价值对比，若市场价格持续低于账面价值的合理水平，触发减值测试</w:t>
      </w:r>
      <w:r>
        <w:rPr>
          <w:rFonts w:hint="eastAsia"/>
          <w:lang w:eastAsia="zh"/>
          <w:woUserID w:val="3"/>
        </w:rPr>
        <w:t>；</w:t>
      </w:r>
    </w:p>
    <w:p w14:paraId="6B338237">
      <w:pPr>
        <w:pStyle w:val="21"/>
        <w:numPr>
          <w:ilvl w:val="0"/>
          <w:numId w:val="3"/>
        </w:numPr>
        <w:spacing w:before="40" w:after="40"/>
        <w:ind w:left="425" w:leftChars="0" w:hanging="425" w:firstLineChars="0"/>
        <w:rPr>
          <w:rFonts w:hint="eastAsia"/>
        </w:rPr>
      </w:pPr>
      <w:r>
        <w:t>预期收益折现模型：基于数据资产的剩余使用寿命，预测各期现金流贡献，折现后与账面价值比较，差额确认减值损失</w:t>
      </w:r>
      <w:r>
        <w:rPr>
          <w:rFonts w:hint="eastAsia"/>
          <w:lang w:eastAsia="zh"/>
          <w:woUserID w:val="3"/>
        </w:rPr>
        <w:t>。</w:t>
      </w:r>
    </w:p>
    <w:p w14:paraId="069CBC10">
      <w:pPr>
        <w:spacing w:before="60" w:after="60" w:line="360" w:lineRule="auto"/>
        <w:rPr>
          <w:rFonts w:hint="eastAsia"/>
        </w:rPr>
      </w:pPr>
      <w:r>
        <w:rPr>
          <w:color w:val="000000"/>
        </w:rPr>
        <w:t>南</w:t>
      </w:r>
      <w:r>
        <w:rPr>
          <w:rFonts w:hint="eastAsia"/>
          <w:color w:val="000000"/>
        </w:rPr>
        <w:t>钢</w:t>
      </w:r>
      <w:r>
        <w:rPr>
          <w:color w:val="000000"/>
        </w:rPr>
        <w:t>股份2024年累计</w:t>
      </w:r>
      <w:r>
        <w:rPr>
          <w:rFonts w:hint="eastAsia"/>
          <w:color w:val="000000"/>
        </w:rPr>
        <w:t>摊销</w:t>
      </w:r>
      <w:r>
        <w:rPr>
          <w:color w:val="000000"/>
        </w:rPr>
        <w:t>为35,827.03元，并建立年度减值测试机制，对使用寿命不确定的数据资产每年强制开展减值测试，双模型并行有效防范价值高估风险。</w:t>
      </w:r>
    </w:p>
    <w:p w14:paraId="793A7DAB">
      <w:pPr>
        <w:rPr>
          <w:rFonts w:hint="eastAsia"/>
        </w:rPr>
      </w:pPr>
    </w:p>
    <w:p w14:paraId="0B2A8034">
      <w:pPr>
        <w:rPr>
          <w:rFonts w:hint="eastAsia"/>
        </w:rPr>
      </w:pPr>
    </w:p>
    <w:p w14:paraId="05E80521">
      <w:pPr>
        <w:pBdr>
          <w:bottom w:val="single" w:color="2E5FA3" w:sz="12" w:space="6"/>
        </w:pBdr>
        <w:spacing w:before="300" w:after="180" w:line="360" w:lineRule="auto"/>
        <w:outlineLvl w:val="0"/>
        <w:rPr>
          <w:rFonts w:hint="eastAsia"/>
        </w:rPr>
      </w:pPr>
      <w:bookmarkStart w:id="32" w:name="_Toc9239"/>
      <w:bookmarkStart w:id="33" w:name="_Toc261"/>
      <w:r>
        <w:rPr>
          <w:b/>
          <w:bCs/>
          <w:color w:val="1F3864"/>
          <w:sz w:val="28"/>
          <w:szCs w:val="28"/>
        </w:rPr>
        <w:t>第三章  量化穿透：数据资产入表对南</w:t>
      </w:r>
      <w:r>
        <w:rPr>
          <w:rFonts w:hint="eastAsia"/>
          <w:b/>
          <w:bCs/>
          <w:color w:val="1F3864"/>
          <w:sz w:val="28"/>
          <w:szCs w:val="28"/>
        </w:rPr>
        <w:t>钢</w:t>
      </w:r>
      <w:r>
        <w:rPr>
          <w:b/>
          <w:bCs/>
          <w:color w:val="1F3864"/>
          <w:sz w:val="28"/>
          <w:szCs w:val="28"/>
        </w:rPr>
        <w:t>财务状况的多维影响评估</w:t>
      </w:r>
      <w:bookmarkEnd w:id="32"/>
      <w:bookmarkEnd w:id="33"/>
    </w:p>
    <w:p w14:paraId="6794A3F3">
      <w:pPr>
        <w:spacing w:before="200" w:after="120" w:line="360" w:lineRule="auto"/>
        <w:outlineLvl w:val="1"/>
        <w:rPr>
          <w:rFonts w:hint="eastAsia"/>
        </w:rPr>
      </w:pPr>
      <w:bookmarkStart w:id="34" w:name="_Toc16849"/>
      <w:bookmarkStart w:id="35" w:name="_Toc12072"/>
      <w:r>
        <w:rPr>
          <w:b/>
          <w:bCs/>
          <w:color w:val="2E5FA3"/>
          <w:sz w:val="26"/>
          <w:szCs w:val="26"/>
        </w:rPr>
        <w:t>3.1  数据资产规模变动分析</w:t>
      </w:r>
      <w:bookmarkEnd w:id="34"/>
      <w:bookmarkEnd w:id="35"/>
    </w:p>
    <w:p w14:paraId="385371EF">
      <w:pPr>
        <w:spacing w:before="60" w:after="60" w:line="360" w:lineRule="auto"/>
        <w:rPr>
          <w:rFonts w:hint="eastAsia" w:eastAsia="宋体"/>
          <w:lang w:val="en-US" w:eastAsia="zh-CN"/>
        </w:rPr>
      </w:pPr>
      <w:r>
        <w:rPr>
          <w:color w:val="000000"/>
        </w:rPr>
        <w:t>根据南</w:t>
      </w:r>
      <w:r>
        <w:rPr>
          <w:rFonts w:hint="eastAsia"/>
          <w:color w:val="000000"/>
        </w:rPr>
        <w:t>钢</w:t>
      </w:r>
      <w:r>
        <w:rPr>
          <w:color w:val="000000"/>
        </w:rPr>
        <w:t>股份2024年披露数据，入表项目呈现爆发式增长态势，反映企业数字化转型的持续深化：</w:t>
      </w:r>
    </w:p>
    <w:p w14:paraId="21BBA2B2">
      <w:pPr>
        <w:spacing w:before="100" w:after="60"/>
        <w:jc w:val="center"/>
        <w:rPr>
          <w:rFonts w:hint="eastAsia"/>
        </w:rPr>
      </w:pPr>
      <w:r>
        <w:rPr>
          <w:b/>
          <w:bCs/>
          <w:color w:val="1F3864"/>
        </w:rPr>
        <w:t>表2  南</w:t>
      </w:r>
      <w:r>
        <w:rPr>
          <w:rFonts w:hint="eastAsia"/>
          <w:b/>
          <w:bCs/>
          <w:color w:val="1F3864"/>
        </w:rPr>
        <w:t>钢</w:t>
      </w:r>
      <w:r>
        <w:rPr>
          <w:b/>
          <w:bCs/>
          <w:color w:val="1F3864"/>
        </w:rPr>
        <w:t>股份2024年数据资产入表关键科目变动情况</w:t>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219"/>
        <w:gridCol w:w="2007"/>
      </w:tblGrid>
      <w:tr w14:paraId="1C05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4F6C6433">
            <w:pPr>
              <w:spacing w:line="280" w:lineRule="auto"/>
              <w:jc w:val="center"/>
              <w:rPr>
                <w:rFonts w:hint="eastAsia"/>
                <w:sz w:val="22"/>
                <w:szCs w:val="22"/>
              </w:rPr>
            </w:pPr>
            <w:r>
              <w:rPr>
                <w:b/>
                <w:bCs/>
                <w:color w:val="FFFFFF"/>
                <w:sz w:val="22"/>
                <w:szCs w:val="22"/>
              </w:rPr>
              <w:t>关键科目（单位：元）</w:t>
            </w:r>
          </w:p>
        </w:tc>
        <w:tc>
          <w:tcPr>
            <w:tcW w:w="20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73A8159F">
            <w:pPr>
              <w:spacing w:line="280" w:lineRule="auto"/>
              <w:jc w:val="center"/>
              <w:rPr>
                <w:rFonts w:hint="eastAsia"/>
                <w:sz w:val="22"/>
                <w:szCs w:val="22"/>
              </w:rPr>
            </w:pPr>
            <w:r>
              <w:rPr>
                <w:b/>
                <w:bCs/>
                <w:color w:val="FFFFFF"/>
                <w:sz w:val="22"/>
                <w:szCs w:val="22"/>
              </w:rPr>
              <w:t>2024年3月31日</w:t>
            </w:r>
          </w:p>
        </w:tc>
        <w:tc>
          <w:tcPr>
            <w:tcW w:w="2219"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74D472C3">
            <w:pPr>
              <w:spacing w:line="280" w:lineRule="auto"/>
              <w:jc w:val="center"/>
              <w:rPr>
                <w:rFonts w:hint="eastAsia"/>
                <w:sz w:val="22"/>
                <w:szCs w:val="22"/>
              </w:rPr>
            </w:pPr>
            <w:r>
              <w:rPr>
                <w:b/>
                <w:bCs/>
                <w:color w:val="FFFFFF"/>
                <w:sz w:val="22"/>
                <w:szCs w:val="22"/>
              </w:rPr>
              <w:t>2024年12月31日</w:t>
            </w:r>
          </w:p>
        </w:tc>
        <w:tc>
          <w:tcPr>
            <w:tcW w:w="2007"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1BD909BE">
            <w:pPr>
              <w:spacing w:line="280" w:lineRule="auto"/>
              <w:jc w:val="center"/>
              <w:rPr>
                <w:rFonts w:hint="eastAsia"/>
                <w:sz w:val="22"/>
                <w:szCs w:val="22"/>
              </w:rPr>
            </w:pPr>
            <w:r>
              <w:rPr>
                <w:b/>
                <w:bCs/>
                <w:color w:val="FFFFFF"/>
                <w:sz w:val="22"/>
                <w:szCs w:val="22"/>
              </w:rPr>
              <w:t>变动幅度</w:t>
            </w:r>
          </w:p>
        </w:tc>
      </w:tr>
      <w:tr w14:paraId="44DA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750BDE3">
            <w:pPr>
              <w:spacing w:line="280" w:lineRule="auto"/>
              <w:jc w:val="left"/>
              <w:rPr>
                <w:rFonts w:hint="eastAsia"/>
                <w:sz w:val="22"/>
                <w:szCs w:val="22"/>
              </w:rPr>
            </w:pPr>
            <w:r>
              <w:rPr>
                <w:color w:val="000000"/>
                <w:sz w:val="22"/>
                <w:szCs w:val="22"/>
              </w:rPr>
              <w:t>无形资产（数据资源）</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89C46C0">
            <w:pPr>
              <w:spacing w:line="280" w:lineRule="auto"/>
              <w:jc w:val="right"/>
              <w:rPr>
                <w:rFonts w:hint="eastAsia"/>
                <w:sz w:val="22"/>
                <w:szCs w:val="22"/>
              </w:rPr>
            </w:pPr>
            <w:r>
              <w:rPr>
                <w:rFonts w:ascii="Times New Roman" w:hAnsi="Times New Roman" w:eastAsia="Times New Roman" w:cs="Times New Roman"/>
                <w:color w:val="000000"/>
                <w:sz w:val="22"/>
                <w:szCs w:val="22"/>
              </w:rPr>
              <w:t>151,802.52</w:t>
            </w:r>
          </w:p>
        </w:tc>
        <w:tc>
          <w:tcPr>
            <w:tcW w:w="22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069B47B">
            <w:pPr>
              <w:spacing w:line="280" w:lineRule="auto"/>
              <w:jc w:val="right"/>
              <w:rPr>
                <w:rFonts w:hint="eastAsia"/>
                <w:sz w:val="22"/>
                <w:szCs w:val="22"/>
              </w:rPr>
            </w:pPr>
            <w:r>
              <w:rPr>
                <w:rFonts w:ascii="Times New Roman" w:hAnsi="Times New Roman" w:eastAsia="Times New Roman" w:cs="Times New Roman"/>
                <w:color w:val="000000"/>
                <w:sz w:val="22"/>
                <w:szCs w:val="22"/>
              </w:rPr>
              <w:t>747,572.31</w:t>
            </w:r>
          </w:p>
        </w:tc>
        <w:tc>
          <w:tcPr>
            <w:tcW w:w="200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4C0DF61">
            <w:pPr>
              <w:spacing w:line="280" w:lineRule="auto"/>
              <w:jc w:val="center"/>
              <w:rPr>
                <w:rFonts w:hint="eastAsia"/>
                <w:sz w:val="22"/>
                <w:szCs w:val="22"/>
              </w:rPr>
            </w:pPr>
            <w:r>
              <w:rPr>
                <w:b/>
                <w:bCs/>
                <w:color w:val="C0392B"/>
                <w:sz w:val="22"/>
                <w:szCs w:val="22"/>
              </w:rPr>
              <w:t>+392.4%</w:t>
            </w:r>
          </w:p>
        </w:tc>
      </w:tr>
      <w:tr w14:paraId="5F8A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173DA2A5">
            <w:pPr>
              <w:spacing w:line="280" w:lineRule="auto"/>
              <w:jc w:val="left"/>
              <w:rPr>
                <w:rFonts w:hint="eastAsia"/>
                <w:sz w:val="22"/>
                <w:szCs w:val="22"/>
              </w:rPr>
            </w:pPr>
            <w:r>
              <w:rPr>
                <w:color w:val="000000"/>
                <w:sz w:val="22"/>
                <w:szCs w:val="22"/>
              </w:rPr>
              <w:t>开发支出（数据资源）</w:t>
            </w:r>
          </w:p>
        </w:tc>
        <w:tc>
          <w:tcPr>
            <w:tcW w:w="20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6FCBB50D">
            <w:pPr>
              <w:spacing w:line="280" w:lineRule="auto"/>
              <w:jc w:val="right"/>
              <w:rPr>
                <w:rFonts w:hint="eastAsia"/>
                <w:sz w:val="22"/>
                <w:szCs w:val="22"/>
              </w:rPr>
            </w:pPr>
            <w:r>
              <w:rPr>
                <w:rFonts w:ascii="Times New Roman" w:hAnsi="Times New Roman" w:eastAsia="Times New Roman" w:cs="Times New Roman"/>
                <w:color w:val="000000"/>
                <w:sz w:val="22"/>
                <w:szCs w:val="22"/>
              </w:rPr>
              <w:t>1,022,893.43</w:t>
            </w:r>
          </w:p>
        </w:tc>
        <w:tc>
          <w:tcPr>
            <w:tcW w:w="2219"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42969FEB">
            <w:pPr>
              <w:spacing w:line="280" w:lineRule="auto"/>
              <w:jc w:val="right"/>
              <w:rPr>
                <w:rFonts w:hint="eastAsia"/>
                <w:sz w:val="22"/>
                <w:szCs w:val="22"/>
              </w:rPr>
            </w:pPr>
            <w:r>
              <w:rPr>
                <w:rFonts w:ascii="Times New Roman" w:hAnsi="Times New Roman" w:eastAsia="Times New Roman" w:cs="Times New Roman"/>
                <w:color w:val="000000"/>
                <w:sz w:val="22"/>
                <w:szCs w:val="22"/>
              </w:rPr>
              <w:t>9,575,476.22</w:t>
            </w:r>
          </w:p>
        </w:tc>
        <w:tc>
          <w:tcPr>
            <w:tcW w:w="2007"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5193D87A">
            <w:pPr>
              <w:spacing w:line="280" w:lineRule="auto"/>
              <w:jc w:val="center"/>
              <w:rPr>
                <w:rFonts w:hint="eastAsia"/>
                <w:sz w:val="22"/>
                <w:szCs w:val="22"/>
              </w:rPr>
            </w:pPr>
            <w:r>
              <w:rPr>
                <w:b/>
                <w:bCs/>
                <w:color w:val="C0392B"/>
                <w:sz w:val="22"/>
                <w:szCs w:val="22"/>
              </w:rPr>
              <w:t>+836.1%</w:t>
            </w:r>
          </w:p>
        </w:tc>
      </w:tr>
      <w:tr w14:paraId="3424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783322F">
            <w:pPr>
              <w:spacing w:line="280" w:lineRule="auto"/>
              <w:jc w:val="left"/>
              <w:rPr>
                <w:rFonts w:hint="eastAsia"/>
                <w:sz w:val="22"/>
                <w:szCs w:val="22"/>
              </w:rPr>
            </w:pPr>
            <w:r>
              <w:rPr>
                <w:b/>
                <w:bCs/>
                <w:color w:val="000000"/>
                <w:sz w:val="22"/>
                <w:szCs w:val="22"/>
              </w:rPr>
              <w:t>数据资产合计</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28A6338F">
            <w:pPr>
              <w:spacing w:line="280" w:lineRule="auto"/>
              <w:jc w:val="right"/>
              <w:rPr>
                <w:rFonts w:hint="eastAsia"/>
                <w:sz w:val="22"/>
                <w:szCs w:val="22"/>
              </w:rPr>
            </w:pPr>
            <w:r>
              <w:rPr>
                <w:rFonts w:ascii="Times New Roman" w:hAnsi="Times New Roman" w:eastAsia="Times New Roman" w:cs="Times New Roman"/>
                <w:b/>
                <w:bCs/>
                <w:color w:val="000000"/>
                <w:sz w:val="22"/>
                <w:szCs w:val="22"/>
              </w:rPr>
              <w:t>1,174,695.95</w:t>
            </w:r>
          </w:p>
        </w:tc>
        <w:tc>
          <w:tcPr>
            <w:tcW w:w="221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4188D06">
            <w:pPr>
              <w:spacing w:line="280" w:lineRule="auto"/>
              <w:jc w:val="right"/>
              <w:rPr>
                <w:rFonts w:hint="eastAsia"/>
                <w:sz w:val="22"/>
                <w:szCs w:val="22"/>
              </w:rPr>
            </w:pPr>
            <w:r>
              <w:rPr>
                <w:rFonts w:ascii="Times New Roman" w:hAnsi="Times New Roman" w:eastAsia="Times New Roman" w:cs="Times New Roman"/>
                <w:b/>
                <w:bCs/>
                <w:color w:val="000000"/>
                <w:sz w:val="22"/>
                <w:szCs w:val="22"/>
              </w:rPr>
              <w:t>10,323,048.53</w:t>
            </w:r>
          </w:p>
        </w:tc>
        <w:tc>
          <w:tcPr>
            <w:tcW w:w="2007"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29FCA77">
            <w:pPr>
              <w:spacing w:line="280" w:lineRule="auto"/>
              <w:jc w:val="center"/>
              <w:rPr>
                <w:rFonts w:hint="eastAsia"/>
                <w:sz w:val="22"/>
                <w:szCs w:val="22"/>
              </w:rPr>
            </w:pPr>
            <w:r>
              <w:rPr>
                <w:b/>
                <w:bCs/>
                <w:color w:val="C0392B"/>
                <w:sz w:val="22"/>
                <w:szCs w:val="22"/>
              </w:rPr>
              <w:t>+778.8%</w:t>
            </w:r>
          </w:p>
        </w:tc>
      </w:tr>
    </w:tbl>
    <w:p w14:paraId="01CD1E10">
      <w:pPr>
        <w:spacing w:before="40" w:after="100"/>
        <w:jc w:val="center"/>
        <w:rPr>
          <w:i/>
          <w:iCs/>
          <w:color w:val="595959"/>
          <w:sz w:val="20"/>
          <w:szCs w:val="20"/>
        </w:rPr>
      </w:pPr>
      <w:r>
        <w:rPr>
          <w:i/>
          <w:iCs/>
          <w:color w:val="595959"/>
          <w:sz w:val="20"/>
          <w:szCs w:val="20"/>
        </w:rPr>
        <w:t>数据来源：南</w:t>
      </w:r>
      <w:r>
        <w:rPr>
          <w:rFonts w:hint="eastAsia"/>
          <w:i/>
          <w:iCs/>
          <w:color w:val="595959"/>
          <w:sz w:val="20"/>
          <w:szCs w:val="20"/>
        </w:rPr>
        <w:t>钢</w:t>
      </w:r>
      <w:r>
        <w:rPr>
          <w:i/>
          <w:iCs/>
          <w:color w:val="595959"/>
          <w:sz w:val="20"/>
          <w:szCs w:val="20"/>
        </w:rPr>
        <w:t>股份2024年一季报及年报</w:t>
      </w:r>
    </w:p>
    <w:p w14:paraId="1EC5B94E">
      <w:pPr>
        <w:spacing w:before="40" w:after="100"/>
        <w:jc w:val="center"/>
        <w:rPr>
          <w:rFonts w:hint="eastAsia"/>
          <w:i/>
          <w:iCs/>
          <w:color w:val="595959"/>
          <w:sz w:val="20"/>
          <w:szCs w:val="20"/>
        </w:rPr>
      </w:pPr>
    </w:p>
    <w:p w14:paraId="254B99EE">
      <w:pPr>
        <w:spacing w:before="200" w:after="120" w:line="360" w:lineRule="auto"/>
        <w:outlineLvl w:val="1"/>
        <w:rPr>
          <w:rFonts w:hint="eastAsia"/>
        </w:rPr>
      </w:pPr>
      <w:bookmarkStart w:id="36" w:name="_Toc5073"/>
      <w:bookmarkStart w:id="37" w:name="_Toc21305"/>
      <w:r>
        <w:rPr>
          <w:b/>
          <w:bCs/>
          <w:color w:val="2E5FA3"/>
          <w:sz w:val="26"/>
          <w:szCs w:val="26"/>
        </w:rPr>
        <w:t>3.2  财务指标多维影响深度解析</w:t>
      </w:r>
      <w:bookmarkEnd w:id="36"/>
      <w:bookmarkEnd w:id="37"/>
    </w:p>
    <w:p w14:paraId="47AD98F0">
      <w:pPr>
        <w:spacing w:before="160" w:after="80" w:line="360" w:lineRule="auto"/>
        <w:outlineLvl w:val="2"/>
        <w:rPr>
          <w:rFonts w:hint="eastAsia"/>
        </w:rPr>
      </w:pPr>
      <w:bookmarkStart w:id="38" w:name="_Toc14826"/>
      <w:bookmarkStart w:id="39" w:name="_Toc8015"/>
      <w:r>
        <w:rPr>
          <w:b/>
          <w:bCs/>
          <w:color w:val="595959"/>
        </w:rPr>
        <w:t>（一）资产结构优化效应</w:t>
      </w:r>
      <w:bookmarkEnd w:id="38"/>
      <w:bookmarkEnd w:id="39"/>
    </w:p>
    <w:p w14:paraId="0CB4166A">
      <w:pPr>
        <w:spacing w:before="60" w:after="60" w:line="360" w:lineRule="auto"/>
        <w:ind w:firstLine="420" w:firstLineChars="0"/>
        <w:rPr>
          <w:rFonts w:hint="eastAsia"/>
        </w:rPr>
      </w:pPr>
      <w:r>
        <w:rPr>
          <w:color w:val="000000"/>
        </w:rPr>
        <w:t>2024年内，南</w:t>
      </w:r>
      <w:r>
        <w:rPr>
          <w:rFonts w:hint="eastAsia"/>
          <w:color w:val="000000"/>
        </w:rPr>
        <w:t>钢</w:t>
      </w:r>
      <w:r>
        <w:rPr>
          <w:color w:val="000000"/>
        </w:rPr>
        <w:t>股份数据资产总量增加约915万元。尽管相对于707.78亿元的总资产规模，数据资产的绝对占比仍较小（约0.01</w:t>
      </w:r>
      <w:r>
        <w:rPr>
          <w:rFonts w:hint="eastAsia"/>
          <w:color w:val="000000"/>
        </w:rPr>
        <w:t>5</w:t>
      </w:r>
      <w:r>
        <w:rPr>
          <w:color w:val="000000"/>
        </w:rPr>
        <w:t>%），但其作为「新质生产力」代表的杠杆效应显著：</w:t>
      </w:r>
    </w:p>
    <w:p w14:paraId="7FE5DCF4">
      <w:pPr>
        <w:pStyle w:val="21"/>
        <w:numPr>
          <w:ilvl w:val="0"/>
          <w:numId w:val="4"/>
        </w:numPr>
        <w:spacing w:before="40" w:after="40"/>
        <w:ind w:left="425" w:leftChars="0" w:hanging="425" w:firstLineChars="0"/>
        <w:rPr>
          <w:rFonts w:hint="eastAsia"/>
        </w:rPr>
      </w:pPr>
      <w:r>
        <w:t>无形资产内涵演变：无形资产构成由传统的土地使用权、专利技术向数据驱动的「软资产」延伸，提升了资产结构的现代化程度</w:t>
      </w:r>
      <w:r>
        <w:rPr>
          <w:rFonts w:hint="eastAsia"/>
          <w:lang w:eastAsia="zh"/>
          <w:woUserID w:val="3"/>
        </w:rPr>
        <w:t>；</w:t>
      </w:r>
    </w:p>
    <w:p w14:paraId="3A1368C3">
      <w:pPr>
        <w:pStyle w:val="21"/>
        <w:numPr>
          <w:ilvl w:val="0"/>
          <w:numId w:val="4"/>
        </w:numPr>
        <w:spacing w:before="40" w:after="40"/>
        <w:ind w:left="425" w:leftChars="0" w:hanging="425" w:firstLineChars="0"/>
        <w:rPr>
          <w:rFonts w:hint="eastAsia"/>
        </w:rPr>
      </w:pPr>
      <w:r>
        <w:t>资产质量改善：数据资产具有轻资本、高增长潜力的特征，有助于提升企业的资本估值潜力和市场预期</w:t>
      </w:r>
      <w:r>
        <w:rPr>
          <w:rFonts w:hint="eastAsia"/>
          <w:lang w:eastAsia="zh"/>
          <w:woUserID w:val="3"/>
        </w:rPr>
        <w:t>；</w:t>
      </w:r>
    </w:p>
    <w:p w14:paraId="1B7D7499">
      <w:pPr>
        <w:pStyle w:val="21"/>
        <w:numPr>
          <w:ilvl w:val="0"/>
          <w:numId w:val="4"/>
        </w:numPr>
        <w:spacing w:before="40" w:after="40"/>
        <w:ind w:left="425" w:leftChars="0" w:hanging="425" w:firstLineChars="0"/>
        <w:rPr>
          <w:rFonts w:hint="eastAsia"/>
        </w:rPr>
      </w:pPr>
      <w:r>
        <w:t>示范效应显著：首批入表的示范意义远超数字本身，为后续大规模数据资产化奠定基础</w:t>
      </w:r>
      <w:r>
        <w:rPr>
          <w:rFonts w:hint="eastAsia"/>
          <w:lang w:eastAsia="zh"/>
          <w:woUserID w:val="3"/>
        </w:rPr>
        <w:t>。</w:t>
      </w:r>
    </w:p>
    <w:p w14:paraId="187ED512">
      <w:pPr>
        <w:spacing w:before="160" w:after="80" w:line="360" w:lineRule="auto"/>
        <w:outlineLvl w:val="2"/>
        <w:rPr>
          <w:rFonts w:hint="eastAsia"/>
        </w:rPr>
      </w:pPr>
      <w:bookmarkStart w:id="40" w:name="_Toc31829"/>
      <w:bookmarkStart w:id="41" w:name="_Toc25863"/>
      <w:r>
        <w:rPr>
          <w:b/>
          <w:bCs/>
          <w:color w:val="595959"/>
        </w:rPr>
        <w:t>（二）盈利能力影响分析</w:t>
      </w:r>
      <w:bookmarkEnd w:id="40"/>
      <w:bookmarkEnd w:id="41"/>
    </w:p>
    <w:p w14:paraId="2DBDB44C">
      <w:pPr>
        <w:spacing w:before="60" w:after="60" w:line="360" w:lineRule="auto"/>
        <w:rPr>
          <w:rFonts w:hint="eastAsia"/>
        </w:rPr>
      </w:pPr>
      <w:r>
        <w:rPr>
          <w:color w:val="000000"/>
        </w:rPr>
        <w:t>数据资产入表通过资本化机制，对盈利指标产生积极影响：</w:t>
      </w:r>
    </w:p>
    <w:p w14:paraId="27D4C932">
      <w:pPr>
        <w:spacing w:before="100" w:after="60"/>
        <w:jc w:val="center"/>
        <w:rPr>
          <w:rFonts w:hint="eastAsia"/>
        </w:rPr>
      </w:pPr>
      <w:r>
        <w:rPr>
          <w:b/>
          <w:bCs/>
          <w:color w:val="1F3864"/>
        </w:rPr>
        <w:t>表3  入表前后盈利影响情景对比分析</w:t>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263"/>
        <w:gridCol w:w="3263"/>
      </w:tblGrid>
      <w:tr w14:paraId="6418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204F5D59">
            <w:pPr>
              <w:spacing w:line="280" w:lineRule="auto"/>
              <w:jc w:val="center"/>
              <w:rPr>
                <w:rFonts w:hint="eastAsia"/>
              </w:rPr>
            </w:pPr>
            <w:r>
              <w:rPr>
                <w:b/>
                <w:bCs/>
                <w:color w:val="FFFFFF"/>
              </w:rPr>
              <w:t>影响维度</w:t>
            </w:r>
          </w:p>
        </w:tc>
        <w:tc>
          <w:tcPr>
            <w:tcW w:w="3263"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1B61E9B1">
            <w:pPr>
              <w:spacing w:line="280" w:lineRule="auto"/>
              <w:jc w:val="center"/>
              <w:rPr>
                <w:rFonts w:hint="eastAsia"/>
              </w:rPr>
            </w:pPr>
            <w:r>
              <w:rPr>
                <w:b/>
                <w:bCs/>
                <w:color w:val="FFFFFF"/>
              </w:rPr>
              <w:t>无入表（全部费用化）</w:t>
            </w:r>
          </w:p>
        </w:tc>
        <w:tc>
          <w:tcPr>
            <w:tcW w:w="3263"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66BEC036">
            <w:pPr>
              <w:spacing w:line="280" w:lineRule="auto"/>
              <w:jc w:val="center"/>
              <w:rPr>
                <w:rFonts w:hint="eastAsia"/>
              </w:rPr>
            </w:pPr>
            <w:r>
              <w:rPr>
                <w:b/>
                <w:bCs/>
                <w:color w:val="FFFFFF"/>
              </w:rPr>
              <w:t>有入表（资本化）</w:t>
            </w:r>
          </w:p>
        </w:tc>
      </w:tr>
      <w:tr w14:paraId="0363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09372A0F">
            <w:pPr>
              <w:spacing w:line="280" w:lineRule="auto"/>
              <w:jc w:val="left"/>
              <w:rPr>
                <w:rFonts w:hint="eastAsia"/>
              </w:rPr>
            </w:pPr>
            <w:r>
              <w:rPr>
                <w:color w:val="000000"/>
              </w:rPr>
              <w:t>当期研发费用</w:t>
            </w:r>
          </w:p>
        </w:tc>
        <w:tc>
          <w:tcPr>
            <w:tcW w:w="32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3A48DE92">
            <w:pPr>
              <w:spacing w:line="280" w:lineRule="auto"/>
              <w:jc w:val="left"/>
              <w:rPr>
                <w:rFonts w:hint="eastAsia"/>
              </w:rPr>
            </w:pPr>
            <w:r>
              <w:rPr>
                <w:color w:val="000000"/>
              </w:rPr>
              <w:t>全额计入当期损益，冲击利润</w:t>
            </w:r>
          </w:p>
        </w:tc>
        <w:tc>
          <w:tcPr>
            <w:tcW w:w="32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418DBA52">
            <w:pPr>
              <w:spacing w:line="280" w:lineRule="auto"/>
              <w:jc w:val="left"/>
              <w:rPr>
                <w:rFonts w:hint="eastAsia"/>
              </w:rPr>
            </w:pPr>
            <w:r>
              <w:rPr>
                <w:color w:val="000000"/>
              </w:rPr>
              <w:t>符合条件部分资本化，减轻当期费用压力</w:t>
            </w:r>
          </w:p>
        </w:tc>
      </w:tr>
      <w:tr w14:paraId="6250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2A8066D">
            <w:pPr>
              <w:spacing w:line="280" w:lineRule="auto"/>
              <w:jc w:val="left"/>
              <w:rPr>
                <w:rFonts w:hint="eastAsia"/>
              </w:rPr>
            </w:pPr>
            <w:r>
              <w:rPr>
                <w:color w:val="000000"/>
              </w:rPr>
              <w:t>利润平滑效果</w:t>
            </w:r>
          </w:p>
        </w:tc>
        <w:tc>
          <w:tcPr>
            <w:tcW w:w="32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A8E65DA">
            <w:pPr>
              <w:spacing w:line="280" w:lineRule="auto"/>
              <w:jc w:val="left"/>
              <w:rPr>
                <w:rFonts w:hint="eastAsia"/>
              </w:rPr>
            </w:pPr>
            <w:r>
              <w:rPr>
                <w:color w:val="000000"/>
              </w:rPr>
              <w:t>利润波动大，受研发投入影响显著</w:t>
            </w:r>
          </w:p>
        </w:tc>
        <w:tc>
          <w:tcPr>
            <w:tcW w:w="32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CEE135B">
            <w:pPr>
              <w:spacing w:line="280" w:lineRule="auto"/>
              <w:jc w:val="left"/>
              <w:rPr>
                <w:rFonts w:hint="eastAsia"/>
              </w:rPr>
            </w:pPr>
            <w:r>
              <w:rPr>
                <w:color w:val="000000"/>
              </w:rPr>
              <w:t>利润更平稳，与资产创效周期匹配</w:t>
            </w:r>
          </w:p>
        </w:tc>
      </w:tr>
      <w:tr w14:paraId="03598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6A6741AE">
            <w:pPr>
              <w:spacing w:line="280" w:lineRule="auto"/>
              <w:jc w:val="left"/>
              <w:rPr>
                <w:rFonts w:hint="eastAsia"/>
              </w:rPr>
            </w:pPr>
            <w:r>
              <w:rPr>
                <w:color w:val="000000"/>
              </w:rPr>
              <w:t>资产回报率(ROA)</w:t>
            </w:r>
          </w:p>
        </w:tc>
        <w:tc>
          <w:tcPr>
            <w:tcW w:w="32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5013B89">
            <w:pPr>
              <w:spacing w:line="280" w:lineRule="auto"/>
              <w:jc w:val="left"/>
              <w:rPr>
                <w:rFonts w:hint="eastAsia"/>
              </w:rPr>
            </w:pPr>
            <w:r>
              <w:rPr>
                <w:color w:val="000000"/>
              </w:rPr>
              <w:t>分子（净利润）受压，ROA偏低</w:t>
            </w:r>
          </w:p>
        </w:tc>
        <w:tc>
          <w:tcPr>
            <w:tcW w:w="32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1B751398">
            <w:pPr>
              <w:spacing w:line="280" w:lineRule="auto"/>
              <w:jc w:val="left"/>
              <w:rPr>
                <w:rFonts w:hint="eastAsia"/>
              </w:rPr>
            </w:pPr>
            <w:r>
              <w:rPr>
                <w:color w:val="000000"/>
              </w:rPr>
              <w:t>分子提升，ROA改善</w:t>
            </w:r>
          </w:p>
        </w:tc>
      </w:tr>
      <w:tr w14:paraId="408D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61622F5">
            <w:pPr>
              <w:spacing w:line="280" w:lineRule="auto"/>
              <w:jc w:val="left"/>
              <w:rPr>
                <w:rFonts w:hint="eastAsia"/>
              </w:rPr>
            </w:pPr>
            <w:r>
              <w:rPr>
                <w:color w:val="000000"/>
              </w:rPr>
              <w:t>披露信息质量</w:t>
            </w:r>
          </w:p>
        </w:tc>
        <w:tc>
          <w:tcPr>
            <w:tcW w:w="32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0A0E4B3">
            <w:pPr>
              <w:spacing w:line="280" w:lineRule="auto"/>
              <w:jc w:val="left"/>
              <w:rPr>
                <w:rFonts w:hint="eastAsia"/>
              </w:rPr>
            </w:pPr>
            <w:r>
              <w:rPr>
                <w:color w:val="000000"/>
              </w:rPr>
              <w:t>数字化投入价值隐藏于费用，不可见</w:t>
            </w:r>
          </w:p>
        </w:tc>
        <w:tc>
          <w:tcPr>
            <w:tcW w:w="32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486A95F">
            <w:pPr>
              <w:spacing w:line="280" w:lineRule="auto"/>
              <w:jc w:val="left"/>
              <w:rPr>
                <w:rFonts w:hint="eastAsia"/>
              </w:rPr>
            </w:pPr>
            <w:r>
              <w:rPr>
                <w:color w:val="000000"/>
              </w:rPr>
              <w:t>投资者可直观感知数字化资产积累</w:t>
            </w:r>
          </w:p>
        </w:tc>
      </w:tr>
    </w:tbl>
    <w:p w14:paraId="66F1AE26">
      <w:pPr>
        <w:rPr>
          <w:rFonts w:hint="eastAsia"/>
        </w:rPr>
      </w:pPr>
    </w:p>
    <w:p w14:paraId="0CCB2E18">
      <w:pPr>
        <w:spacing w:before="60" w:after="60" w:line="360" w:lineRule="auto"/>
        <w:ind w:firstLine="420" w:firstLineChars="0"/>
        <w:rPr>
          <w:rFonts w:hint="eastAsia"/>
        </w:rPr>
      </w:pPr>
      <w:r>
        <w:rPr>
          <w:color w:val="000000"/>
        </w:rPr>
        <w:t>以 2024 年末 9,575,476.22 元的开发支出为例，若全部费用化，将直接减少当期税前利润约 957 万元；而通过资本化处理，仅在各期</w:t>
      </w:r>
      <w:r>
        <w:rPr>
          <w:rFonts w:hint="eastAsia"/>
          <w:color w:val="000000"/>
        </w:rPr>
        <w:t>摊销</w:t>
      </w:r>
      <w:r>
        <w:rPr>
          <w:color w:val="000000"/>
        </w:rPr>
        <w:t>额（2024年累计</w:t>
      </w:r>
      <w:r>
        <w:rPr>
          <w:rFonts w:hint="eastAsia"/>
          <w:color w:val="000000"/>
        </w:rPr>
        <w:t>摊销</w:t>
      </w:r>
      <w:r>
        <w:rPr>
          <w:color w:val="000000"/>
        </w:rPr>
        <w:t xml:space="preserve"> 35,827.03 元）计入损益，对盈利的冲击大幅降低。</w:t>
      </w:r>
    </w:p>
    <w:p w14:paraId="7DD0042A">
      <w:pPr>
        <w:spacing w:before="160" w:after="80" w:line="360" w:lineRule="auto"/>
        <w:outlineLvl w:val="2"/>
        <w:rPr>
          <w:rFonts w:hint="eastAsia"/>
        </w:rPr>
      </w:pPr>
      <w:bookmarkStart w:id="42" w:name="_Toc30293"/>
      <w:bookmarkStart w:id="43" w:name="_Toc8944"/>
      <w:r>
        <w:rPr>
          <w:b/>
          <w:bCs/>
          <w:color w:val="595959"/>
        </w:rPr>
        <w:t>（三）综合财务指标穿透分析</w:t>
      </w:r>
      <w:bookmarkEnd w:id="42"/>
      <w:bookmarkEnd w:id="43"/>
    </w:p>
    <w:p w14:paraId="195AC32F">
      <w:pPr>
        <w:spacing w:before="60" w:after="60" w:line="360" w:lineRule="auto"/>
        <w:ind w:firstLine="420" w:firstLineChars="0"/>
        <w:rPr>
          <w:rFonts w:hint="eastAsia"/>
        </w:rPr>
      </w:pPr>
      <w:r>
        <w:rPr>
          <w:color w:val="000000"/>
        </w:rPr>
        <w:t>从南</w:t>
      </w:r>
      <w:r>
        <w:rPr>
          <w:rFonts w:hint="eastAsia"/>
          <w:color w:val="000000"/>
        </w:rPr>
        <w:t>钢</w:t>
      </w:r>
      <w:r>
        <w:rPr>
          <w:color w:val="000000"/>
        </w:rPr>
        <w:t>股份 2025 年上半年整体财务表现来看，在营业收入同比下降 14.06% 的压力下，归属净利润逆势增长 18.63%，净资产收益率同比提升 0.42 个百分点。数智化带来的降本增效是这一“量减利增”结构性改善的核心驱动力，数据资产的持续积累正在转化为可量化的财务价值。</w:t>
      </w:r>
    </w:p>
    <w:p w14:paraId="6BEE5BBC">
      <w:pPr>
        <w:rPr>
          <w:rFonts w:hint="eastAsia"/>
        </w:rPr>
      </w:pPr>
    </w:p>
    <w:p w14:paraId="575D0725">
      <w:pPr>
        <w:rPr>
          <w:rFonts w:hint="eastAsia"/>
        </w:rPr>
      </w:pPr>
    </w:p>
    <w:p w14:paraId="35F0D745">
      <w:pPr>
        <w:pBdr>
          <w:bottom w:val="single" w:color="2E5FA3" w:sz="12" w:space="6"/>
        </w:pBdr>
        <w:spacing w:before="300" w:after="180" w:line="360" w:lineRule="auto"/>
        <w:outlineLvl w:val="0"/>
        <w:rPr>
          <w:rFonts w:hint="eastAsia"/>
        </w:rPr>
      </w:pPr>
      <w:bookmarkStart w:id="44" w:name="_Toc14938"/>
      <w:bookmarkStart w:id="45" w:name="_Toc396"/>
      <w:r>
        <w:rPr>
          <w:b/>
          <w:bCs/>
          <w:color w:val="1F3864"/>
          <w:sz w:val="28"/>
          <w:szCs w:val="28"/>
        </w:rPr>
        <w:t>第四章  全生命周期管控：数据资产入表的内控体系构建与治理升级</w:t>
      </w:r>
      <w:bookmarkEnd w:id="44"/>
      <w:bookmarkEnd w:id="45"/>
    </w:p>
    <w:p w14:paraId="104F17A4">
      <w:pPr>
        <w:spacing w:before="200" w:after="120" w:line="360" w:lineRule="auto"/>
        <w:outlineLvl w:val="1"/>
        <w:rPr>
          <w:rFonts w:hint="eastAsia"/>
        </w:rPr>
      </w:pPr>
      <w:bookmarkStart w:id="46" w:name="_Toc3108"/>
      <w:bookmarkStart w:id="47" w:name="_Toc624"/>
      <w:r>
        <w:rPr>
          <w:b/>
          <w:bCs/>
          <w:color w:val="2E5FA3"/>
          <w:sz w:val="26"/>
          <w:szCs w:val="26"/>
        </w:rPr>
        <w:t>4.1  数据全生命周期内控体系构建</w:t>
      </w:r>
      <w:bookmarkEnd w:id="46"/>
      <w:bookmarkEnd w:id="47"/>
    </w:p>
    <w:p w14:paraId="618AB0CA">
      <w:pPr>
        <w:spacing w:before="60" w:after="60" w:line="360" w:lineRule="auto"/>
        <w:rPr>
          <w:rFonts w:hint="eastAsia"/>
        </w:rPr>
      </w:pPr>
      <w:r>
        <w:rPr>
          <w:color w:val="000000"/>
        </w:rPr>
        <w:t>在数据安全法律与监管框架下（《数据安全法》《个人信息保护法》《网络安全法》等），企业须围绕数据生命周期各阶段构建系统化的内部控制体系，防范合规风险与资产价值虚增风险。</w:t>
      </w:r>
    </w:p>
    <w:p w14:paraId="5E786965">
      <w:pPr>
        <w:rPr>
          <w:rFonts w:hint="eastAsia"/>
        </w:rPr>
      </w:pPr>
    </w:p>
    <w:p w14:paraId="39BC96AC">
      <w:pPr>
        <w:spacing w:before="100" w:after="60"/>
        <w:jc w:val="center"/>
        <w:rPr>
          <w:rFonts w:hint="eastAsia"/>
        </w:rPr>
      </w:pPr>
      <w:r>
        <w:rPr>
          <w:b/>
          <w:bCs/>
          <w:color w:val="1F3864"/>
        </w:rPr>
        <w:t>表4  数据资产全生命周期内控管控框架</w:t>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200"/>
        <w:gridCol w:w="2763"/>
        <w:gridCol w:w="2763"/>
      </w:tblGrid>
      <w:tr w14:paraId="1DA8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48C3848C">
            <w:pPr>
              <w:spacing w:line="280" w:lineRule="auto"/>
              <w:jc w:val="center"/>
              <w:rPr>
                <w:rFonts w:hint="eastAsia"/>
                <w:sz w:val="22"/>
                <w:szCs w:val="22"/>
              </w:rPr>
            </w:pPr>
            <w:r>
              <w:rPr>
                <w:b/>
                <w:bCs/>
                <w:color w:val="FFFFFF"/>
                <w:sz w:val="22"/>
                <w:szCs w:val="22"/>
              </w:rPr>
              <w:t>生命周期阶段</w:t>
            </w:r>
          </w:p>
        </w:tc>
        <w:tc>
          <w:tcPr>
            <w:tcW w:w="22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462F0801">
            <w:pPr>
              <w:spacing w:line="280" w:lineRule="auto"/>
              <w:jc w:val="center"/>
              <w:rPr>
                <w:rFonts w:hint="eastAsia"/>
                <w:sz w:val="22"/>
                <w:szCs w:val="22"/>
              </w:rPr>
            </w:pPr>
            <w:r>
              <w:rPr>
                <w:b/>
                <w:bCs/>
                <w:color w:val="FFFFFF"/>
                <w:sz w:val="22"/>
                <w:szCs w:val="22"/>
              </w:rPr>
              <w:t>核心管控目标</w:t>
            </w:r>
          </w:p>
        </w:tc>
        <w:tc>
          <w:tcPr>
            <w:tcW w:w="2763"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75CB7B5C">
            <w:pPr>
              <w:spacing w:line="280" w:lineRule="auto"/>
              <w:jc w:val="center"/>
              <w:rPr>
                <w:rFonts w:hint="eastAsia"/>
                <w:sz w:val="22"/>
                <w:szCs w:val="22"/>
              </w:rPr>
            </w:pPr>
            <w:r>
              <w:rPr>
                <w:b/>
                <w:bCs/>
                <w:color w:val="FFFFFF"/>
                <w:sz w:val="22"/>
                <w:szCs w:val="22"/>
              </w:rPr>
              <w:t>内控关键措施</w:t>
            </w:r>
          </w:p>
        </w:tc>
        <w:tc>
          <w:tcPr>
            <w:tcW w:w="2763"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238A88BF">
            <w:pPr>
              <w:spacing w:line="280" w:lineRule="auto"/>
              <w:jc w:val="center"/>
              <w:rPr>
                <w:rFonts w:hint="eastAsia"/>
                <w:sz w:val="22"/>
                <w:szCs w:val="22"/>
              </w:rPr>
            </w:pPr>
            <w:r>
              <w:rPr>
                <w:b/>
                <w:bCs/>
                <w:color w:val="FFFFFF"/>
                <w:sz w:val="22"/>
                <w:szCs w:val="22"/>
              </w:rPr>
              <w:t>南</w:t>
            </w:r>
            <w:r>
              <w:rPr>
                <w:rFonts w:hint="eastAsia"/>
                <w:b/>
                <w:bCs/>
                <w:color w:val="FFFFFF"/>
                <w:sz w:val="22"/>
                <w:szCs w:val="22"/>
              </w:rPr>
              <w:t>钢</w:t>
            </w:r>
            <w:r>
              <w:rPr>
                <w:b/>
                <w:bCs/>
                <w:color w:val="FFFFFF"/>
                <w:sz w:val="22"/>
                <w:szCs w:val="22"/>
              </w:rPr>
              <w:t>对应实践</w:t>
            </w:r>
          </w:p>
        </w:tc>
      </w:tr>
      <w:tr w14:paraId="1606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9E12B81">
            <w:pPr>
              <w:spacing w:line="280" w:lineRule="auto"/>
              <w:jc w:val="center"/>
              <w:rPr>
                <w:rFonts w:hint="eastAsia"/>
                <w:sz w:val="22"/>
                <w:szCs w:val="22"/>
              </w:rPr>
            </w:pPr>
            <w:r>
              <w:rPr>
                <w:color w:val="000000"/>
                <w:sz w:val="22"/>
                <w:szCs w:val="22"/>
              </w:rPr>
              <w:t>采集端</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550E563">
            <w:pPr>
              <w:spacing w:line="280" w:lineRule="auto"/>
              <w:jc w:val="left"/>
              <w:rPr>
                <w:rFonts w:hint="eastAsia"/>
                <w:sz w:val="22"/>
                <w:szCs w:val="22"/>
              </w:rPr>
            </w:pPr>
            <w:r>
              <w:rPr>
                <w:color w:val="000000"/>
                <w:sz w:val="22"/>
                <w:szCs w:val="22"/>
              </w:rPr>
              <w:t>确保原始数据合规获取与真实性</w:t>
            </w:r>
          </w:p>
        </w:tc>
        <w:tc>
          <w:tcPr>
            <w:tcW w:w="27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67731E5F">
            <w:pPr>
              <w:spacing w:line="280" w:lineRule="auto"/>
              <w:jc w:val="left"/>
              <w:rPr>
                <w:rFonts w:hint="eastAsia"/>
                <w:sz w:val="22"/>
                <w:szCs w:val="22"/>
              </w:rPr>
            </w:pPr>
            <w:r>
              <w:rPr>
                <w:color w:val="000000"/>
                <w:sz w:val="22"/>
                <w:szCs w:val="22"/>
              </w:rPr>
              <w:t>数据来源登记制度；知情同意机制；数据质量抖检</w:t>
            </w:r>
          </w:p>
        </w:tc>
        <w:tc>
          <w:tcPr>
            <w:tcW w:w="27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4A777911">
            <w:pPr>
              <w:spacing w:line="280" w:lineRule="auto"/>
              <w:jc w:val="left"/>
              <w:rPr>
                <w:rFonts w:hint="eastAsia"/>
                <w:sz w:val="22"/>
                <w:szCs w:val="22"/>
              </w:rPr>
            </w:pPr>
            <w:r>
              <w:rPr>
                <w:color w:val="000000"/>
                <w:sz w:val="22"/>
                <w:szCs w:val="22"/>
              </w:rPr>
              <w:t>建立数据采集合规白名单，落实生产数据实时质量监控</w:t>
            </w:r>
          </w:p>
        </w:tc>
      </w:tr>
      <w:tr w14:paraId="56FB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C2CD275">
            <w:pPr>
              <w:spacing w:line="280" w:lineRule="auto"/>
              <w:jc w:val="center"/>
              <w:rPr>
                <w:rFonts w:hint="eastAsia"/>
                <w:sz w:val="22"/>
                <w:szCs w:val="22"/>
              </w:rPr>
            </w:pPr>
            <w:r>
              <w:rPr>
                <w:color w:val="000000"/>
                <w:sz w:val="22"/>
                <w:szCs w:val="22"/>
              </w:rPr>
              <w:t>处理端</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54EAF8E">
            <w:pPr>
              <w:spacing w:line="280" w:lineRule="auto"/>
              <w:jc w:val="left"/>
              <w:rPr>
                <w:rFonts w:hint="eastAsia"/>
                <w:sz w:val="22"/>
                <w:szCs w:val="22"/>
              </w:rPr>
            </w:pPr>
            <w:r>
              <w:rPr>
                <w:color w:val="000000"/>
                <w:sz w:val="22"/>
                <w:szCs w:val="22"/>
              </w:rPr>
              <w:t>强化清洗标注脱敏的追溯机制</w:t>
            </w:r>
          </w:p>
        </w:tc>
        <w:tc>
          <w:tcPr>
            <w:tcW w:w="27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D7FC8FC">
            <w:pPr>
              <w:spacing w:line="280" w:lineRule="auto"/>
              <w:jc w:val="left"/>
              <w:rPr>
                <w:rFonts w:hint="eastAsia"/>
                <w:sz w:val="22"/>
                <w:szCs w:val="22"/>
              </w:rPr>
            </w:pPr>
            <w:r>
              <w:rPr>
                <w:color w:val="000000"/>
                <w:sz w:val="22"/>
                <w:szCs w:val="22"/>
              </w:rPr>
              <w:t>操作日志全留存；脱敏标准化规程；双人复核机制</w:t>
            </w:r>
          </w:p>
        </w:tc>
        <w:tc>
          <w:tcPr>
            <w:tcW w:w="27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286A006">
            <w:pPr>
              <w:spacing w:line="280" w:lineRule="auto"/>
              <w:jc w:val="left"/>
              <w:rPr>
                <w:rFonts w:hint="eastAsia"/>
                <w:sz w:val="22"/>
                <w:szCs w:val="22"/>
              </w:rPr>
            </w:pPr>
            <w:r>
              <w:rPr>
                <w:color w:val="000000"/>
                <w:sz w:val="22"/>
                <w:szCs w:val="22"/>
              </w:rPr>
              <w:t>依托“</w:t>
            </w:r>
            <w:r>
              <w:rPr>
                <w:rFonts w:hint="eastAsia"/>
                <w:color w:val="000000"/>
                <w:sz w:val="22"/>
                <w:szCs w:val="22"/>
              </w:rPr>
              <w:t>炼</w:t>
            </w:r>
            <w:r>
              <w:rPr>
                <w:color w:val="000000"/>
                <w:sz w:val="22"/>
                <w:szCs w:val="22"/>
              </w:rPr>
              <w:t>数成金”平台实现全流程可追溯，标准化脱敏流程</w:t>
            </w:r>
          </w:p>
        </w:tc>
      </w:tr>
      <w:tr w14:paraId="1E5E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8A77F7E">
            <w:pPr>
              <w:spacing w:line="280" w:lineRule="auto"/>
              <w:jc w:val="center"/>
              <w:rPr>
                <w:rFonts w:hint="eastAsia"/>
                <w:sz w:val="22"/>
                <w:szCs w:val="22"/>
              </w:rPr>
            </w:pPr>
            <w:r>
              <w:rPr>
                <w:color w:val="000000"/>
                <w:sz w:val="22"/>
                <w:szCs w:val="22"/>
              </w:rPr>
              <w:t>核算端</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6BBC7EFE">
            <w:pPr>
              <w:spacing w:line="280" w:lineRule="auto"/>
              <w:jc w:val="left"/>
              <w:rPr>
                <w:rFonts w:hint="eastAsia"/>
                <w:sz w:val="22"/>
                <w:szCs w:val="22"/>
              </w:rPr>
            </w:pPr>
            <w:r>
              <w:rPr>
                <w:color w:val="000000"/>
                <w:sz w:val="22"/>
                <w:szCs w:val="22"/>
              </w:rPr>
              <w:t>确保成本归集真实完整，防止资产虚增</w:t>
            </w:r>
          </w:p>
        </w:tc>
        <w:tc>
          <w:tcPr>
            <w:tcW w:w="27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740B716">
            <w:pPr>
              <w:spacing w:line="280" w:lineRule="auto"/>
              <w:jc w:val="left"/>
              <w:rPr>
                <w:rFonts w:hint="eastAsia"/>
                <w:sz w:val="22"/>
                <w:szCs w:val="22"/>
              </w:rPr>
            </w:pPr>
            <w:r>
              <w:rPr>
                <w:color w:val="000000"/>
                <w:sz w:val="22"/>
                <w:szCs w:val="22"/>
              </w:rPr>
              <w:t>IT与财务联</w:t>
            </w:r>
            <w:r>
              <w:rPr>
                <w:rFonts w:ascii="宋体" w:hAnsi="宋体" w:eastAsia="宋体" w:cs="宋体"/>
                <w:sz w:val="22"/>
                <w:szCs w:val="22"/>
              </w:rPr>
              <w:t>审</w:t>
            </w:r>
            <w:r>
              <w:rPr>
                <w:color w:val="000000"/>
                <w:sz w:val="22"/>
                <w:szCs w:val="22"/>
              </w:rPr>
              <w:t>机制；项目成本台账；资本化标准书面化</w:t>
            </w:r>
          </w:p>
        </w:tc>
        <w:tc>
          <w:tcPr>
            <w:tcW w:w="27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4879BFB8">
            <w:pPr>
              <w:spacing w:line="280" w:lineRule="auto"/>
              <w:jc w:val="left"/>
              <w:rPr>
                <w:rFonts w:hint="eastAsia"/>
                <w:sz w:val="22"/>
                <w:szCs w:val="22"/>
              </w:rPr>
            </w:pPr>
            <w:r>
              <w:rPr>
                <w:color w:val="000000"/>
                <w:sz w:val="22"/>
                <w:szCs w:val="22"/>
              </w:rPr>
              <w:t>IT与财务双部门协同审核，项目化核算对象管理</w:t>
            </w:r>
          </w:p>
        </w:tc>
      </w:tr>
      <w:tr w14:paraId="1BBE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C3C7092">
            <w:pPr>
              <w:spacing w:line="280" w:lineRule="auto"/>
              <w:jc w:val="center"/>
              <w:rPr>
                <w:rFonts w:hint="eastAsia"/>
                <w:sz w:val="22"/>
                <w:szCs w:val="22"/>
              </w:rPr>
            </w:pPr>
            <w:r>
              <w:rPr>
                <w:color w:val="000000"/>
                <w:sz w:val="22"/>
                <w:szCs w:val="22"/>
              </w:rPr>
              <w:t>运营端</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E039758">
            <w:pPr>
              <w:spacing w:line="280" w:lineRule="auto"/>
              <w:jc w:val="left"/>
              <w:rPr>
                <w:rFonts w:hint="eastAsia"/>
                <w:sz w:val="22"/>
                <w:szCs w:val="22"/>
              </w:rPr>
            </w:pPr>
            <w:r>
              <w:rPr>
                <w:color w:val="000000"/>
                <w:sz w:val="22"/>
                <w:szCs w:val="22"/>
              </w:rPr>
              <w:t>监控资产使用效益，防范价值减损</w:t>
            </w:r>
          </w:p>
        </w:tc>
        <w:tc>
          <w:tcPr>
            <w:tcW w:w="27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6F7A855A">
            <w:pPr>
              <w:spacing w:line="280" w:lineRule="auto"/>
              <w:jc w:val="left"/>
              <w:rPr>
                <w:rFonts w:hint="eastAsia"/>
                <w:sz w:val="22"/>
                <w:szCs w:val="22"/>
              </w:rPr>
            </w:pPr>
            <w:r>
              <w:rPr>
                <w:color w:val="000000"/>
                <w:sz w:val="22"/>
                <w:szCs w:val="22"/>
              </w:rPr>
              <w:t>KPI跟踪体系；年度减值测试；使用寿命定期复评</w:t>
            </w:r>
          </w:p>
        </w:tc>
        <w:tc>
          <w:tcPr>
            <w:tcW w:w="276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F7423F8">
            <w:pPr>
              <w:spacing w:line="280" w:lineRule="auto"/>
              <w:jc w:val="left"/>
              <w:rPr>
                <w:rFonts w:hint="eastAsia"/>
                <w:sz w:val="22"/>
                <w:szCs w:val="22"/>
              </w:rPr>
            </w:pPr>
            <w:r>
              <w:rPr>
                <w:color w:val="000000"/>
                <w:sz w:val="22"/>
                <w:szCs w:val="22"/>
              </w:rPr>
              <w:t>建立数据资产价值监测仪表盘，年度减值测试制度化</w:t>
            </w:r>
          </w:p>
        </w:tc>
      </w:tr>
      <w:tr w14:paraId="1702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AB038A8">
            <w:pPr>
              <w:spacing w:line="280" w:lineRule="auto"/>
              <w:jc w:val="center"/>
              <w:rPr>
                <w:rFonts w:hint="eastAsia"/>
                <w:sz w:val="22"/>
                <w:szCs w:val="22"/>
              </w:rPr>
            </w:pPr>
            <w:r>
              <w:rPr>
                <w:color w:val="000000"/>
                <w:sz w:val="22"/>
                <w:szCs w:val="22"/>
              </w:rPr>
              <w:t>退出端</w:t>
            </w:r>
          </w:p>
        </w:tc>
        <w:tc>
          <w:tcPr>
            <w:tcW w:w="22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1094C823">
            <w:pPr>
              <w:spacing w:line="280" w:lineRule="auto"/>
              <w:jc w:val="left"/>
              <w:rPr>
                <w:rFonts w:hint="eastAsia"/>
                <w:sz w:val="22"/>
                <w:szCs w:val="22"/>
              </w:rPr>
            </w:pPr>
            <w:r>
              <w:rPr>
                <w:color w:val="000000"/>
                <w:sz w:val="22"/>
                <w:szCs w:val="22"/>
              </w:rPr>
              <w:t>规范数据资产注销、转让与销毁</w:t>
            </w:r>
          </w:p>
        </w:tc>
        <w:tc>
          <w:tcPr>
            <w:tcW w:w="27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C13F0DB">
            <w:pPr>
              <w:spacing w:line="280" w:lineRule="auto"/>
              <w:jc w:val="left"/>
              <w:rPr>
                <w:rFonts w:hint="eastAsia"/>
                <w:sz w:val="22"/>
                <w:szCs w:val="22"/>
              </w:rPr>
            </w:pPr>
            <w:r>
              <w:rPr>
                <w:color w:val="000000"/>
                <w:sz w:val="22"/>
                <w:szCs w:val="22"/>
              </w:rPr>
              <w:t>数据销毁认证；转让授权审批；会计处置程序规范</w:t>
            </w:r>
          </w:p>
        </w:tc>
        <w:tc>
          <w:tcPr>
            <w:tcW w:w="2763"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0D06494">
            <w:pPr>
              <w:spacing w:line="280" w:lineRule="auto"/>
              <w:jc w:val="left"/>
              <w:rPr>
                <w:rFonts w:hint="eastAsia"/>
                <w:sz w:val="22"/>
                <w:szCs w:val="22"/>
              </w:rPr>
            </w:pPr>
            <w:r>
              <w:rPr>
                <w:color w:val="000000"/>
                <w:sz w:val="22"/>
                <w:szCs w:val="22"/>
              </w:rPr>
              <w:t>制定数据资产处置审批流程，对接数据交易所合规转让规则</w:t>
            </w:r>
          </w:p>
        </w:tc>
      </w:tr>
    </w:tbl>
    <w:p w14:paraId="6AD2EFB4">
      <w:pPr>
        <w:rPr>
          <w:rFonts w:hint="eastAsia"/>
        </w:rPr>
      </w:pPr>
    </w:p>
    <w:p w14:paraId="05BE0A98">
      <w:pPr>
        <w:spacing w:before="200" w:after="120" w:line="360" w:lineRule="auto"/>
        <w:outlineLvl w:val="1"/>
        <w:rPr>
          <w:rFonts w:hint="eastAsia"/>
        </w:rPr>
      </w:pPr>
      <w:bookmarkStart w:id="48" w:name="_Toc3373"/>
      <w:bookmarkStart w:id="49" w:name="_Toc24581"/>
      <w:r>
        <w:rPr>
          <w:b/>
          <w:bCs/>
          <w:color w:val="2E5FA3"/>
          <w:sz w:val="26"/>
          <w:szCs w:val="26"/>
        </w:rPr>
        <w:t>4.2  公司治理结构挑战与升级路径</w:t>
      </w:r>
      <w:bookmarkEnd w:id="48"/>
      <w:bookmarkEnd w:id="49"/>
    </w:p>
    <w:p w14:paraId="67EF23B5">
      <w:pPr>
        <w:spacing w:before="160" w:after="80" w:line="360" w:lineRule="auto"/>
        <w:outlineLvl w:val="2"/>
        <w:rPr>
          <w:rFonts w:hint="eastAsia"/>
        </w:rPr>
      </w:pPr>
      <w:bookmarkStart w:id="50" w:name="_Toc18028"/>
      <w:bookmarkStart w:id="51" w:name="_Toc5270"/>
      <w:r>
        <w:rPr>
          <w:b/>
          <w:bCs/>
          <w:color w:val="595959"/>
        </w:rPr>
        <w:t>（一）治理层面：数字治理机制缺位</w:t>
      </w:r>
      <w:bookmarkEnd w:id="50"/>
      <w:bookmarkEnd w:id="51"/>
    </w:p>
    <w:p w14:paraId="1AE6FF1D">
      <w:pPr>
        <w:spacing w:before="60" w:after="60" w:line="360" w:lineRule="auto"/>
        <w:ind w:firstLine="420" w:firstLineChars="0"/>
        <w:rPr>
          <w:rFonts w:hint="eastAsia"/>
        </w:rPr>
      </w:pPr>
      <w:r>
        <w:rPr>
          <w:color w:val="000000"/>
        </w:rPr>
        <w:t>当前多数制造业企业的董事会与监事会缺乏专门的数字资产监督职能，难以对数据资产入表的决策进行有效把关。建议参照南</w:t>
      </w:r>
      <w:r>
        <w:rPr>
          <w:rFonts w:hint="eastAsia"/>
          <w:color w:val="000000"/>
        </w:rPr>
        <w:t>钢</w:t>
      </w:r>
      <w:r>
        <w:rPr>
          <w:color w:val="000000"/>
        </w:rPr>
        <w:t>实践，在董事会层面设立数字治理委员会，负责数字化转型顶层设计、重大数字资产确认决策审议及合规风险监控，将数字治理纳入公司治理的正式框架。</w:t>
      </w:r>
    </w:p>
    <w:p w14:paraId="5F1F443F">
      <w:pPr>
        <w:spacing w:before="160" w:after="80" w:line="360" w:lineRule="auto"/>
        <w:outlineLvl w:val="2"/>
        <w:rPr>
          <w:rFonts w:hint="eastAsia"/>
        </w:rPr>
      </w:pPr>
      <w:bookmarkStart w:id="52" w:name="_Toc18172"/>
      <w:bookmarkStart w:id="53" w:name="_Toc1206"/>
      <w:r>
        <w:rPr>
          <w:b/>
          <w:bCs/>
          <w:color w:val="595959"/>
        </w:rPr>
        <w:t>（二）执行层面：跨部门协同机制不畅</w:t>
      </w:r>
      <w:bookmarkEnd w:id="52"/>
      <w:bookmarkEnd w:id="53"/>
    </w:p>
    <w:p w14:paraId="3B8BD3DE">
      <w:pPr>
        <w:spacing w:before="60" w:after="60" w:line="360" w:lineRule="auto"/>
        <w:ind w:firstLine="420" w:firstLineChars="0"/>
        <w:rPr>
          <w:rFonts w:hint="eastAsia"/>
        </w:rPr>
      </w:pPr>
      <w:r>
        <w:rPr>
          <w:color w:val="000000"/>
        </w:rPr>
        <w:t>数据资产入表涉及 IT、财务、法务、业务等多个部门，协同成本高。南</w:t>
      </w:r>
      <w:r>
        <w:rPr>
          <w:rFonts w:hint="eastAsia"/>
          <w:color w:val="000000"/>
        </w:rPr>
        <w:t>钢</w:t>
      </w:r>
      <w:r>
        <w:rPr>
          <w:color w:val="000000"/>
        </w:rPr>
        <w:t>的“</w:t>
      </w:r>
      <w:r>
        <w:rPr>
          <w:rFonts w:hint="eastAsia"/>
          <w:color w:val="000000"/>
        </w:rPr>
        <w:t>炼</w:t>
      </w:r>
      <w:r>
        <w:rPr>
          <w:color w:val="000000"/>
        </w:rPr>
        <w:t>数成金”平台提供了有效的解决思路：通过统一的数据资产管理平台，实现跨部门数据共享、权限管理与业务协同，降低信息不对称带来的入表风险。</w:t>
      </w:r>
    </w:p>
    <w:p w14:paraId="231F4458">
      <w:pPr>
        <w:spacing w:before="200" w:after="120" w:line="360" w:lineRule="auto"/>
        <w:outlineLvl w:val="1"/>
        <w:rPr>
          <w:rFonts w:hint="eastAsia"/>
        </w:rPr>
      </w:pPr>
      <w:bookmarkStart w:id="54" w:name="_Toc28562"/>
      <w:bookmarkStart w:id="55" w:name="_Toc22101"/>
      <w:r>
        <w:rPr>
          <w:b/>
          <w:bCs/>
          <w:color w:val="2E5FA3"/>
          <w:sz w:val="26"/>
          <w:szCs w:val="26"/>
        </w:rPr>
        <w:t>4.3  会计人员能力重构：三维升级方案</w:t>
      </w:r>
      <w:bookmarkEnd w:id="54"/>
      <w:bookmarkEnd w:id="55"/>
    </w:p>
    <w:p w14:paraId="1DA487B6">
      <w:pPr>
        <w:spacing w:before="60" w:after="60" w:line="360" w:lineRule="auto"/>
        <w:ind w:firstLine="420" w:firstLineChars="0"/>
        <w:rPr>
          <w:rFonts w:hint="eastAsia"/>
        </w:rPr>
      </w:pPr>
      <w:r>
        <w:rPr>
          <w:color w:val="000000"/>
        </w:rPr>
        <w:t>数据资产入表对会计人员的专业能力提出了全面升级要求，传统财务会计须向</w:t>
      </w:r>
      <w:r>
        <w:rPr>
          <w:b/>
          <w:bCs/>
          <w:color w:val="000000"/>
        </w:rPr>
        <w:t>数据价值分析师</w:t>
      </w:r>
      <w:r>
        <w:rPr>
          <w:color w:val="000000"/>
        </w:rPr>
        <w:t>转型：</w:t>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500"/>
        <w:gridCol w:w="2526"/>
      </w:tblGrid>
      <w:tr w14:paraId="4B5F6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3FDB6EC0">
            <w:pPr>
              <w:spacing w:line="280" w:lineRule="auto"/>
              <w:jc w:val="center"/>
              <w:rPr>
                <w:rFonts w:hint="eastAsia"/>
                <w:sz w:val="22"/>
                <w:szCs w:val="22"/>
              </w:rPr>
            </w:pPr>
            <w:r>
              <w:rPr>
                <w:b/>
                <w:bCs/>
                <w:color w:val="FFFFFF"/>
                <w:sz w:val="22"/>
                <w:szCs w:val="22"/>
              </w:rPr>
              <w:t>能力维度</w:t>
            </w:r>
          </w:p>
        </w:tc>
        <w:tc>
          <w:tcPr>
            <w:tcW w:w="2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21CD3381">
            <w:pPr>
              <w:spacing w:line="280" w:lineRule="auto"/>
              <w:jc w:val="center"/>
              <w:rPr>
                <w:rFonts w:hint="eastAsia"/>
                <w:sz w:val="22"/>
                <w:szCs w:val="22"/>
              </w:rPr>
            </w:pPr>
            <w:r>
              <w:rPr>
                <w:b/>
                <w:bCs/>
                <w:color w:val="FFFFFF"/>
                <w:sz w:val="22"/>
                <w:szCs w:val="22"/>
              </w:rPr>
              <w:t>核心要求</w:t>
            </w:r>
          </w:p>
        </w:tc>
        <w:tc>
          <w:tcPr>
            <w:tcW w:w="2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2992F372">
            <w:pPr>
              <w:spacing w:line="280" w:lineRule="auto"/>
              <w:jc w:val="center"/>
              <w:rPr>
                <w:rFonts w:hint="eastAsia"/>
                <w:sz w:val="22"/>
                <w:szCs w:val="22"/>
              </w:rPr>
            </w:pPr>
            <w:r>
              <w:rPr>
                <w:b/>
                <w:bCs/>
                <w:color w:val="FFFFFF"/>
                <w:sz w:val="22"/>
                <w:szCs w:val="22"/>
              </w:rPr>
              <w:t>具体技能点</w:t>
            </w:r>
          </w:p>
        </w:tc>
        <w:tc>
          <w:tcPr>
            <w:tcW w:w="2526"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767F8D12">
            <w:pPr>
              <w:spacing w:line="280" w:lineRule="auto"/>
              <w:jc w:val="center"/>
              <w:rPr>
                <w:rFonts w:hint="eastAsia"/>
                <w:sz w:val="22"/>
                <w:szCs w:val="22"/>
              </w:rPr>
            </w:pPr>
            <w:r>
              <w:rPr>
                <w:b/>
                <w:bCs/>
                <w:color w:val="FFFFFF"/>
                <w:sz w:val="22"/>
                <w:szCs w:val="22"/>
              </w:rPr>
              <w:t>培养路径</w:t>
            </w:r>
          </w:p>
        </w:tc>
      </w:tr>
      <w:tr w14:paraId="6352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5B7C7FB5">
            <w:pPr>
              <w:spacing w:line="280" w:lineRule="auto"/>
              <w:jc w:val="center"/>
              <w:rPr>
                <w:rFonts w:hint="eastAsia"/>
                <w:sz w:val="22"/>
                <w:szCs w:val="22"/>
              </w:rPr>
            </w:pPr>
            <w:r>
              <w:rPr>
                <w:color w:val="000000"/>
                <w:sz w:val="22"/>
                <w:szCs w:val="22"/>
              </w:rPr>
              <w:t>数据素养</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3C5974F4">
            <w:pPr>
              <w:spacing w:line="280" w:lineRule="auto"/>
              <w:jc w:val="left"/>
              <w:rPr>
                <w:rFonts w:hint="eastAsia"/>
                <w:sz w:val="22"/>
                <w:szCs w:val="22"/>
              </w:rPr>
            </w:pPr>
            <w:r>
              <w:rPr>
                <w:color w:val="000000"/>
                <w:sz w:val="22"/>
                <w:szCs w:val="22"/>
              </w:rPr>
              <w:t>能够处理和分析数据资源</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228FC03F">
            <w:pPr>
              <w:spacing w:line="280" w:lineRule="auto"/>
              <w:jc w:val="left"/>
              <w:rPr>
                <w:rFonts w:hint="eastAsia"/>
                <w:sz w:val="22"/>
                <w:szCs w:val="22"/>
              </w:rPr>
            </w:pPr>
            <w:r>
              <w:rPr>
                <w:color w:val="000000"/>
                <w:sz w:val="22"/>
                <w:szCs w:val="22"/>
              </w:rPr>
              <w:t>SQL查询、Python数据处理、数据质量评估</w:t>
            </w:r>
          </w:p>
        </w:tc>
        <w:tc>
          <w:tcPr>
            <w:tcW w:w="252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1106747D">
            <w:pPr>
              <w:spacing w:line="280" w:lineRule="auto"/>
              <w:jc w:val="left"/>
              <w:rPr>
                <w:rFonts w:hint="eastAsia"/>
                <w:sz w:val="22"/>
                <w:szCs w:val="22"/>
              </w:rPr>
            </w:pPr>
            <w:r>
              <w:rPr>
                <w:color w:val="000000"/>
                <w:sz w:val="22"/>
                <w:szCs w:val="22"/>
              </w:rPr>
              <w:t>参加数据工程师培训，考取数据分析相关证书</w:t>
            </w:r>
          </w:p>
        </w:tc>
      </w:tr>
      <w:tr w14:paraId="1CAB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7D5DC7D2">
            <w:pPr>
              <w:spacing w:line="280" w:lineRule="auto"/>
              <w:jc w:val="center"/>
              <w:rPr>
                <w:rFonts w:hint="eastAsia"/>
                <w:sz w:val="22"/>
                <w:szCs w:val="22"/>
              </w:rPr>
            </w:pPr>
            <w:r>
              <w:rPr>
                <w:color w:val="000000"/>
                <w:sz w:val="22"/>
                <w:szCs w:val="22"/>
              </w:rPr>
              <w:t>业务融合</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0336F2E6">
            <w:pPr>
              <w:spacing w:line="280" w:lineRule="auto"/>
              <w:jc w:val="left"/>
              <w:rPr>
                <w:rFonts w:hint="eastAsia"/>
                <w:sz w:val="22"/>
                <w:szCs w:val="22"/>
              </w:rPr>
            </w:pPr>
            <w:r>
              <w:rPr>
                <w:color w:val="000000"/>
                <w:sz w:val="22"/>
                <w:szCs w:val="22"/>
              </w:rPr>
              <w:t>理解业务场景，精准识别入表机会</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CD708EF">
            <w:pPr>
              <w:spacing w:line="280" w:lineRule="auto"/>
              <w:jc w:val="left"/>
              <w:rPr>
                <w:rFonts w:hint="eastAsia"/>
                <w:sz w:val="22"/>
                <w:szCs w:val="22"/>
              </w:rPr>
            </w:pPr>
            <w:r>
              <w:rPr>
                <w:rFonts w:hint="eastAsia"/>
                <w:color w:val="000000"/>
                <w:sz w:val="22"/>
                <w:szCs w:val="22"/>
              </w:rPr>
              <w:t>钢铁</w:t>
            </w:r>
            <w:r>
              <w:rPr>
                <w:color w:val="000000"/>
                <w:sz w:val="22"/>
                <w:szCs w:val="22"/>
              </w:rPr>
              <w:t>工艺基础知识，数据与业务价值映射逻辑</w:t>
            </w:r>
          </w:p>
        </w:tc>
        <w:tc>
          <w:tcPr>
            <w:tcW w:w="2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44D53E0F">
            <w:pPr>
              <w:spacing w:line="280" w:lineRule="auto"/>
              <w:jc w:val="left"/>
              <w:rPr>
                <w:rFonts w:hint="eastAsia"/>
                <w:sz w:val="22"/>
                <w:szCs w:val="22"/>
              </w:rPr>
            </w:pPr>
            <w:r>
              <w:rPr>
                <w:color w:val="000000"/>
                <w:sz w:val="22"/>
                <w:szCs w:val="22"/>
              </w:rPr>
              <w:t>轮岗机制，与IT/业务部门深度合作</w:t>
            </w:r>
          </w:p>
        </w:tc>
      </w:tr>
      <w:tr w14:paraId="4AAA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56DDCAF8">
            <w:pPr>
              <w:spacing w:line="280" w:lineRule="auto"/>
              <w:jc w:val="center"/>
              <w:rPr>
                <w:rFonts w:hint="eastAsia"/>
                <w:sz w:val="22"/>
                <w:szCs w:val="22"/>
              </w:rPr>
            </w:pPr>
            <w:r>
              <w:rPr>
                <w:color w:val="000000"/>
                <w:sz w:val="22"/>
                <w:szCs w:val="22"/>
              </w:rPr>
              <w:t>合规意识</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16689C8">
            <w:pPr>
              <w:spacing w:line="280" w:lineRule="auto"/>
              <w:jc w:val="left"/>
              <w:rPr>
                <w:rFonts w:hint="eastAsia"/>
                <w:sz w:val="22"/>
                <w:szCs w:val="22"/>
              </w:rPr>
            </w:pPr>
            <w:r>
              <w:rPr>
                <w:color w:val="000000"/>
                <w:sz w:val="22"/>
                <w:szCs w:val="22"/>
              </w:rPr>
              <w:t>严守数据合规底线，防范入表风险</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AA50DAE">
            <w:pPr>
              <w:spacing w:line="280" w:lineRule="auto"/>
              <w:jc w:val="left"/>
              <w:rPr>
                <w:rFonts w:hint="eastAsia"/>
                <w:sz w:val="22"/>
                <w:szCs w:val="22"/>
              </w:rPr>
            </w:pPr>
            <w:r>
              <w:rPr>
                <w:color w:val="000000"/>
                <w:sz w:val="22"/>
                <w:szCs w:val="22"/>
              </w:rPr>
              <w:t>《数据安全法》《暂行规定》政策解读，风险识别框架</w:t>
            </w:r>
          </w:p>
        </w:tc>
        <w:tc>
          <w:tcPr>
            <w:tcW w:w="252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457E61C9">
            <w:pPr>
              <w:spacing w:line="280" w:lineRule="auto"/>
              <w:jc w:val="left"/>
              <w:rPr>
                <w:rFonts w:hint="eastAsia"/>
                <w:sz w:val="22"/>
                <w:szCs w:val="22"/>
              </w:rPr>
            </w:pPr>
            <w:r>
              <w:rPr>
                <w:color w:val="000000"/>
                <w:sz w:val="22"/>
                <w:szCs w:val="22"/>
              </w:rPr>
              <w:t>定期合规培训，建立合规审核清单</w:t>
            </w:r>
          </w:p>
        </w:tc>
      </w:tr>
    </w:tbl>
    <w:p w14:paraId="35DD6F51">
      <w:pPr>
        <w:rPr>
          <w:rFonts w:hint="eastAsia"/>
        </w:rPr>
      </w:pPr>
    </w:p>
    <w:p w14:paraId="175E7ADB">
      <w:pPr>
        <w:rPr>
          <w:rFonts w:hint="eastAsia"/>
        </w:rPr>
      </w:pPr>
    </w:p>
    <w:p w14:paraId="2C51470A">
      <w:pPr>
        <w:rPr>
          <w:rFonts w:hint="eastAsia"/>
        </w:rPr>
      </w:pPr>
    </w:p>
    <w:p w14:paraId="35CDF8C0">
      <w:pPr>
        <w:pBdr>
          <w:bottom w:val="single" w:color="2E5FA3" w:sz="12" w:space="6"/>
        </w:pBdr>
        <w:spacing w:before="300" w:after="180" w:line="360" w:lineRule="auto"/>
        <w:outlineLvl w:val="0"/>
        <w:rPr>
          <w:rFonts w:hint="eastAsia"/>
        </w:rPr>
      </w:pPr>
      <w:bookmarkStart w:id="56" w:name="_Toc3897"/>
      <w:bookmarkStart w:id="57" w:name="_Toc29533"/>
      <w:r>
        <w:rPr>
          <w:b/>
          <w:bCs/>
          <w:color w:val="1F3864"/>
          <w:sz w:val="28"/>
          <w:szCs w:val="28"/>
        </w:rPr>
        <w:t>第五章  价值重构与范式输出：南</w:t>
      </w:r>
      <w:r>
        <w:rPr>
          <w:rFonts w:hint="eastAsia"/>
          <w:b/>
          <w:bCs/>
          <w:color w:val="1F3864"/>
          <w:sz w:val="28"/>
          <w:szCs w:val="28"/>
        </w:rPr>
        <w:t>钢</w:t>
      </w:r>
      <w:r>
        <w:rPr>
          <w:b/>
          <w:bCs/>
          <w:color w:val="1F3864"/>
          <w:sz w:val="28"/>
          <w:szCs w:val="28"/>
        </w:rPr>
        <w:t>数据资产入表的战略评估与行业启示</w:t>
      </w:r>
      <w:bookmarkEnd w:id="56"/>
      <w:bookmarkEnd w:id="57"/>
    </w:p>
    <w:p w14:paraId="67B5C4EC">
      <w:pPr>
        <w:spacing w:before="200" w:after="120" w:line="360" w:lineRule="auto"/>
        <w:outlineLvl w:val="1"/>
        <w:rPr>
          <w:rFonts w:hint="eastAsia"/>
        </w:rPr>
      </w:pPr>
      <w:bookmarkStart w:id="58" w:name="_Toc6589"/>
      <w:bookmarkStart w:id="59" w:name="_Toc126"/>
      <w:r>
        <w:rPr>
          <w:b/>
          <w:bCs/>
          <w:color w:val="2E5FA3"/>
          <w:sz w:val="26"/>
          <w:szCs w:val="26"/>
        </w:rPr>
        <w:t>5.1  南</w:t>
      </w:r>
      <w:r>
        <w:rPr>
          <w:rFonts w:hint="eastAsia"/>
          <w:b/>
          <w:bCs/>
          <w:color w:val="2E5FA3"/>
          <w:sz w:val="26"/>
          <w:szCs w:val="26"/>
        </w:rPr>
        <w:t>钢</w:t>
      </w:r>
      <w:r>
        <w:rPr>
          <w:b/>
          <w:bCs/>
          <w:color w:val="2E5FA3"/>
          <w:sz w:val="26"/>
          <w:szCs w:val="26"/>
        </w:rPr>
        <w:t>推进数据资产入表的战略合理性评估</w:t>
      </w:r>
      <w:bookmarkEnd w:id="58"/>
      <w:bookmarkEnd w:id="59"/>
    </w:p>
    <w:p w14:paraId="2A6F05D5">
      <w:pPr>
        <w:spacing w:before="60" w:after="60" w:line="360" w:lineRule="auto"/>
        <w:ind w:firstLine="420" w:firstLineChars="0"/>
        <w:rPr>
          <w:rFonts w:hint="eastAsia"/>
        </w:rPr>
      </w:pPr>
      <w:r>
        <w:rPr>
          <w:color w:val="000000"/>
        </w:rPr>
        <w:t>南</w:t>
      </w:r>
      <w:r>
        <w:rPr>
          <w:rFonts w:hint="eastAsia"/>
          <w:color w:val="000000"/>
        </w:rPr>
        <w:t>钢</w:t>
      </w:r>
      <w:r>
        <w:rPr>
          <w:color w:val="000000"/>
        </w:rPr>
        <w:t>股份推进数据入表并非盲目跟风，而是建立在扎实的数字化底座与清晰的战略逻辑之上，可从财务、战略与生态三个层面加以评估：</w:t>
      </w:r>
    </w:p>
    <w:p w14:paraId="7BE0C955">
      <w:pPr>
        <w:spacing w:before="160" w:after="80" w:line="360" w:lineRule="auto"/>
        <w:outlineLvl w:val="2"/>
        <w:rPr>
          <w:rFonts w:hint="eastAsia"/>
        </w:rPr>
      </w:pPr>
      <w:bookmarkStart w:id="60" w:name="_Toc7201"/>
      <w:bookmarkStart w:id="61" w:name="_Toc24374"/>
      <w:r>
        <w:rPr>
          <w:b/>
          <w:bCs/>
          <w:color w:val="595959"/>
        </w:rPr>
        <w:t>（一）财务层面：降本增效驱动利润弹性</w:t>
      </w:r>
      <w:bookmarkEnd w:id="60"/>
      <w:bookmarkEnd w:id="61"/>
    </w:p>
    <w:p w14:paraId="7F031BD4">
      <w:pPr>
        <w:spacing w:before="60" w:after="60" w:line="360" w:lineRule="auto"/>
        <w:ind w:firstLine="420" w:firstLineChars="0"/>
        <w:rPr>
          <w:rFonts w:hint="eastAsia"/>
        </w:rPr>
      </w:pPr>
      <w:r>
        <w:rPr>
          <w:color w:val="000000"/>
        </w:rPr>
        <w:t>2025 年上半年，南</w:t>
      </w:r>
      <w:r>
        <w:rPr>
          <w:rFonts w:hint="eastAsia"/>
          <w:color w:val="000000"/>
        </w:rPr>
        <w:t>钢</w:t>
      </w:r>
      <w:r>
        <w:rPr>
          <w:color w:val="000000"/>
        </w:rPr>
        <w:t>股份在</w:t>
      </w:r>
      <w:r>
        <w:rPr>
          <w:rFonts w:hint="eastAsia"/>
          <w:color w:val="000000"/>
        </w:rPr>
        <w:t>钢铁</w:t>
      </w:r>
      <w:r>
        <w:rPr>
          <w:color w:val="000000"/>
        </w:rPr>
        <w:t>行业整体承压、营收下滑14.06%</w:t>
      </w:r>
      <w:bookmarkStart w:id="74" w:name="_GoBack"/>
      <w:bookmarkEnd w:id="74"/>
      <w:r>
        <w:rPr>
          <w:color w:val="000000"/>
        </w:rPr>
        <w:t>的背景下，净利润逆势增长18.63%，净资产收益率提升0.42个百分点。这一“量减利增”的结构性改善，直接印证了数智化投入的财务回报——通过“</w:t>
      </w:r>
      <w:r>
        <w:rPr>
          <w:rFonts w:hint="eastAsia"/>
          <w:color w:val="000000"/>
        </w:rPr>
        <w:t>炼</w:t>
      </w:r>
      <w:r>
        <w:rPr>
          <w:color w:val="000000"/>
        </w:rPr>
        <w:t>数成金”平台赋能生产工艺优化，有效降低了</w:t>
      </w:r>
      <w:r>
        <w:rPr>
          <w:rFonts w:hint="eastAsia"/>
          <w:color w:val="000000"/>
        </w:rPr>
        <w:t>炼钢</w:t>
      </w:r>
      <w:r>
        <w:rPr>
          <w:color w:val="000000"/>
        </w:rPr>
        <w:t>综合成本，实现了利润的逆周期增长。</w:t>
      </w:r>
    </w:p>
    <w:p w14:paraId="345AD9CD">
      <w:pPr>
        <w:spacing w:before="160" w:after="80" w:line="360" w:lineRule="auto"/>
        <w:outlineLvl w:val="2"/>
        <w:rPr>
          <w:rFonts w:hint="eastAsia"/>
        </w:rPr>
      </w:pPr>
      <w:bookmarkStart w:id="62" w:name="_Toc28947"/>
      <w:bookmarkStart w:id="63" w:name="_Toc15216"/>
      <w:r>
        <w:rPr>
          <w:b/>
          <w:bCs/>
          <w:color w:val="595959"/>
        </w:rPr>
        <w:t>（二）战略层面：从单个巨兽到群智能的模式革命</w:t>
      </w:r>
      <w:bookmarkEnd w:id="62"/>
      <w:bookmarkEnd w:id="63"/>
    </w:p>
    <w:p w14:paraId="0771B3EE">
      <w:pPr>
        <w:spacing w:before="60" w:after="60" w:line="360" w:lineRule="auto"/>
        <w:ind w:firstLine="420" w:firstLineChars="0"/>
        <w:rPr>
          <w:rFonts w:hint="eastAsia"/>
        </w:rPr>
      </w:pPr>
      <w:r>
        <w:rPr>
          <w:color w:val="000000"/>
        </w:rPr>
        <w:t>通过“</w:t>
      </w:r>
      <w:r>
        <w:rPr>
          <w:rFonts w:hint="eastAsia"/>
          <w:color w:val="000000"/>
        </w:rPr>
        <w:t>钢</w:t>
      </w:r>
      <w:r>
        <w:rPr>
          <w:color w:val="000000"/>
        </w:rPr>
        <w:t>铁大模型百日会战”，南</w:t>
      </w:r>
      <w:r>
        <w:rPr>
          <w:rFonts w:hint="eastAsia"/>
          <w:color w:val="000000"/>
        </w:rPr>
        <w:t>钢</w:t>
      </w:r>
      <w:r>
        <w:rPr>
          <w:color w:val="000000"/>
        </w:rPr>
        <w:t>与华为联合构建了重新定义多模型、多模态、多尺度、多视角的跨范式工业大模型架构，推动大模型从</w:t>
      </w:r>
      <w:r>
        <w:rPr>
          <w:b/>
          <w:bCs/>
          <w:color w:val="000000"/>
        </w:rPr>
        <w:t>单个巨兽</w:t>
      </w:r>
      <w:r>
        <w:rPr>
          <w:color w:val="000000"/>
        </w:rPr>
        <w:t>模式走向</w:t>
      </w:r>
      <w:r>
        <w:rPr>
          <w:b/>
          <w:bCs/>
          <w:color w:val="000000"/>
        </w:rPr>
        <w:t>群智能</w:t>
      </w:r>
      <w:r>
        <w:rPr>
          <w:color w:val="000000"/>
        </w:rPr>
        <w:t>集群作战模式，极大提升了生产运营的敏捷性与智能化水平。数据资产的规模化积累是这一战略实施的数据底座。</w:t>
      </w:r>
    </w:p>
    <w:p w14:paraId="52F4C3AC">
      <w:pPr>
        <w:spacing w:before="160" w:after="80" w:line="360" w:lineRule="auto"/>
        <w:outlineLvl w:val="2"/>
        <w:rPr>
          <w:rFonts w:hint="eastAsia"/>
        </w:rPr>
      </w:pPr>
      <w:bookmarkStart w:id="64" w:name="_Toc26590"/>
      <w:bookmarkStart w:id="65" w:name="_Toc19904"/>
      <w:r>
        <w:rPr>
          <w:b/>
          <w:bCs/>
          <w:color w:val="595959"/>
        </w:rPr>
        <w:t>（三）生态层面：数据要素市场的先发者优势</w:t>
      </w:r>
      <w:bookmarkEnd w:id="64"/>
      <w:bookmarkEnd w:id="65"/>
    </w:p>
    <w:p w14:paraId="051C6C49">
      <w:pPr>
        <w:spacing w:before="60" w:after="60" w:line="360" w:lineRule="auto"/>
        <w:ind w:firstLine="420" w:firstLineChars="0"/>
        <w:rPr>
          <w:color w:val="000000"/>
        </w:rPr>
      </w:pPr>
      <w:r>
        <w:rPr>
          <w:color w:val="000000"/>
        </w:rPr>
        <w:t>南</w:t>
      </w:r>
      <w:r>
        <w:rPr>
          <w:rFonts w:hint="eastAsia"/>
          <w:color w:val="000000"/>
        </w:rPr>
        <w:t>钢</w:t>
      </w:r>
      <w:r>
        <w:rPr>
          <w:color w:val="000000"/>
        </w:rPr>
        <w:t>推动两项数据产品在江苏省数据交易所挂牌、一项数据资产在上海数据交易所登记，积极参与国家可信数据空间建设，并作为江苏省数据标准化技术委员会WG9-</w:t>
      </w:r>
      <w:r>
        <w:rPr>
          <w:rFonts w:hint="eastAsia"/>
          <w:color w:val="000000"/>
        </w:rPr>
        <w:t>钢</w:t>
      </w:r>
      <w:r>
        <w:rPr>
          <w:color w:val="000000"/>
        </w:rPr>
        <w:t>铁行业标准工作组组长。这些举措使南</w:t>
      </w:r>
      <w:r>
        <w:rPr>
          <w:rFonts w:hint="eastAsia"/>
          <w:color w:val="000000"/>
        </w:rPr>
        <w:t>钢</w:t>
      </w:r>
      <w:r>
        <w:rPr>
          <w:color w:val="000000"/>
        </w:rPr>
        <w:t>在</w:t>
      </w:r>
      <w:r>
        <w:rPr>
          <w:rFonts w:hint="eastAsia"/>
          <w:color w:val="000000"/>
        </w:rPr>
        <w:t>钢铁</w:t>
      </w:r>
      <w:r>
        <w:rPr>
          <w:color w:val="000000"/>
        </w:rPr>
        <w:t>行业数据要素市场占据先发优势，构建了可持续的数据生态护城河。</w:t>
      </w:r>
    </w:p>
    <w:p w14:paraId="4A32525D">
      <w:pPr>
        <w:spacing w:before="60" w:after="60" w:line="360" w:lineRule="auto"/>
        <w:rPr>
          <w:rFonts w:hint="eastAsia"/>
          <w:color w:val="000000"/>
        </w:rPr>
      </w:pPr>
    </w:p>
    <w:p w14:paraId="41BD08C3">
      <w:pPr>
        <w:spacing w:before="200" w:after="120" w:line="360" w:lineRule="auto"/>
        <w:outlineLvl w:val="1"/>
        <w:rPr>
          <w:rFonts w:hint="eastAsia"/>
        </w:rPr>
      </w:pPr>
      <w:bookmarkStart w:id="66" w:name="_Toc6917"/>
      <w:bookmarkStart w:id="67" w:name="_Toc23307"/>
      <w:r>
        <w:rPr>
          <w:b/>
          <w:bCs/>
          <w:color w:val="2E5FA3"/>
          <w:sz w:val="26"/>
          <w:szCs w:val="26"/>
        </w:rPr>
        <w:t>5.2  数据资产价值评估三维模型</w:t>
      </w:r>
      <w:bookmarkEnd w:id="66"/>
      <w:bookmarkEnd w:id="67"/>
    </w:p>
    <w:p w14:paraId="44D33910">
      <w:pPr>
        <w:spacing w:before="60" w:after="60" w:line="360" w:lineRule="auto"/>
        <w:ind w:firstLine="480" w:firstLineChars="200"/>
        <w:rPr>
          <w:rFonts w:hint="eastAsia"/>
        </w:rPr>
      </w:pPr>
      <w:r>
        <w:rPr>
          <w:color w:val="000000"/>
        </w:rPr>
        <w:t>基于南</w:t>
      </w:r>
      <w:r>
        <w:rPr>
          <w:rFonts w:hint="eastAsia"/>
          <w:color w:val="000000"/>
        </w:rPr>
        <w:t>钢</w:t>
      </w:r>
      <w:r>
        <w:rPr>
          <w:color w:val="000000"/>
        </w:rPr>
        <w:t>实践，本报告提炼出可复制的</w:t>
      </w:r>
      <w:r>
        <w:rPr>
          <w:b/>
          <w:bCs/>
          <w:color w:val="000000"/>
        </w:rPr>
        <w:t>数据资产价值评估三维模型</w:t>
      </w:r>
      <w:r>
        <w:rPr>
          <w:color w:val="000000"/>
        </w:rPr>
        <w:t>，从三个维度综合量化数据资产的真实价值贡献：</w:t>
      </w:r>
    </w:p>
    <w:p w14:paraId="7966CA35">
      <w:pPr>
        <w:spacing w:before="100" w:after="60"/>
        <w:jc w:val="center"/>
        <w:rPr>
          <w:rFonts w:hint="eastAsia"/>
        </w:rPr>
      </w:pPr>
      <w:r>
        <w:rPr>
          <w:b/>
          <w:bCs/>
          <w:color w:val="1F3864"/>
        </w:rPr>
        <w:t>表5  数据资产价值评估三维模型</w:t>
      </w:r>
    </w:p>
    <w:tbl>
      <w:tblPr>
        <w:tblStyle w:val="1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500"/>
        <w:gridCol w:w="2526"/>
      </w:tblGrid>
      <w:tr w14:paraId="168B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71BAA2CC">
            <w:pPr>
              <w:spacing w:line="280" w:lineRule="auto"/>
              <w:jc w:val="center"/>
              <w:rPr>
                <w:rFonts w:hint="eastAsia"/>
                <w:sz w:val="22"/>
                <w:szCs w:val="22"/>
              </w:rPr>
            </w:pPr>
            <w:r>
              <w:rPr>
                <w:b/>
                <w:bCs/>
                <w:color w:val="FFFFFF"/>
                <w:sz w:val="22"/>
                <w:szCs w:val="22"/>
              </w:rPr>
              <w:t>价值维度</w:t>
            </w:r>
          </w:p>
        </w:tc>
        <w:tc>
          <w:tcPr>
            <w:tcW w:w="2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4A466517">
            <w:pPr>
              <w:spacing w:line="280" w:lineRule="auto"/>
              <w:jc w:val="center"/>
              <w:rPr>
                <w:rFonts w:hint="eastAsia"/>
                <w:sz w:val="22"/>
                <w:szCs w:val="22"/>
              </w:rPr>
            </w:pPr>
            <w:r>
              <w:rPr>
                <w:b/>
                <w:bCs/>
                <w:color w:val="FFFFFF"/>
                <w:sz w:val="22"/>
                <w:szCs w:val="22"/>
              </w:rPr>
              <w:t>评估核心指标</w:t>
            </w:r>
          </w:p>
        </w:tc>
        <w:tc>
          <w:tcPr>
            <w:tcW w:w="2500"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0B0AAFF9">
            <w:pPr>
              <w:spacing w:line="280" w:lineRule="auto"/>
              <w:jc w:val="center"/>
              <w:rPr>
                <w:rFonts w:hint="eastAsia"/>
                <w:sz w:val="22"/>
                <w:szCs w:val="22"/>
              </w:rPr>
            </w:pPr>
            <w:r>
              <w:rPr>
                <w:b/>
                <w:bCs/>
                <w:color w:val="FFFFFF"/>
                <w:sz w:val="22"/>
                <w:szCs w:val="22"/>
              </w:rPr>
              <w:t>南</w:t>
            </w:r>
            <w:r>
              <w:rPr>
                <w:rFonts w:hint="eastAsia"/>
                <w:b/>
                <w:bCs/>
                <w:color w:val="FFFFFF"/>
                <w:sz w:val="22"/>
                <w:szCs w:val="22"/>
              </w:rPr>
              <w:t>钢</w:t>
            </w:r>
            <w:r>
              <w:rPr>
                <w:b/>
                <w:bCs/>
                <w:color w:val="FFFFFF"/>
                <w:sz w:val="22"/>
                <w:szCs w:val="22"/>
              </w:rPr>
              <w:t>对应成果</w:t>
            </w:r>
          </w:p>
        </w:tc>
        <w:tc>
          <w:tcPr>
            <w:tcW w:w="2526" w:type="dxa"/>
            <w:tcBorders>
              <w:top w:val="single" w:color="AAAAAA" w:sz="4" w:space="0"/>
              <w:left w:val="single" w:color="AAAAAA" w:sz="4" w:space="0"/>
              <w:bottom w:val="single" w:color="AAAAAA" w:sz="4" w:space="0"/>
              <w:right w:val="single" w:color="AAAAAA" w:sz="4" w:space="0"/>
            </w:tcBorders>
            <w:shd w:val="clear" w:color="auto" w:fill="2E5FA3"/>
            <w:tcMar>
              <w:top w:w="80" w:type="dxa"/>
              <w:left w:w="120" w:type="dxa"/>
              <w:bottom w:w="80" w:type="dxa"/>
              <w:right w:w="120" w:type="dxa"/>
            </w:tcMar>
            <w:vAlign w:val="center"/>
          </w:tcPr>
          <w:p w14:paraId="6100387E">
            <w:pPr>
              <w:spacing w:line="280" w:lineRule="auto"/>
              <w:jc w:val="center"/>
              <w:rPr>
                <w:rFonts w:hint="eastAsia"/>
                <w:sz w:val="22"/>
                <w:szCs w:val="22"/>
              </w:rPr>
            </w:pPr>
            <w:r>
              <w:rPr>
                <w:b/>
                <w:bCs/>
                <w:color w:val="FFFFFF"/>
                <w:sz w:val="22"/>
                <w:szCs w:val="22"/>
              </w:rPr>
              <w:t>量化参考标准</w:t>
            </w:r>
          </w:p>
        </w:tc>
      </w:tr>
      <w:tr w14:paraId="103B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AF0F99C">
            <w:pPr>
              <w:spacing w:line="280" w:lineRule="auto"/>
              <w:jc w:val="center"/>
              <w:rPr>
                <w:rFonts w:hint="eastAsia"/>
                <w:sz w:val="22"/>
                <w:szCs w:val="22"/>
              </w:rPr>
            </w:pPr>
            <w:r>
              <w:rPr>
                <w:color w:val="000000"/>
                <w:sz w:val="22"/>
                <w:szCs w:val="22"/>
              </w:rPr>
              <w:t>内向赋能度</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01ED43A4">
            <w:pPr>
              <w:spacing w:line="280" w:lineRule="auto"/>
              <w:jc w:val="left"/>
              <w:rPr>
                <w:rFonts w:hint="eastAsia"/>
                <w:sz w:val="22"/>
                <w:szCs w:val="22"/>
              </w:rPr>
            </w:pPr>
            <w:r>
              <w:rPr>
                <w:color w:val="000000"/>
                <w:sz w:val="22"/>
                <w:szCs w:val="22"/>
              </w:rPr>
              <w:t>降低</w:t>
            </w:r>
            <w:r>
              <w:rPr>
                <w:rFonts w:hint="eastAsia"/>
                <w:color w:val="000000"/>
                <w:sz w:val="22"/>
                <w:szCs w:val="22"/>
              </w:rPr>
              <w:t>炼钢</w:t>
            </w:r>
            <w:r>
              <w:rPr>
                <w:color w:val="000000"/>
                <w:sz w:val="22"/>
                <w:szCs w:val="22"/>
              </w:rPr>
              <w:t>成本、提升能源效率、优化良品率</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1D3BD0E0">
            <w:pPr>
              <w:spacing w:line="280" w:lineRule="auto"/>
              <w:jc w:val="left"/>
              <w:rPr>
                <w:rFonts w:hint="eastAsia"/>
                <w:sz w:val="22"/>
                <w:szCs w:val="22"/>
              </w:rPr>
            </w:pPr>
            <w:r>
              <w:rPr>
                <w:color w:val="000000"/>
                <w:sz w:val="22"/>
                <w:szCs w:val="22"/>
              </w:rPr>
              <w:t>入选工信部2024年实数融合典型案例；</w:t>
            </w:r>
            <w:r>
              <w:rPr>
                <w:rFonts w:hint="eastAsia"/>
                <w:color w:val="000000"/>
                <w:sz w:val="22"/>
                <w:szCs w:val="22"/>
              </w:rPr>
              <w:t>卓越级</w:t>
            </w:r>
            <w:r>
              <w:rPr>
                <w:color w:val="000000"/>
                <w:sz w:val="22"/>
                <w:szCs w:val="22"/>
              </w:rPr>
              <w:t>智能工厂</w:t>
            </w:r>
          </w:p>
        </w:tc>
        <w:tc>
          <w:tcPr>
            <w:tcW w:w="252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517DD2DA">
            <w:pPr>
              <w:spacing w:line="280" w:lineRule="auto"/>
              <w:jc w:val="left"/>
              <w:rPr>
                <w:rFonts w:hint="eastAsia"/>
                <w:sz w:val="22"/>
                <w:szCs w:val="22"/>
              </w:rPr>
            </w:pPr>
            <w:r>
              <w:rPr>
                <w:color w:val="000000"/>
                <w:sz w:val="22"/>
                <w:szCs w:val="22"/>
              </w:rPr>
              <w:t>可量化：净利润增速-营收增速差</w:t>
            </w:r>
            <w:r>
              <w:rPr>
                <w:rFonts w:hint="eastAsia"/>
                <w:color w:val="000000"/>
                <w:sz w:val="22"/>
                <w:szCs w:val="22"/>
                <w:lang w:eastAsia="zh"/>
                <w:woUserID w:val="3"/>
              </w:rPr>
              <w:t>值</w:t>
            </w:r>
            <w:r>
              <w:rPr>
                <w:color w:val="000000"/>
                <w:sz w:val="22"/>
                <w:szCs w:val="22"/>
              </w:rPr>
              <w:t>（32.69%）</w:t>
            </w:r>
          </w:p>
        </w:tc>
      </w:tr>
      <w:tr w14:paraId="584B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BE90148">
            <w:pPr>
              <w:spacing w:line="280" w:lineRule="auto"/>
              <w:jc w:val="center"/>
              <w:rPr>
                <w:rFonts w:hint="eastAsia"/>
                <w:sz w:val="22"/>
                <w:szCs w:val="22"/>
              </w:rPr>
            </w:pPr>
            <w:r>
              <w:rPr>
                <w:color w:val="000000"/>
                <w:sz w:val="22"/>
                <w:szCs w:val="22"/>
              </w:rPr>
              <w:t>外向溢价度</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1B15CA71">
            <w:pPr>
              <w:spacing w:line="280" w:lineRule="auto"/>
              <w:jc w:val="left"/>
              <w:rPr>
                <w:rFonts w:hint="eastAsia"/>
                <w:sz w:val="22"/>
                <w:szCs w:val="22"/>
              </w:rPr>
            </w:pPr>
            <w:r>
              <w:rPr>
                <w:color w:val="000000"/>
                <w:sz w:val="22"/>
                <w:szCs w:val="22"/>
              </w:rPr>
              <w:t>数据产品市场化交易定价、数据服务收入占比</w:t>
            </w:r>
          </w:p>
        </w:tc>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3137E3D2">
            <w:pPr>
              <w:spacing w:line="280" w:lineRule="auto"/>
              <w:jc w:val="left"/>
              <w:rPr>
                <w:rFonts w:hint="eastAsia"/>
                <w:sz w:val="22"/>
                <w:szCs w:val="22"/>
              </w:rPr>
            </w:pPr>
            <w:r>
              <w:rPr>
                <w:color w:val="000000"/>
                <w:sz w:val="22"/>
                <w:szCs w:val="22"/>
              </w:rPr>
              <w:t>两项产品在江苏数据交易所挂牌，一项在上海登记</w:t>
            </w:r>
          </w:p>
        </w:tc>
        <w:tc>
          <w:tcPr>
            <w:tcW w:w="2526"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vAlign w:val="center"/>
          </w:tcPr>
          <w:p w14:paraId="559792A2">
            <w:pPr>
              <w:spacing w:line="280" w:lineRule="auto"/>
              <w:jc w:val="left"/>
              <w:rPr>
                <w:rFonts w:hint="eastAsia"/>
                <w:sz w:val="22"/>
                <w:szCs w:val="22"/>
              </w:rPr>
            </w:pPr>
            <w:r>
              <w:rPr>
                <w:color w:val="000000"/>
                <w:sz w:val="22"/>
                <w:szCs w:val="22"/>
              </w:rPr>
              <w:t>参考：数据产品交易价格相较成本的溢价率</w:t>
            </w:r>
          </w:p>
        </w:tc>
      </w:tr>
      <w:tr w14:paraId="1E0F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08906D02">
            <w:pPr>
              <w:spacing w:line="280" w:lineRule="auto"/>
              <w:jc w:val="center"/>
              <w:rPr>
                <w:rFonts w:hint="eastAsia"/>
                <w:sz w:val="22"/>
                <w:szCs w:val="22"/>
              </w:rPr>
            </w:pPr>
            <w:r>
              <w:rPr>
                <w:color w:val="000000"/>
                <w:sz w:val="22"/>
                <w:szCs w:val="22"/>
              </w:rPr>
              <w:t>生态协同度</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0C6C75CC">
            <w:pPr>
              <w:spacing w:line="280" w:lineRule="auto"/>
              <w:jc w:val="left"/>
              <w:rPr>
                <w:rFonts w:hint="eastAsia"/>
                <w:sz w:val="22"/>
                <w:szCs w:val="22"/>
              </w:rPr>
            </w:pPr>
            <w:r>
              <w:rPr>
                <w:color w:val="000000"/>
                <w:sz w:val="22"/>
                <w:szCs w:val="22"/>
              </w:rPr>
              <w:t>行业标准制定话语权、产业链数据协同能力</w:t>
            </w:r>
          </w:p>
        </w:tc>
        <w:tc>
          <w:tcPr>
            <w:tcW w:w="2500"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AC559BA">
            <w:pPr>
              <w:spacing w:line="280" w:lineRule="auto"/>
              <w:jc w:val="left"/>
              <w:rPr>
                <w:rFonts w:hint="eastAsia"/>
                <w:sz w:val="22"/>
                <w:szCs w:val="22"/>
              </w:rPr>
            </w:pPr>
            <w:r>
              <w:rPr>
                <w:rFonts w:hint="eastAsia"/>
                <w:color w:val="000000"/>
                <w:sz w:val="22"/>
                <w:szCs w:val="22"/>
              </w:rPr>
              <w:t>钢铁</w:t>
            </w:r>
            <w:r>
              <w:rPr>
                <w:color w:val="000000"/>
                <w:sz w:val="22"/>
                <w:szCs w:val="22"/>
              </w:rPr>
              <w:t>行业WG9工作组组长；联合发起工业数据集倡议</w:t>
            </w:r>
          </w:p>
        </w:tc>
        <w:tc>
          <w:tcPr>
            <w:tcW w:w="2526" w:type="dxa"/>
            <w:tcBorders>
              <w:top w:val="single" w:color="AAAAAA" w:sz="4" w:space="0"/>
              <w:left w:val="single" w:color="AAAAAA" w:sz="4" w:space="0"/>
              <w:bottom w:val="single" w:color="AAAAAA" w:sz="4" w:space="0"/>
              <w:right w:val="single" w:color="AAAAAA" w:sz="4" w:space="0"/>
            </w:tcBorders>
            <w:shd w:val="clear" w:color="auto" w:fill="F2F2F2"/>
            <w:tcMar>
              <w:top w:w="80" w:type="dxa"/>
              <w:left w:w="120" w:type="dxa"/>
              <w:bottom w:w="80" w:type="dxa"/>
              <w:right w:w="120" w:type="dxa"/>
            </w:tcMar>
            <w:vAlign w:val="center"/>
          </w:tcPr>
          <w:p w14:paraId="776748F3">
            <w:pPr>
              <w:spacing w:line="280" w:lineRule="auto"/>
              <w:jc w:val="left"/>
              <w:rPr>
                <w:rFonts w:hint="eastAsia"/>
                <w:sz w:val="22"/>
                <w:szCs w:val="22"/>
              </w:rPr>
            </w:pPr>
            <w:r>
              <w:rPr>
                <w:color w:val="000000"/>
                <w:sz w:val="22"/>
                <w:szCs w:val="22"/>
              </w:rPr>
              <w:t>参考：行业标准参与度及数据产品被引用率</w:t>
            </w:r>
          </w:p>
        </w:tc>
      </w:tr>
    </w:tbl>
    <w:p w14:paraId="2557C294">
      <w:pPr>
        <w:rPr>
          <w:rFonts w:hint="eastAsia"/>
        </w:rPr>
      </w:pPr>
    </w:p>
    <w:p w14:paraId="348F31E4">
      <w:pPr>
        <w:spacing w:before="200" w:after="120" w:line="360" w:lineRule="auto"/>
        <w:outlineLvl w:val="1"/>
        <w:rPr>
          <w:rFonts w:hint="eastAsia"/>
        </w:rPr>
      </w:pPr>
      <w:bookmarkStart w:id="68" w:name="_Toc31466"/>
      <w:bookmarkStart w:id="69" w:name="_Toc4527"/>
      <w:r>
        <w:rPr>
          <w:b/>
          <w:bCs/>
          <w:color w:val="2E5FA3"/>
          <w:sz w:val="26"/>
          <w:szCs w:val="26"/>
        </w:rPr>
        <w:t>5.3  SWOT视角下的入表战略综合评价</w:t>
      </w:r>
      <w:bookmarkEnd w:id="68"/>
      <w:bookmarkEnd w:id="69"/>
    </w:p>
    <w:p w14:paraId="031CD072">
      <w:pPr>
        <w:spacing w:before="60" w:after="60" w:line="360" w:lineRule="auto"/>
        <w:rPr>
          <w:rFonts w:hint="eastAsia"/>
        </w:rPr>
      </w:pPr>
      <w:r>
        <w:rPr>
          <w:color w:val="000000"/>
        </w:rPr>
        <w:t>综合运用SWOT分析框架，对南</w:t>
      </w:r>
      <w:r>
        <w:rPr>
          <w:rFonts w:hint="eastAsia"/>
          <w:color w:val="000000"/>
        </w:rPr>
        <w:t>钢</w:t>
      </w:r>
      <w:r>
        <w:rPr>
          <w:color w:val="000000"/>
        </w:rPr>
        <w:t>数据资产入表战略进行客观评价：</w:t>
      </w:r>
    </w:p>
    <w:p w14:paraId="4E03D637">
      <w:pPr>
        <w:pStyle w:val="21"/>
        <w:numPr>
          <w:ilvl w:val="0"/>
          <w:numId w:val="5"/>
        </w:numPr>
        <w:tabs>
          <w:tab w:val="clear" w:pos="425"/>
        </w:tabs>
        <w:spacing w:before="40" w:after="40"/>
        <w:ind w:left="425" w:leftChars="0" w:hanging="425" w:firstLineChars="0"/>
        <w:rPr>
          <w:rFonts w:hint="eastAsia"/>
        </w:rPr>
      </w:pPr>
      <w:r>
        <w:t>优势（S）：深厚的数字化底座（国家</w:t>
      </w:r>
      <w:r>
        <w:rPr>
          <w:rFonts w:hint="eastAsia"/>
        </w:rPr>
        <w:t>首批</w:t>
      </w:r>
      <w:r>
        <w:t>卓越级智能工厂）、完善的“</w:t>
      </w:r>
      <w:r>
        <w:rPr>
          <w:rFonts w:hint="eastAsia"/>
        </w:rPr>
        <w:t>炼</w:t>
      </w:r>
      <w:r>
        <w:t>数成金”平台、强大的产业链协同能力</w:t>
      </w:r>
      <w:r>
        <w:rPr>
          <w:rFonts w:hint="eastAsia"/>
          <w:lang w:eastAsia="zh"/>
          <w:woUserID w:val="3"/>
        </w:rPr>
        <w:t>；</w:t>
      </w:r>
    </w:p>
    <w:p w14:paraId="329215FD">
      <w:pPr>
        <w:pStyle w:val="21"/>
        <w:numPr>
          <w:ilvl w:val="0"/>
          <w:numId w:val="5"/>
        </w:numPr>
        <w:tabs>
          <w:tab w:val="clear" w:pos="425"/>
        </w:tabs>
        <w:spacing w:before="40" w:after="40"/>
        <w:ind w:left="425" w:leftChars="0" w:hanging="425" w:firstLineChars="0"/>
        <w:rPr>
          <w:rFonts w:hint="eastAsia"/>
        </w:rPr>
      </w:pPr>
      <w:r>
        <w:t>劣势（W）：数据资产绝对规模相对总资产仍较小；数据价值评估方法尚在摸索阶段；专业人才储备需加强</w:t>
      </w:r>
      <w:r>
        <w:rPr>
          <w:rFonts w:hint="eastAsia"/>
          <w:lang w:eastAsia="zh"/>
          <w:woUserID w:val="3"/>
        </w:rPr>
        <w:t>；</w:t>
      </w:r>
    </w:p>
    <w:p w14:paraId="4100A9D6">
      <w:pPr>
        <w:pStyle w:val="21"/>
        <w:numPr>
          <w:ilvl w:val="0"/>
          <w:numId w:val="5"/>
        </w:numPr>
        <w:tabs>
          <w:tab w:val="clear" w:pos="425"/>
        </w:tabs>
        <w:spacing w:before="40" w:after="40"/>
        <w:ind w:left="425" w:leftChars="0" w:hanging="425" w:firstLineChars="0"/>
        <w:rPr>
          <w:rFonts w:hint="eastAsia"/>
        </w:rPr>
      </w:pPr>
      <w:r>
        <w:t>机会（O）：2026年</w:t>
      </w:r>
      <w:r>
        <w:rPr>
          <w:b w:val="0"/>
          <w:bCs w:val="0"/>
        </w:rPr>
        <w:t>数据要素价值释放年</w:t>
      </w:r>
      <w:r>
        <w:t>政策红利；数据交易市场规模快速扩张；行业数字化标准制定窗口期</w:t>
      </w:r>
      <w:r>
        <w:rPr>
          <w:rFonts w:hint="eastAsia"/>
          <w:lang w:eastAsia="zh"/>
          <w:woUserID w:val="3"/>
        </w:rPr>
        <w:t>；</w:t>
      </w:r>
    </w:p>
    <w:p w14:paraId="674FD2DF">
      <w:pPr>
        <w:pStyle w:val="21"/>
        <w:numPr>
          <w:ilvl w:val="0"/>
          <w:numId w:val="5"/>
        </w:numPr>
        <w:tabs>
          <w:tab w:val="clear" w:pos="425"/>
        </w:tabs>
        <w:spacing w:before="40" w:after="40"/>
        <w:ind w:left="425" w:leftChars="0" w:hanging="425" w:firstLineChars="0"/>
        <w:rPr>
          <w:rFonts w:hint="eastAsia"/>
        </w:rPr>
      </w:pPr>
      <w:r>
        <w:t>威胁（T）：数字技术快速迭代带来的资产价值缩减风险；数据安全监管趋严的合规压力；同行竞争者快速跟进</w:t>
      </w:r>
      <w:r>
        <w:rPr>
          <w:rFonts w:hint="eastAsia"/>
          <w:lang w:eastAsia="zh"/>
          <w:woUserID w:val="3"/>
        </w:rPr>
        <w:t>。</w:t>
      </w:r>
    </w:p>
    <w:p w14:paraId="605281B8">
      <w:pPr>
        <w:pStyle w:val="21"/>
        <w:numPr>
          <w:ilvl w:val="0"/>
          <w:numId w:val="0"/>
        </w:numPr>
        <w:spacing w:before="40" w:after="40"/>
        <w:ind w:left="360" w:leftChars="0"/>
        <w:rPr>
          <w:rFonts w:hint="eastAsia"/>
        </w:rPr>
      </w:pPr>
    </w:p>
    <w:p w14:paraId="6DA618E3">
      <w:pPr>
        <w:spacing w:before="200" w:after="120" w:line="360" w:lineRule="auto"/>
        <w:outlineLvl w:val="1"/>
        <w:rPr>
          <w:rFonts w:hint="eastAsia"/>
        </w:rPr>
      </w:pPr>
      <w:bookmarkStart w:id="70" w:name="_Toc14661"/>
      <w:bookmarkStart w:id="71" w:name="_Toc18106"/>
      <w:r>
        <w:rPr>
          <w:b/>
          <w:bCs/>
          <w:color w:val="2E5FA3"/>
          <w:sz w:val="26"/>
          <w:szCs w:val="26"/>
        </w:rPr>
        <w:t>5.4  行业启示：传统制造业数据资产入表的可复制范式</w:t>
      </w:r>
      <w:bookmarkEnd w:id="70"/>
      <w:bookmarkEnd w:id="71"/>
    </w:p>
    <w:p w14:paraId="59A2DC8E">
      <w:pPr>
        <w:spacing w:before="60" w:after="60" w:line="360" w:lineRule="auto"/>
        <w:ind w:firstLine="480" w:firstLineChars="200"/>
        <w:rPr>
          <w:rFonts w:hint="eastAsia"/>
        </w:rPr>
      </w:pPr>
      <w:r>
        <w:rPr>
          <w:color w:val="000000"/>
        </w:rPr>
        <w:t>南</w:t>
      </w:r>
      <w:r>
        <w:rPr>
          <w:rFonts w:hint="eastAsia"/>
          <w:color w:val="000000"/>
        </w:rPr>
        <w:t>钢</w:t>
      </w:r>
      <w:r>
        <w:rPr>
          <w:color w:val="000000"/>
        </w:rPr>
        <w:t>股份的实践为传统制造业提供了可复制的入表范式，核心经验可归纳为三点：</w:t>
      </w:r>
    </w:p>
    <w:p w14:paraId="4045E04C">
      <w:pPr>
        <w:pStyle w:val="21"/>
        <w:numPr>
          <w:numId w:val="0"/>
        </w:numPr>
        <w:spacing w:before="40" w:after="40"/>
        <w:ind w:left="0" w:leftChars="0" w:firstLine="0" w:firstLineChars="0"/>
        <w:rPr>
          <w:rFonts w:hint="eastAsia" w:eastAsia="宋体"/>
          <w:lang w:eastAsia="zh"/>
          <w:woUserID w:val="3"/>
        </w:rPr>
      </w:pPr>
      <w:r>
        <w:rPr>
          <w:rFonts w:hint="eastAsia"/>
          <w:lang w:eastAsia="zh"/>
          <w:woUserID w:val="2"/>
        </w:rPr>
        <w:t xml:space="preserve">    </w:t>
      </w:r>
      <w:r>
        <w:t>数据入表应服务于清晰的战略目标，而非追求报表美化。南</w:t>
      </w:r>
      <w:r>
        <w:rPr>
          <w:rFonts w:hint="eastAsia"/>
        </w:rPr>
        <w:t>钢</w:t>
      </w:r>
      <w:r>
        <w:t>以</w:t>
      </w:r>
      <w:r>
        <w:rPr>
          <w:b/>
          <w:bCs/>
        </w:rPr>
        <w:t>降本增效</w:t>
      </w:r>
      <w:r>
        <w:t>和</w:t>
      </w:r>
      <w:r>
        <w:rPr>
          <w:b/>
          <w:bCs/>
        </w:rPr>
        <w:t>数智化竞争优势</w:t>
      </w:r>
      <w:r>
        <w:t>为核心目标，确保入表行为具备真实的价值创造逻辑</w:t>
      </w:r>
      <w:r>
        <w:rPr>
          <w:rFonts w:hint="eastAsia"/>
          <w:lang w:eastAsia="zh"/>
          <w:woUserID w:val="3"/>
        </w:rPr>
        <w:t>；</w:t>
      </w:r>
    </w:p>
    <w:p w14:paraId="6CAF2C16">
      <w:pPr>
        <w:pStyle w:val="21"/>
        <w:numPr>
          <w:numId w:val="0"/>
        </w:numPr>
        <w:spacing w:before="40" w:after="40"/>
        <w:ind w:left="0" w:leftChars="0" w:firstLine="0" w:firstLineChars="0"/>
        <w:rPr>
          <w:rFonts w:hint="eastAsia" w:eastAsia="宋体"/>
          <w:lang w:eastAsia="zh"/>
          <w:woUserID w:val="3"/>
        </w:rPr>
      </w:pPr>
      <w:r>
        <w:t>统一的数据资产管理平台是降低入表操作成本、确保合规性的关键基础设施，建议企业在入表前优先完善数据治理平台建设</w:t>
      </w:r>
      <w:r>
        <w:rPr>
          <w:rFonts w:hint="eastAsia"/>
          <w:lang w:eastAsia="zh"/>
          <w:woUserID w:val="3"/>
        </w:rPr>
        <w:t>；</w:t>
      </w:r>
    </w:p>
    <w:p w14:paraId="1459FF37">
      <w:pPr>
        <w:pStyle w:val="21"/>
        <w:numPr>
          <w:numId w:val="0"/>
        </w:numPr>
        <w:spacing w:before="40" w:after="40"/>
        <w:ind w:left="0" w:leftChars="0" w:firstLine="0" w:firstLineChars="0"/>
        <w:rPr>
          <w:rFonts w:hint="eastAsia"/>
        </w:rPr>
      </w:pPr>
      <w:r>
        <w:rPr>
          <w:rFonts w:hint="eastAsia"/>
          <w:lang w:eastAsia="zh"/>
          <w:woUserID w:val="2"/>
        </w:rPr>
        <w:t xml:space="preserve">    </w:t>
      </w:r>
      <w:r>
        <w:t>会计人员的跨学科能力升级是入表成功的重要保障，建议高校加快推进会计与数据科学、计算机科学的跨学科融合培养，为企业输送复合型人才。</w:t>
      </w:r>
    </w:p>
    <w:p w14:paraId="38EC6FBA">
      <w:pPr>
        <w:rPr>
          <w:rFonts w:hint="eastAsia"/>
        </w:rPr>
      </w:pPr>
      <w:r>
        <w:br w:type="page"/>
      </w:r>
    </w:p>
    <w:p w14:paraId="294CD72C">
      <w:pPr>
        <w:keepNext w:val="0"/>
        <w:keepLines w:val="0"/>
        <w:pageBreakBefore w:val="0"/>
        <w:widowControl w:val="0"/>
        <w:pBdr>
          <w:bottom w:val="single" w:color="2E5FA3" w:sz="12" w:space="6"/>
        </w:pBdr>
        <w:kinsoku/>
        <w:wordWrap/>
        <w:overflowPunct/>
        <w:topLinePunct w:val="0"/>
        <w:autoSpaceDE/>
        <w:autoSpaceDN/>
        <w:bidi w:val="0"/>
        <w:adjustRightInd/>
        <w:snapToGrid/>
        <w:spacing w:before="300" w:after="180" w:line="360" w:lineRule="auto"/>
        <w:jc w:val="center"/>
        <w:textAlignment w:val="auto"/>
        <w:outlineLvl w:val="9"/>
        <w:rPr>
          <w:rFonts w:hint="eastAsia"/>
          <w:b/>
          <w:bCs/>
          <w:color w:val="1F3864"/>
          <w:sz w:val="28"/>
          <w:szCs w:val="28"/>
        </w:rPr>
      </w:pPr>
      <w:bookmarkStart w:id="72" w:name="_Toc11251"/>
      <w:bookmarkStart w:id="73" w:name="_Toc6387"/>
      <w:r>
        <w:rPr>
          <w:b/>
          <w:bCs/>
          <w:color w:val="1F3864"/>
          <w:sz w:val="28"/>
          <w:szCs w:val="28"/>
        </w:rPr>
        <w:t>结  论</w:t>
      </w:r>
      <w:bookmarkEnd w:id="72"/>
      <w:bookmarkEnd w:id="73"/>
    </w:p>
    <w:p w14:paraId="5E4C2294">
      <w:pPr>
        <w:spacing w:before="60" w:after="60" w:line="360" w:lineRule="auto"/>
        <w:rPr>
          <w:rFonts w:hint="eastAsia"/>
        </w:rPr>
      </w:pPr>
      <w:r>
        <w:rPr>
          <w:color w:val="000000"/>
        </w:rPr>
        <w:t>南</w:t>
      </w:r>
      <w:r>
        <w:rPr>
          <w:rFonts w:hint="eastAsia"/>
          <w:color w:val="000000"/>
        </w:rPr>
        <w:t>钢</w:t>
      </w:r>
      <w:r>
        <w:rPr>
          <w:color w:val="000000"/>
        </w:rPr>
        <w:t>股份</w:t>
      </w:r>
      <w:r>
        <w:rPr>
          <w:rFonts w:hint="eastAsia"/>
          <w:color w:val="000000"/>
        </w:rPr>
        <w:t>炼</w:t>
      </w:r>
      <w:r>
        <w:rPr>
          <w:color w:val="000000"/>
        </w:rPr>
        <w:t>数成金的实践，展示了传统制造业如何通过数据资产入表实现从</w:t>
      </w:r>
      <w:r>
        <w:rPr>
          <w:b/>
          <w:bCs/>
          <w:color w:val="000000"/>
        </w:rPr>
        <w:t>资源积累</w:t>
      </w:r>
      <w:r>
        <w:rPr>
          <w:color w:val="000000"/>
        </w:rPr>
        <w:t>到</w:t>
      </w:r>
      <w:r>
        <w:rPr>
          <w:b/>
          <w:bCs/>
          <w:color w:val="000000"/>
        </w:rPr>
        <w:t>价值重构</w:t>
      </w:r>
      <w:r>
        <w:rPr>
          <w:color w:val="000000"/>
        </w:rPr>
        <w:t>的范式跃迁。本报告的核心结论如下：</w:t>
      </w:r>
    </w:p>
    <w:p w14:paraId="3E1DB4F0">
      <w:pPr>
        <w:pStyle w:val="21"/>
        <w:numPr>
          <w:ilvl w:val="0"/>
          <w:numId w:val="6"/>
        </w:numPr>
        <w:spacing w:before="40" w:after="40"/>
        <w:rPr>
          <w:rFonts w:hint="eastAsia"/>
        </w:rPr>
      </w:pPr>
      <w:r>
        <w:t>理论层面：</w:t>
      </w:r>
      <w:r>
        <w:rPr>
          <w:b/>
          <w:bCs/>
        </w:rPr>
        <w:t>数据—数据资源—数据资产</w:t>
      </w:r>
      <w:r>
        <w:t>三层递进式确认模型为企业提供了清晰的入表判断框架，权属清晰、分类合理、成本可靠是入表的三条合规红线，任何一条不达标均不应强行入表。</w:t>
      </w:r>
    </w:p>
    <w:p w14:paraId="1DD110F2">
      <w:pPr>
        <w:pStyle w:val="21"/>
        <w:numPr>
          <w:ilvl w:val="0"/>
          <w:numId w:val="6"/>
        </w:numPr>
        <w:spacing w:before="40" w:after="40"/>
        <w:rPr>
          <w:rFonts w:hint="eastAsia"/>
        </w:rPr>
      </w:pPr>
      <w:r>
        <w:t>实操层面：</w:t>
      </w:r>
      <w:r>
        <w:rPr>
          <w:b/>
          <w:bCs/>
        </w:rPr>
        <w:t>阶段划分五步法</w:t>
      </w:r>
      <w:r>
        <w:rPr>
          <w:rFonts w:hint="eastAsia"/>
          <w:b/>
          <w:bCs/>
          <w:lang w:eastAsia="zh"/>
          <w:woUserID w:val="3"/>
        </w:rPr>
        <w:t>、</w:t>
      </w:r>
      <w:r>
        <w:rPr>
          <w:b/>
          <w:bCs/>
        </w:rPr>
        <w:t>资本化判断三维度</w:t>
      </w:r>
      <w:r>
        <w:rPr>
          <w:rFonts w:hint="eastAsia"/>
          <w:b/>
          <w:bCs/>
          <w:lang w:eastAsia="zh"/>
          <w:woUserID w:val="3"/>
        </w:rPr>
        <w:t>、</w:t>
      </w:r>
      <w:r>
        <w:rPr>
          <w:b/>
          <w:bCs/>
        </w:rPr>
        <w:t>减值测试双模型</w:t>
      </w:r>
      <w:r>
        <w:t>三套工具，有效破解了数据资产入表的实务难点，具备广泛的可推广性。</w:t>
      </w:r>
    </w:p>
    <w:p w14:paraId="41D9EC15">
      <w:pPr>
        <w:pStyle w:val="21"/>
        <w:numPr>
          <w:ilvl w:val="0"/>
          <w:numId w:val="6"/>
        </w:numPr>
        <w:spacing w:before="40" w:after="40"/>
        <w:rPr>
          <w:rFonts w:hint="eastAsia"/>
        </w:rPr>
      </w:pPr>
      <w:r>
        <w:t>财务层面：数据资产入表在优化资产结构、平滑利润波动、提升信息披露质量等方面具有显著价值，但需防范过度资本化导致的信息失真风险。</w:t>
      </w:r>
    </w:p>
    <w:p w14:paraId="0CA1039E">
      <w:pPr>
        <w:pStyle w:val="21"/>
        <w:numPr>
          <w:ilvl w:val="0"/>
          <w:numId w:val="6"/>
        </w:numPr>
        <w:spacing w:before="40" w:after="40"/>
        <w:rPr>
          <w:rFonts w:hint="eastAsia"/>
        </w:rPr>
      </w:pPr>
      <w:r>
        <w:t>治理层面：全生命周期内控体系与会计人员三维能力升级，是确保数据资产入表质量的核心制度保障。</w:t>
      </w:r>
    </w:p>
    <w:p w14:paraId="55BEE8E7">
      <w:pPr>
        <w:pStyle w:val="21"/>
        <w:numPr>
          <w:ilvl w:val="0"/>
          <w:numId w:val="6"/>
        </w:numPr>
        <w:spacing w:before="40" w:after="40"/>
        <w:rPr>
          <w:rFonts w:hint="eastAsia"/>
        </w:rPr>
      </w:pPr>
      <w:r>
        <w:t>战略层面：数据资产入表的核心价值在于通过财务语言揭示数字化转型的真实成果，推动企业从</w:t>
      </w:r>
      <w:r>
        <w:rPr>
          <w:b/>
          <w:bCs/>
        </w:rPr>
        <w:t>数据积累</w:t>
      </w:r>
      <w:r>
        <w:t>迈向</w:t>
      </w:r>
      <w:r>
        <w:rPr>
          <w:b/>
          <w:bCs/>
        </w:rPr>
        <w:t>价值变现</w:t>
      </w:r>
      <w:r>
        <w:t>，最终实现数字经济时代的竞争优势重构。</w:t>
      </w:r>
    </w:p>
    <w:p w14:paraId="7EE44537">
      <w:pPr>
        <w:rPr>
          <w:rFonts w:hint="eastAsia"/>
        </w:rPr>
      </w:pPr>
    </w:p>
    <w:p w14:paraId="0C02BFCF">
      <w:pPr>
        <w:spacing w:before="60" w:after="60" w:line="360" w:lineRule="auto"/>
        <w:ind w:firstLine="420" w:firstLineChars="0"/>
        <w:rPr>
          <w:rFonts w:hint="eastAsia"/>
        </w:rPr>
      </w:pPr>
      <w:r>
        <w:rPr>
          <w:color w:val="000000"/>
        </w:rPr>
        <w:t>高校会计教育应加速跨学科融合，将数字经济、数据治理与传统会计核算有机结合，为传统产业数字化转型培养适应时代需求的高端复合型会计人才。</w:t>
      </w:r>
    </w:p>
    <w:sectPr>
      <w:footerReference r:id="rId3" w:type="default"/>
      <w:pgSz w:w="11906" w:h="16838"/>
      <w:pgMar w:top="1800" w:right="1800" w:bottom="1800" w:left="180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华文中宋"/>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altName w:val="汉仪中黑KW"/>
    <w:panose1 w:val="00000000000000000000"/>
    <w:charset w:val="86"/>
    <w:family w:val="auto"/>
    <w:pitch w:val="variable"/>
    <w:sig w:usb0="80000287" w:usb1="2ACF3C50" w:usb2="00000016" w:usb3="00000000" w:csb0="0004001F" w:csb1="00000000"/>
  </w:font>
  <w:font w:name="Segoe UI">
    <w:altName w:val="Arial"/>
    <w:panose1 w:val="020B0502040204020203"/>
    <w:charset w:val="00"/>
    <w:family w:val="auto"/>
    <w:pitch w:val="variable"/>
    <w:sig w:usb0="E4002EFF" w:usb1="C000E47F" w:usb2="00000009" w:usb3="00000000" w:csb0="000001FF" w:csb1="00000000"/>
  </w:font>
  <w:font w:name="微软雅黑">
    <w:altName w:val="汉仪旗黑KW 55S"/>
    <w:panose1 w:val="020B0503020204020204"/>
    <w:charset w:val="86"/>
    <w:family w:val="auto"/>
    <w:pitch w:val="variable"/>
    <w:sig w:usb0="80000287" w:usb1="2ACF3C5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2010600030101010101"/>
    <w:charset w:val="86"/>
    <w:family w:val="auto"/>
    <w:pitch w:val="variable"/>
    <w:sig w:usb0="A00002BF" w:usb1="38CF7CFA"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093EF">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64F1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5564F15">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7D237D"/>
    <w:multiLevelType w:val="singleLevel"/>
    <w:tmpl w:val="BC7D237D"/>
    <w:lvl w:ilvl="0" w:tentative="0">
      <w:start w:val="1"/>
      <w:numFmt w:val="decimal"/>
      <w:lvlText w:val="%1."/>
      <w:lvlJc w:val="left"/>
      <w:pPr>
        <w:tabs>
          <w:tab w:val="left" w:pos="425"/>
        </w:tabs>
        <w:ind w:left="425" w:leftChars="0" w:hanging="425" w:firstLineChars="0"/>
      </w:pPr>
      <w:rPr>
        <w:rFonts w:hint="default"/>
      </w:rPr>
    </w:lvl>
  </w:abstractNum>
  <w:abstractNum w:abstractNumId="1">
    <w:nsid w:val="EBBFD22D"/>
    <w:multiLevelType w:val="singleLevel"/>
    <w:tmpl w:val="EBBFD22D"/>
    <w:lvl w:ilvl="0" w:tentative="0">
      <w:start w:val="1"/>
      <w:numFmt w:val="decimal"/>
      <w:lvlText w:val="%1."/>
      <w:lvlJc w:val="left"/>
      <w:pPr>
        <w:tabs>
          <w:tab w:val="left" w:pos="425"/>
        </w:tabs>
        <w:ind w:left="425" w:leftChars="0" w:hanging="425" w:firstLineChars="0"/>
      </w:pPr>
      <w:rPr>
        <w:rFonts w:hint="default"/>
      </w:rPr>
    </w:lvl>
  </w:abstractNum>
  <w:abstractNum w:abstractNumId="2">
    <w:nsid w:val="FBFF0BAD"/>
    <w:multiLevelType w:val="singleLevel"/>
    <w:tmpl w:val="FBFF0BAD"/>
    <w:lvl w:ilvl="0" w:tentative="0">
      <w:start w:val="1"/>
      <w:numFmt w:val="decimal"/>
      <w:lvlText w:val="%1."/>
      <w:lvlJc w:val="left"/>
      <w:pPr>
        <w:tabs>
          <w:tab w:val="left" w:pos="425"/>
        </w:tabs>
        <w:ind w:left="425" w:leftChars="0" w:hanging="425" w:firstLineChars="0"/>
      </w:pPr>
      <w:rPr>
        <w:rFonts w:hint="default"/>
      </w:rPr>
    </w:lvl>
  </w:abstractNum>
  <w:abstractNum w:abstractNumId="3">
    <w:nsid w:val="FF3D3304"/>
    <w:multiLevelType w:val="singleLevel"/>
    <w:tmpl w:val="FF3D3304"/>
    <w:lvl w:ilvl="0" w:tentative="0">
      <w:start w:val="1"/>
      <w:numFmt w:val="decimal"/>
      <w:lvlText w:val="%1."/>
      <w:lvlJc w:val="left"/>
      <w:pPr>
        <w:tabs>
          <w:tab w:val="left" w:pos="425"/>
        </w:tabs>
        <w:ind w:left="425" w:leftChars="0" w:hanging="425" w:firstLineChars="0"/>
      </w:pPr>
      <w:rPr>
        <w:rFonts w:hint="default"/>
      </w:rPr>
    </w:lvl>
  </w:abstractNum>
  <w:abstractNum w:abstractNumId="4">
    <w:nsid w:val="00000001"/>
    <w:multiLevelType w:val="singleLevel"/>
    <w:tmpl w:val="00000001"/>
    <w:lvl w:ilvl="0" w:tentative="0">
      <w:start w:val="1"/>
      <w:numFmt w:val="decimal"/>
      <w:lvlText w:val="%1."/>
      <w:lvlJc w:val="left"/>
      <w:pPr>
        <w:spacing w:line="360" w:lineRule="auto"/>
        <w:ind w:left="720" w:hanging="360"/>
      </w:pPr>
    </w:lvl>
  </w:abstractNum>
  <w:abstractNum w:abstractNumId="5">
    <w:nsid w:val="7FED7726"/>
    <w:multiLevelType w:val="singleLevel"/>
    <w:tmpl w:val="7FED7726"/>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0"/>
  </w:num>
  <w:num w:numId="4">
    <w:abstractNumId w:val="5"/>
  </w:num>
  <w:num w:numId="5">
    <w:abstractNumId w:val="1"/>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3C36EF"/>
    <w:rsid w:val="01E379D6"/>
    <w:rsid w:val="05E1050B"/>
    <w:rsid w:val="06316315"/>
    <w:rsid w:val="06E27CD9"/>
    <w:rsid w:val="17042F5A"/>
    <w:rsid w:val="173370CB"/>
    <w:rsid w:val="17DF189D"/>
    <w:rsid w:val="19353964"/>
    <w:rsid w:val="1F3C63CC"/>
    <w:rsid w:val="22EA5CE4"/>
    <w:rsid w:val="22F3237A"/>
    <w:rsid w:val="257F19DB"/>
    <w:rsid w:val="26063061"/>
    <w:rsid w:val="26E92BE5"/>
    <w:rsid w:val="270C51C5"/>
    <w:rsid w:val="27FFD3BD"/>
    <w:rsid w:val="287C746C"/>
    <w:rsid w:val="2BE21CDC"/>
    <w:rsid w:val="2C0E7F06"/>
    <w:rsid w:val="32F30AE2"/>
    <w:rsid w:val="33CE5BC6"/>
    <w:rsid w:val="379344BE"/>
    <w:rsid w:val="37F741E2"/>
    <w:rsid w:val="38BFA1AD"/>
    <w:rsid w:val="3A1553DE"/>
    <w:rsid w:val="3D962926"/>
    <w:rsid w:val="40D70300"/>
    <w:rsid w:val="414F176A"/>
    <w:rsid w:val="47D32E64"/>
    <w:rsid w:val="4CC83045"/>
    <w:rsid w:val="4F7E98D4"/>
    <w:rsid w:val="512F2929"/>
    <w:rsid w:val="519F051A"/>
    <w:rsid w:val="55FFFCDF"/>
    <w:rsid w:val="57CB1AC4"/>
    <w:rsid w:val="5A126D51"/>
    <w:rsid w:val="5D524382"/>
    <w:rsid w:val="5EEB7716"/>
    <w:rsid w:val="5FFFBE29"/>
    <w:rsid w:val="65826D65"/>
    <w:rsid w:val="676D5251"/>
    <w:rsid w:val="67DC3695"/>
    <w:rsid w:val="67DF0285"/>
    <w:rsid w:val="6EDF07DB"/>
    <w:rsid w:val="6EDFA087"/>
    <w:rsid w:val="6EFF6767"/>
    <w:rsid w:val="6F03131A"/>
    <w:rsid w:val="72495B91"/>
    <w:rsid w:val="73D24415"/>
    <w:rsid w:val="769F1271"/>
    <w:rsid w:val="77286C33"/>
    <w:rsid w:val="78F10885"/>
    <w:rsid w:val="7AFEF114"/>
    <w:rsid w:val="8DDEAB68"/>
    <w:rsid w:val="AEF73574"/>
    <w:rsid w:val="DA76AD1F"/>
    <w:rsid w:val="DC7503E2"/>
    <w:rsid w:val="DF675BBC"/>
    <w:rsid w:val="E7E45B50"/>
    <w:rsid w:val="EDBF1771"/>
    <w:rsid w:val="F7D57FC0"/>
    <w:rsid w:val="FF751E6B"/>
    <w:rsid w:val="FFB63B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lang w:val="en-US" w:eastAsia="zh-CN" w:bidi="ar-SA"/>
    </w:rPr>
  </w:style>
  <w:style w:type="paragraph" w:styleId="2">
    <w:name w:val="heading 1"/>
    <w:next w:val="1"/>
    <w:qFormat/>
    <w:uiPriority w:val="0"/>
    <w:pPr>
      <w:outlineLvl w:val="0"/>
    </w:pPr>
    <w:rPr>
      <w:rFonts w:ascii="宋体" w:hAnsi="宋体" w:eastAsia="宋体" w:cs="宋体"/>
      <w:color w:val="2E74B5"/>
      <w:sz w:val="32"/>
      <w:szCs w:val="32"/>
      <w:lang w:val="en-US" w:eastAsia="zh-CN" w:bidi="ar-SA"/>
    </w:rPr>
  </w:style>
  <w:style w:type="paragraph" w:styleId="3">
    <w:name w:val="heading 2"/>
    <w:next w:val="1"/>
    <w:qFormat/>
    <w:uiPriority w:val="0"/>
    <w:pPr>
      <w:outlineLvl w:val="1"/>
    </w:pPr>
    <w:rPr>
      <w:rFonts w:ascii="宋体" w:hAnsi="宋体" w:eastAsia="宋体" w:cs="宋体"/>
      <w:color w:val="2E74B5"/>
      <w:sz w:val="26"/>
      <w:szCs w:val="26"/>
      <w:lang w:val="en-US" w:eastAsia="zh-CN" w:bidi="ar-SA"/>
    </w:rPr>
  </w:style>
  <w:style w:type="paragraph" w:styleId="4">
    <w:name w:val="heading 3"/>
    <w:next w:val="1"/>
    <w:qFormat/>
    <w:uiPriority w:val="0"/>
    <w:pPr>
      <w:outlineLvl w:val="2"/>
    </w:pPr>
    <w:rPr>
      <w:rFonts w:ascii="宋体" w:hAnsi="宋体" w:eastAsia="宋体" w:cs="宋体"/>
      <w:color w:val="1F4D78"/>
      <w:sz w:val="24"/>
      <w:szCs w:val="24"/>
      <w:lang w:val="en-US" w:eastAsia="zh-CN" w:bidi="ar-SA"/>
    </w:rPr>
  </w:style>
  <w:style w:type="paragraph" w:styleId="5">
    <w:name w:val="heading 4"/>
    <w:next w:val="1"/>
    <w:qFormat/>
    <w:uiPriority w:val="0"/>
    <w:pPr>
      <w:outlineLvl w:val="3"/>
    </w:pPr>
    <w:rPr>
      <w:rFonts w:ascii="宋体" w:hAnsi="宋体" w:eastAsia="宋体" w:cs="宋体"/>
      <w:i/>
      <w:iCs/>
      <w:color w:val="2E74B5"/>
      <w:sz w:val="24"/>
      <w:szCs w:val="24"/>
      <w:lang w:val="en-US" w:eastAsia="zh-CN" w:bidi="ar-SA"/>
    </w:rPr>
  </w:style>
  <w:style w:type="paragraph" w:styleId="6">
    <w:name w:val="heading 5"/>
    <w:next w:val="1"/>
    <w:qFormat/>
    <w:uiPriority w:val="0"/>
    <w:pPr>
      <w:outlineLvl w:val="4"/>
    </w:pPr>
    <w:rPr>
      <w:rFonts w:ascii="宋体" w:hAnsi="宋体" w:eastAsia="宋体" w:cs="宋体"/>
      <w:color w:val="2E74B5"/>
      <w:sz w:val="24"/>
      <w:szCs w:val="24"/>
      <w:lang w:val="en-US" w:eastAsia="zh-CN" w:bidi="ar-SA"/>
    </w:rPr>
  </w:style>
  <w:style w:type="paragraph" w:styleId="7">
    <w:name w:val="heading 6"/>
    <w:next w:val="1"/>
    <w:qFormat/>
    <w:uiPriority w:val="0"/>
    <w:pPr>
      <w:outlineLvl w:val="5"/>
    </w:pPr>
    <w:rPr>
      <w:rFonts w:ascii="宋体" w:hAnsi="宋体" w:eastAsia="宋体" w:cs="宋体"/>
      <w:color w:val="1F4D78"/>
      <w:sz w:val="24"/>
      <w:szCs w:val="24"/>
      <w:lang w:val="en-US" w:eastAsia="zh-CN" w:bidi="ar-SA"/>
    </w:rPr>
  </w:style>
  <w:style w:type="character" w:default="1" w:styleId="17">
    <w:name w:val="Default Paragraph Font"/>
    <w:uiPriority w:val="1"/>
  </w:style>
  <w:style w:type="table" w:default="1" w:styleId="16">
    <w:name w:val="Normal Table"/>
    <w:qFormat/>
    <w:uiPriority w:val="99"/>
    <w:pPr>
      <w:keepNext w:val="0"/>
      <w:keepLines w:val="0"/>
      <w:widowControl/>
      <w:suppressLineNumbers w:val="0"/>
      <w:spacing w:before="0" w:beforeAutospacing="0" w:after="160" w:afterAutospacing="0" w:line="276" w:lineRule="auto"/>
      <w:ind w:left="0" w:right="0"/>
    </w:pPr>
    <w:rPr>
      <w:rFonts w:hint="eastAsia" w:ascii="等线" w:hAnsi="等线" w:eastAsia="等线" w:cs="等线"/>
      <w:kern w:val="2"/>
      <w:sz w:val="22"/>
      <w:szCs w:val="24"/>
    </w:rPr>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endnote text"/>
    <w:link w:val="23"/>
    <w:qFormat/>
    <w:uiPriority w:val="99"/>
    <w:rPr>
      <w:rFonts w:ascii="宋体" w:hAnsi="宋体" w:eastAsia="宋体" w:cs="宋体"/>
      <w:lang w:val="en-US" w:eastAsia="zh-CN" w:bidi="ar-SA"/>
    </w:r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uiPriority w:val="0"/>
  </w:style>
  <w:style w:type="paragraph" w:styleId="13">
    <w:name w:val="footnote text"/>
    <w:link w:val="22"/>
    <w:qFormat/>
    <w:uiPriority w:val="99"/>
    <w:rPr>
      <w:rFonts w:ascii="宋体" w:hAnsi="宋体" w:eastAsia="宋体" w:cs="宋体"/>
      <w:lang w:val="en-US" w:eastAsia="zh-CN" w:bidi="ar-SA"/>
    </w:rPr>
  </w:style>
  <w:style w:type="paragraph" w:styleId="14">
    <w:name w:val="toc 2"/>
    <w:basedOn w:val="1"/>
    <w:next w:val="1"/>
    <w:uiPriority w:val="0"/>
    <w:pPr>
      <w:ind w:left="420" w:leftChars="200"/>
    </w:pPr>
  </w:style>
  <w:style w:type="paragraph" w:styleId="15">
    <w:name w:val="Title"/>
    <w:qFormat/>
    <w:uiPriority w:val="0"/>
    <w:rPr>
      <w:rFonts w:ascii="宋体" w:hAnsi="宋体" w:eastAsia="宋体" w:cs="宋体"/>
      <w:sz w:val="56"/>
      <w:szCs w:val="56"/>
      <w:lang w:val="en-US" w:eastAsia="zh-CN" w:bidi="ar-SA"/>
    </w:rPr>
  </w:style>
  <w:style w:type="character" w:styleId="18">
    <w:name w:val="endnote reference"/>
    <w:qFormat/>
    <w:uiPriority w:val="99"/>
    <w:rPr>
      <w:vertAlign w:val="superscript"/>
    </w:rPr>
  </w:style>
  <w:style w:type="character" w:styleId="19">
    <w:name w:val="Hyperlink"/>
    <w:qFormat/>
    <w:uiPriority w:val="99"/>
    <w:rPr>
      <w:color w:val="0563C1"/>
      <w:u w:val="single"/>
    </w:rPr>
  </w:style>
  <w:style w:type="character" w:styleId="20">
    <w:name w:val="footnote reference"/>
    <w:qFormat/>
    <w:uiPriority w:val="99"/>
    <w:rPr>
      <w:vertAlign w:val="superscript"/>
    </w:rPr>
  </w:style>
  <w:style w:type="paragraph" w:styleId="21">
    <w:name w:val="List Paragraph"/>
    <w:qFormat/>
    <w:uiPriority w:val="0"/>
    <w:rPr>
      <w:rFonts w:ascii="宋体" w:hAnsi="宋体" w:eastAsia="宋体" w:cs="宋体"/>
      <w:sz w:val="24"/>
      <w:szCs w:val="24"/>
      <w:lang w:val="en-US" w:eastAsia="zh-CN" w:bidi="ar-SA"/>
    </w:rPr>
  </w:style>
  <w:style w:type="character" w:customStyle="1" w:styleId="22">
    <w:name w:val="脚注文本 字符"/>
    <w:link w:val="13"/>
    <w:qFormat/>
    <w:uiPriority w:val="99"/>
    <w:rPr>
      <w:sz w:val="20"/>
      <w:szCs w:val="20"/>
    </w:rPr>
  </w:style>
  <w:style w:type="character" w:customStyle="1" w:styleId="23">
    <w:name w:val="尾注文本 字符"/>
    <w:link w:val="9"/>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A1B430-0B48-426F-83DA-FB36A2A0D3EC}">
  <ds:schemaRefs/>
</ds:datastoreItem>
</file>

<file path=docProps/app.xml><?xml version="1.0" encoding="utf-8"?>
<Properties xmlns="http://schemas.openxmlformats.org/officeDocument/2006/extended-properties" xmlns:vt="http://schemas.openxmlformats.org/officeDocument/2006/docPropsVTypes">
  <Pages>15</Pages>
  <Words>5605</Words>
  <Characters>5828</Characters>
  <Paragraphs>343</Paragraphs>
  <TotalTime>0</TotalTime>
  <ScaleCrop>false</ScaleCrop>
  <LinksUpToDate>false</LinksUpToDate>
  <CharactersWithSpaces>5887</CharactersWithSpaces>
  <Application>WPS Office WWO_wpscloud_20260331155403-5956e8b171</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2026-04-08T22:56:00Z</dcterms:created>
  <dc:creator>Un-named</dc:creator>
  <cp:lastModifiedBy>WPS_1689172079</cp:lastModifiedBy>
  <dcterms:modified xsi:type="dcterms:W3CDTF">2026-04-10T17:46:55Z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eyJoZGlkIjoiNDUwMTFkMDI3ZjBmZjczM2Q3M2EwOGI5M2VjYzUzMDkiLCJ1c2VySWQiOiIxNTEzMjkzMDU3In0=</vt:lpwstr>
  </property>
  <property fmtid="{D5CDD505-2E9C-101B-9397-08002B2CF9AE}" pid="3" name="KSOProductBuildVer">
    <vt:lpwstr>2052-12.9.0.25863</vt:lpwstr>
  </property>
  <property fmtid="{D5CDD505-2E9C-101B-9397-08002B2CF9AE}" pid="4" name="ICV">
    <vt:lpwstr>8061BBDA331037B00FC7D869B2FC011C_43</vt:lpwstr>
  </property>
</Properties>
</file>