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0D69" w14:textId="3AE8F251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企业购入原材料一批，价款未付，该业务会引起——</w:t>
      </w:r>
      <w:r w:rsidRPr="00CA4F1C">
        <w:rPr>
          <w:color w:val="EE0000"/>
        </w:rPr>
        <w:t>资产增加，负债增加</w:t>
      </w:r>
    </w:p>
    <w:p w14:paraId="732730DC" w14:textId="3C561A64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下列各项中，不能作为原始凭证的是——</w:t>
      </w:r>
      <w:r w:rsidRPr="00CA4F1C">
        <w:rPr>
          <w:color w:val="EE0000"/>
        </w:rPr>
        <w:t>银行对账单</w:t>
      </w:r>
    </w:p>
    <w:p w14:paraId="418A5F35" w14:textId="2DAC12EF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企业从银行提取现金，应编制——</w:t>
      </w:r>
      <w:r w:rsidRPr="00CA4F1C">
        <w:rPr>
          <w:color w:val="EE0000"/>
        </w:rPr>
        <w:t>银行存款付款凭证</w:t>
      </w:r>
    </w:p>
    <w:p w14:paraId="747354AF" w14:textId="5F6BC8ED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下列各项中，属于账实核对的是——</w:t>
      </w:r>
      <w:r w:rsidRPr="00CA4F1C">
        <w:rPr>
          <w:color w:val="EE0000"/>
        </w:rPr>
        <w:t>银行存款日记账与银行对账单核对</w:t>
      </w:r>
    </w:p>
    <w:p w14:paraId="0784B504" w14:textId="62082D3A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管理的首要职能是——</w:t>
      </w:r>
      <w:r w:rsidRPr="00CA4F1C">
        <w:rPr>
          <w:color w:val="EE0000"/>
        </w:rPr>
        <w:t>计划</w:t>
      </w:r>
    </w:p>
    <w:p w14:paraId="0920FC40" w14:textId="7A6059BD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某企业制定了"在未来3年内，实现年</w:t>
      </w:r>
      <w:r w:rsidR="00241EC7">
        <w:rPr>
          <w:rFonts w:hint="eastAsia"/>
        </w:rPr>
        <w:t>c</w:t>
      </w:r>
      <w:r w:rsidRPr="00CA4F1C">
        <w:t>额增长20%!"的目标，该目标属于——</w:t>
      </w:r>
      <w:r w:rsidRPr="00CA4F1C">
        <w:rPr>
          <w:color w:val="EE0000"/>
        </w:rPr>
        <w:t>战略目标</w:t>
      </w:r>
    </w:p>
    <w:p w14:paraId="5179D3A7" w14:textId="51284F8A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下列组织结构形式中，适用于规模小、业务简单的企业的是——</w:t>
      </w:r>
      <w:r w:rsidRPr="00CA4F1C">
        <w:rPr>
          <w:color w:val="EE0000"/>
        </w:rPr>
        <w:t>直线制</w:t>
      </w:r>
    </w:p>
    <w:p w14:paraId="49B9948B" w14:textId="76A3D48D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下列不属于激励理论中内容型激励理论的是——</w:t>
      </w:r>
      <w:r w:rsidRPr="00CA4F1C">
        <w:rPr>
          <w:color w:val="EE0000"/>
        </w:rPr>
        <w:t>期望理论</w:t>
      </w:r>
    </w:p>
    <w:p w14:paraId="6F848165" w14:textId="54FF9324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期望理论中，激励力=期望值×——</w:t>
      </w:r>
      <w:r w:rsidRPr="00CA4F1C">
        <w:rPr>
          <w:color w:val="EE0000"/>
        </w:rPr>
        <w:t>效价</w:t>
      </w:r>
    </w:p>
    <w:p w14:paraId="4964E4EB" w14:textId="20DF395D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矩阵制组织结构的主要缺点是——</w:t>
      </w:r>
      <w:r w:rsidRPr="00CA4F1C">
        <w:rPr>
          <w:color w:val="EE0000"/>
        </w:rPr>
        <w:t>双重领导</w:t>
      </w:r>
    </w:p>
    <w:p w14:paraId="3EAEF47F" w14:textId="72FC171B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下列各项中，属于会计职业道德"廉洁自律"基本要求的是——</w:t>
      </w:r>
      <w:r w:rsidRPr="00CA4F1C">
        <w:rPr>
          <w:color w:val="EE0000"/>
        </w:rPr>
        <w:t>树立正确的人生观和价值观</w:t>
      </w:r>
    </w:p>
    <w:p w14:paraId="58E67FE8" w14:textId="1ECAA0DE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会计人员继续教育的内容不包括——</w:t>
      </w:r>
      <w:r w:rsidRPr="00CA4F1C">
        <w:rPr>
          <w:color w:val="EE0000"/>
        </w:rPr>
        <w:t>会计基础核算方法</w:t>
      </w:r>
    </w:p>
    <w:p w14:paraId="1DC5C3F8" w14:textId="374321F3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下列各项中，不属于会计职业道德教育途径的是——</w:t>
      </w:r>
      <w:r w:rsidRPr="00CA4F1C">
        <w:rPr>
          <w:color w:val="EE0000"/>
        </w:rPr>
        <w:t>社会舆论教育</w:t>
      </w:r>
    </w:p>
    <w:p w14:paraId="46FBCF05" w14:textId="3D0EC546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下列各项中，不属于会计职业自律的是——</w:t>
      </w:r>
      <w:r w:rsidRPr="00CA4F1C">
        <w:rPr>
          <w:color w:val="EE0000"/>
        </w:rPr>
        <w:t>财政部门监管</w:t>
      </w:r>
    </w:p>
    <w:p w14:paraId="4541C90F" w14:textId="12F8F329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公司采用固定股利政策发放股利的好处主要表现在——</w:t>
      </w:r>
      <w:r w:rsidRPr="00CA4F1C">
        <w:rPr>
          <w:color w:val="EE0000"/>
        </w:rPr>
        <w:t>有利于树立公司的良好形象</w:t>
      </w:r>
    </w:p>
    <w:p w14:paraId="07CB20EA" w14:textId="546D5D57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在确定企业的利润分配政策时，应当考虑相关因素的影响，其中"资本保全约束"属于——</w:t>
      </w:r>
      <w:r w:rsidRPr="00CA4F1C">
        <w:rPr>
          <w:color w:val="EE0000"/>
        </w:rPr>
        <w:t>法律因素</w:t>
      </w:r>
    </w:p>
    <w:p w14:paraId="16BA6A08" w14:textId="1DFA8B08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t>在一般情况下，下列筹资方式中，资本成本最高的是——</w:t>
      </w:r>
      <w:r w:rsidRPr="00CA4F1C">
        <w:rPr>
          <w:color w:val="EE0000"/>
        </w:rPr>
        <w:t>发行普通股</w:t>
      </w:r>
    </w:p>
    <w:p w14:paraId="08827127" w14:textId="42BA4A14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在个别资本成本的计算中，不必考虑筹资费用影响因素的有——</w:t>
      </w:r>
      <w:r w:rsidRPr="00CA4F1C">
        <w:rPr>
          <w:color w:val="EE0000"/>
        </w:rPr>
        <w:t>留存收益成本</w:t>
      </w:r>
    </w:p>
    <w:p w14:paraId="0F3B9A25" w14:textId="286BF52C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属于无法查明原因的现金溢余，经批准后应转入的账户是——</w:t>
      </w:r>
      <w:r w:rsidRPr="00CA4F1C">
        <w:rPr>
          <w:color w:val="EE0000"/>
        </w:rPr>
        <w:t>营业外收入</w:t>
      </w:r>
    </w:p>
    <w:p w14:paraId="7C954106" w14:textId="3846BB41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品种法下，产品成本的计算期一般是——</w:t>
      </w:r>
      <w:r w:rsidRPr="00CA4F1C">
        <w:rPr>
          <w:color w:val="EE0000"/>
        </w:rPr>
        <w:t>一个月</w:t>
      </w:r>
    </w:p>
    <w:p w14:paraId="04EC7D3E" w14:textId="3A058ED1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rPr>
          <w:rFonts w:ascii="Times New Roman" w:hAnsi="Times New Roman" w:cs="Times New Roman"/>
        </w:rPr>
        <w:t>​</w:t>
      </w:r>
      <w:r w:rsidRPr="00CA4F1C">
        <w:rPr>
          <w:b/>
          <w:bCs/>
        </w:rPr>
        <w:t>下列各项中，属于负债类科目的有——</w:t>
      </w:r>
      <w:r w:rsidRPr="00CA4F1C">
        <w:rPr>
          <w:b/>
          <w:bCs/>
          <w:color w:val="EE0000"/>
        </w:rPr>
        <w:t>短期借款、应付职工薪酬、应交税费</w:t>
      </w:r>
      <w:r w:rsidRPr="00CA4F1C">
        <w:rPr>
          <w:rFonts w:ascii="Times New Roman" w:hAnsi="Times New Roman" w:cs="Times New Roman"/>
          <w:color w:val="EE0000"/>
        </w:rPr>
        <w:t>​</w:t>
      </w:r>
      <w:r>
        <w:rPr>
          <w:rFonts w:ascii="Times New Roman" w:hAnsi="Times New Roman" w:cs="Times New Roman" w:hint="eastAsia"/>
          <w:color w:val="EE0000"/>
        </w:rPr>
        <w:t>（无</w:t>
      </w:r>
      <w:r w:rsidRPr="00CA4F1C">
        <w:rPr>
          <w:rFonts w:ascii="Times New Roman" w:hAnsi="Times New Roman" w:cs="Times New Roman" w:hint="eastAsia"/>
          <w:color w:val="EE0000"/>
        </w:rPr>
        <w:t>预付账款</w:t>
      </w:r>
      <w:r>
        <w:rPr>
          <w:rFonts w:ascii="Times New Roman" w:hAnsi="Times New Roman" w:cs="Times New Roman" w:hint="eastAsia"/>
          <w:color w:val="EE0000"/>
        </w:rPr>
        <w:t>）</w:t>
      </w:r>
    </w:p>
    <w:p w14:paraId="7F8D62F3" w14:textId="12258F43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rPr>
          <w:rFonts w:ascii="Times New Roman" w:hAnsi="Times New Roman" w:cs="Times New Roman"/>
        </w:rPr>
        <w:t>​</w:t>
      </w:r>
      <w:r w:rsidRPr="00CA4F1C">
        <w:rPr>
          <w:b/>
          <w:bCs/>
        </w:rPr>
        <w:t>借贷记账法下，账户的结构包括——</w:t>
      </w:r>
      <w:r w:rsidRPr="00CA4F1C">
        <w:rPr>
          <w:b/>
          <w:bCs/>
          <w:color w:val="EE0000"/>
        </w:rPr>
        <w:t>借方、贷方、余额</w:t>
      </w:r>
      <w:r w:rsidRPr="00CA4F1C">
        <w:rPr>
          <w:rFonts w:ascii="Times New Roman" w:hAnsi="Times New Roman" w:cs="Times New Roman"/>
          <w:color w:val="EE0000"/>
        </w:rPr>
        <w:t>​</w:t>
      </w:r>
      <w:r>
        <w:rPr>
          <w:rFonts w:ascii="Times New Roman" w:hAnsi="Times New Roman" w:cs="Times New Roman" w:hint="eastAsia"/>
          <w:color w:val="EE0000"/>
        </w:rPr>
        <w:t>（无摘要）</w:t>
      </w:r>
    </w:p>
    <w:p w14:paraId="6E1A03A7" w14:textId="78D7329A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rPr>
          <w:rFonts w:ascii="Times New Roman" w:hAnsi="Times New Roman" w:cs="Times New Roman"/>
        </w:rPr>
        <w:t>​</w:t>
      </w:r>
      <w:r w:rsidRPr="00CA4F1C">
        <w:rPr>
          <w:b/>
          <w:bCs/>
        </w:rPr>
        <w:t>下列账簿中，属于按用途分类的有——</w:t>
      </w:r>
      <w:r w:rsidRPr="00CA4F1C">
        <w:rPr>
          <w:b/>
          <w:bCs/>
          <w:color w:val="EE0000"/>
        </w:rPr>
        <w:t>序时账簿、备查账簿</w:t>
      </w:r>
      <w:r w:rsidRPr="00CA4F1C">
        <w:rPr>
          <w:rFonts w:ascii="Times New Roman" w:hAnsi="Times New Roman" w:cs="Times New Roman"/>
          <w:color w:val="EE0000"/>
        </w:rPr>
        <w:t>​</w:t>
      </w:r>
    </w:p>
    <w:p w14:paraId="770B15C6" w14:textId="0A40E3C8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下列各项中，属于会计核算内容的有——</w:t>
      </w:r>
      <w:r w:rsidRPr="00CA4F1C">
        <w:rPr>
          <w:color w:val="EE0000"/>
        </w:rPr>
        <w:t>款项和有价证券的收付、财物的收发、增减和使用、债权债务的发生和结算、财务成果的计算和处理</w:t>
      </w:r>
    </w:p>
    <w:p w14:paraId="7F4F53B9" w14:textId="514CB782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t>下列各项中，影响企业营业利润的有——</w:t>
      </w:r>
      <w:r w:rsidRPr="00CA4F1C">
        <w:rPr>
          <w:color w:val="EE0000"/>
        </w:rPr>
        <w:t>主营业务收入、主营业务成本、销售费用</w:t>
      </w:r>
      <w:r>
        <w:rPr>
          <w:rFonts w:hint="eastAsia"/>
          <w:color w:val="EE0000"/>
        </w:rPr>
        <w:t>（无营业外支出）</w:t>
      </w:r>
    </w:p>
    <w:p w14:paraId="214BD7B8" w14:textId="1D0EE6D0" w:rsidR="00CA4F1C" w:rsidRPr="00CA4F1C" w:rsidRDefault="00CA4F1C" w:rsidP="00CA4F1C">
      <w:pPr>
        <w:pStyle w:val="a9"/>
        <w:numPr>
          <w:ilvl w:val="0"/>
          <w:numId w:val="1"/>
        </w:numPr>
        <w:rPr>
          <w:rFonts w:hint="eastAsia"/>
        </w:rPr>
      </w:pPr>
      <w:r w:rsidRPr="00CA4F1C">
        <w:rPr>
          <w:rFonts w:ascii="Times New Roman" w:hAnsi="Times New Roman" w:cs="Times New Roman"/>
        </w:rPr>
        <w:t>​</w:t>
      </w:r>
      <w:r w:rsidRPr="00CA4F1C">
        <w:rPr>
          <w:b/>
          <w:bCs/>
        </w:rPr>
        <w:t>下列属于激励理论</w:t>
      </w:r>
      <w:proofErr w:type="gramStart"/>
      <w:r w:rsidRPr="00CA4F1C">
        <w:rPr>
          <w:b/>
          <w:bCs/>
        </w:rPr>
        <w:t>中过程型</w:t>
      </w:r>
      <w:proofErr w:type="gramEnd"/>
      <w:r w:rsidRPr="00CA4F1C">
        <w:rPr>
          <w:b/>
          <w:bCs/>
        </w:rPr>
        <w:t>激励理论的有——</w:t>
      </w:r>
      <w:r w:rsidRPr="00CA4F1C">
        <w:rPr>
          <w:b/>
          <w:bCs/>
          <w:color w:val="EE0000"/>
        </w:rPr>
        <w:t>期望理论、公平理论、强化理论</w:t>
      </w:r>
      <w:r w:rsidRPr="00CA4F1C">
        <w:rPr>
          <w:rFonts w:ascii="Times New Roman" w:hAnsi="Times New Roman" w:cs="Times New Roman"/>
          <w:color w:val="EE0000"/>
        </w:rPr>
        <w:t>​</w:t>
      </w:r>
      <w:r>
        <w:rPr>
          <w:rFonts w:ascii="Times New Roman" w:hAnsi="Times New Roman" w:cs="Times New Roman" w:hint="eastAsia"/>
          <w:color w:val="EE0000"/>
        </w:rPr>
        <w:t>（无需求层次理论）</w:t>
      </w:r>
    </w:p>
    <w:p w14:paraId="759F7CE4" w14:textId="377703DF" w:rsidR="00CA4F1C" w:rsidRPr="00BD1171" w:rsidRDefault="00CA4F1C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 w:rsidRPr="00CA4F1C">
        <w:rPr>
          <w:rFonts w:ascii="Times New Roman" w:hAnsi="Times New Roman" w:cs="Times New Roman"/>
        </w:rPr>
        <w:t>​</w:t>
      </w:r>
      <w:r w:rsidRPr="00CA4F1C">
        <w:rPr>
          <w:b/>
          <w:bCs/>
        </w:rPr>
        <w:t>控制的基本类型包括——</w:t>
      </w:r>
      <w:r w:rsidRPr="00CA4F1C">
        <w:rPr>
          <w:b/>
          <w:bCs/>
          <w:color w:val="EE0000"/>
        </w:rPr>
        <w:t>前馈控制、现场控制、反馈控制</w:t>
      </w:r>
      <w:r>
        <w:rPr>
          <w:rFonts w:hint="eastAsia"/>
          <w:b/>
          <w:bCs/>
          <w:color w:val="EE0000"/>
        </w:rPr>
        <w:t>（无直接控制）</w:t>
      </w:r>
    </w:p>
    <w:p w14:paraId="50E9F8E4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下列属于组织变革的内容的有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结构变革、技术变革、人员变革、文化变革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3AFE323F" w14:textId="5ACAFCD2" w:rsidR="00BD1171" w:rsidRPr="00BD1171" w:rsidRDefault="00BD1171" w:rsidP="00BD1171">
      <w:pPr>
        <w:pStyle w:val="ae"/>
        <w:numPr>
          <w:ilvl w:val="0"/>
          <w:numId w:val="1"/>
        </w:numP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决策过程中，影响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“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方案选择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”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的关键因素包括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方案可行性、方案成本、决策者风险态度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（无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br/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方案制定时间</w:t>
      </w:r>
      <w:r w:rsidRPr="00BD1171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）</w:t>
      </w:r>
    </w:p>
    <w:p w14:paraId="44DA788C" w14:textId="7E341782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下列各项中，属于会计职业道德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“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爱岗敬业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”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要求的有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热爱会计工作，敬重会计职业；严肃认真，一丝不苟；忠于职守，尽职尽责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（无</w:t>
      </w:r>
      <w:r w:rsidRPr="00BD1171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保守秘密，不为利益所诱惑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）</w:t>
      </w:r>
    </w:p>
    <w:p w14:paraId="0C4F6EA6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会计职业道德教育的内容包括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会计职业道德观念教育、会计职业道德规范教育、会计职业道德警示教育、其他与会计职业道德相关的教育</w:t>
      </w:r>
    </w:p>
    <w:p w14:paraId="5E549D56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下列各项中，属于会计人员职业道德自我修养方法的有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不断地进行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"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内省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"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；要提倡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"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慎独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"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精神；虚心向先进人物学习；积极参加社会实践</w:t>
      </w:r>
    </w:p>
    <w:p w14:paraId="6F24CD92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下列各项中，属于会计职业道德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"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强化服务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"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要求的有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树立服务意识；提高服务质量；维护和提升会计职业的良好社会形象</w:t>
      </w:r>
    </w:p>
    <w:p w14:paraId="71EF585E" w14:textId="5629061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持有现金的动机有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交易动机、预防动机、投机动机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（无</w:t>
      </w:r>
      <w:r w:rsidRPr="00BD1171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转换动机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）</w:t>
      </w:r>
    </w:p>
    <w:p w14:paraId="061DF195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下列各项中，属于会计要素计量属性的有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历史成本、公允价值、现值、可变现净值</w:t>
      </w:r>
    </w:p>
    <w:p w14:paraId="45C9961A" w14:textId="7FD1E8FD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下列有关投资性房地产后续支出的表述中，正确的有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与投资性房地产有关的满足资本化条件的支出，应当计入投资性房地产成本；投资性房地产改扩建期间不计提折旧或摊销；投资性房地产日常维修费用通常计入其他业务成本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（无</w:t>
      </w:r>
      <w:r w:rsidRPr="00BD1171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投资性房地产改扩建后继续用于出租，改扩建期间资本化支出计入“在建工程”科目</w:t>
      </w:r>
      <w: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）</w:t>
      </w:r>
    </w:p>
    <w:p w14:paraId="61904D64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lastRenderedPageBreak/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下列各项中，应通过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"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利润分配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"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科目核算的有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提取法定盈余公积、用盈余公积弥补亏损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77F5EF62" w14:textId="47B568D3" w:rsidR="00BD1171" w:rsidRPr="00C13678" w:rsidRDefault="00BD1171" w:rsidP="00C13678">
      <w:pPr>
        <w:pStyle w:val="ae"/>
        <w:numPr>
          <w:ilvl w:val="0"/>
          <w:numId w:val="1"/>
        </w:numPr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下列各项中，应计入管理费用的是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企业在筹建期间发生的开办费、财务部门设备的日常修理费用、聘请中介机构费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  <w:r w:rsidR="00C13678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（无</w:t>
      </w:r>
      <w:r w:rsidR="00C13678" w:rsidRPr="00C13678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销售商品时由销售方承担的运输费</w:t>
      </w:r>
      <w:r w:rsidR="00C13678" w:rsidRPr="00C13678"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  <w:t>）</w:t>
      </w:r>
    </w:p>
    <w:p w14:paraId="30ED7EAF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分步法的特点有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成本计算对象是各种产品的生产步骤；成本计算期与会计期间一致；月末需要在完工产品和在产品之间分配费用；适用于大量大批多步骤生产的企业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2221D19F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制造费用的分配方法有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生产工时比例法、生产工人工资比例法、机器工时比例法、按年度计划分配率分配法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067396A2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期末对账时，账证核对是指将会计账簿记录与原始凭证、记账凭证核对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正确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1B667E79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期末，企业应将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“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制造费用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”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科目余额转入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“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生产成本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”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科目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正确</w:t>
      </w:r>
    </w:p>
    <w:p w14:paraId="460EB595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管理既是一门科学，又是一门艺术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正确</w:t>
      </w:r>
    </w:p>
    <w:p w14:paraId="3D58F5DD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会计职业道德教育的主要形式包括接受教育和自我修养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正确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</w:p>
    <w:p w14:paraId="18DCE5DF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控制工作的目的就是纠正偏差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错误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6D6B5388" w14:textId="77777777" w:rsid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记账人员与经济业务事项和会计事项的审批人员、经办人员、财产保管人员可以由一人担任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错误</w:t>
      </w:r>
    </w:p>
    <w:p w14:paraId="49707919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静态回收期的计算考虑了全部未来现金净流量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错误</w:t>
      </w:r>
    </w:p>
    <w:p w14:paraId="7AE2951C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在连续通货膨胀的条件下，公司应采用偏紧的股利政策</w:t>
      </w:r>
      <w:r>
        <w:rPr>
          <w:rStyle w:val="af"/>
          <w:rFonts w:ascii="Segoe UI" w:hAnsi="Segoe UI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Style w:val="af"/>
          <w:rFonts w:ascii="Segoe UI" w:hAnsi="Segoe UI" w:cs="Segoe UI"/>
          <w:color w:val="EE0000"/>
          <w:sz w:val="21"/>
          <w:szCs w:val="21"/>
          <w:bdr w:val="none" w:sz="0" w:space="0" w:color="auto" w:frame="1"/>
        </w:rPr>
        <w:t>正确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​</w:t>
      </w:r>
    </w:p>
    <w:p w14:paraId="617F5BFD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现金流量表中的现金流量分为经营活动现金流量、投资活动现金流量和筹资活动现金流量三类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正确</w:t>
      </w:r>
    </w:p>
    <w:p w14:paraId="6DF8ECD2" w14:textId="77777777" w:rsidR="00BD1171" w:rsidRPr="00BD1171" w:rsidRDefault="00BD1171" w:rsidP="00BD1171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辅助生产费用的交互分配法，需要进行两次分配，第一次是在各辅助生产车间之间进行分配，第二次是在辅助生产车间以外的各受益单位之间进行分配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BD1171">
        <w:rPr>
          <w:rFonts w:ascii="inherit" w:hAnsi="inherit" w:cs="Segoe UI"/>
          <w:color w:val="EE0000"/>
          <w:sz w:val="21"/>
          <w:szCs w:val="21"/>
          <w:bdr w:val="none" w:sz="0" w:space="0" w:color="auto" w:frame="1"/>
        </w:rPr>
        <w:t>正确</w:t>
      </w:r>
    </w:p>
    <w:p w14:paraId="2176A8B5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下列账簿中必须采用订本式账簿的是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现金日记账</w:t>
      </w:r>
    </w:p>
    <w:p w14:paraId="6032F0CF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企业月末结转已销售产品成本，应借记的会计科目是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主营业务成本</w:t>
      </w:r>
    </w:p>
    <w:p w14:paraId="1D4D12DD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下列属于程序化决策的是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日常生产调度决策</w:t>
      </w:r>
    </w:p>
    <w:p w14:paraId="30D95DB6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对于未按照规定建立并实施单位内部会计监督制度的单位，县级以上人民政府财政部门责令限期改正，并可以对单位处以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3000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元以上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5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万元以下的罚款</w:t>
      </w:r>
    </w:p>
    <w:p w14:paraId="1DECD627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剩余股利政策的优点是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有利于实现企业价值长期最大化</w:t>
      </w:r>
    </w:p>
    <w:p w14:paraId="21E05124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财务杠杆给企业带来的风险是指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proofErr w:type="gramStart"/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息</w:t>
      </w:r>
      <w:proofErr w:type="gramEnd"/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税前利润变动导致每股收益更大变动</w:t>
      </w:r>
    </w:p>
    <w:p w14:paraId="359583AE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下列资产负债表项目中，应根据多个总账科目余额计算填列的是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货币资金</w:t>
      </w:r>
    </w:p>
    <w:p w14:paraId="43E98D7E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下列各项中，不会导致企业实收资本增加的有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接受非流动资产捐赠</w:t>
      </w:r>
    </w:p>
    <w:p w14:paraId="71E5E819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下列成本计算方法中，适用于大量大批多步骤生产，且管理上要求分步计算成本的企业的是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分步法</w:t>
      </w:r>
    </w:p>
    <w:p w14:paraId="1C05F24F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下列各项中，属于变动成本的是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生产工人计件工资</w:t>
      </w:r>
    </w:p>
    <w:p w14:paraId="2B2D717B" w14:textId="06B07FAA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企业期末结账时，应将科目转入本年利润科目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主营业务收入、主营业务成本、其他业务成本</w:t>
      </w:r>
      <w:r w:rsid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（无利润分配）</w:t>
      </w:r>
    </w:p>
    <w:p w14:paraId="096738AE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下列各项中，属于会计核算内容的有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款项和有价证券的收付、财物的收发、增减和使用、债权债务的发生和结算、财务成果的计算和处理</w:t>
      </w:r>
    </w:p>
    <w:p w14:paraId="57F61924" w14:textId="6F90547A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下列各项中，属于会计账簿基本内容的有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封面、扉页、账页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  <w:r w:rsid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（无凭证字号）</w:t>
      </w:r>
    </w:p>
    <w:p w14:paraId="172F612F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下列属于领导理论中行为理论的有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领导方格理论、四分</w:t>
      </w:r>
      <w:proofErr w:type="gramStart"/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图理论</w:t>
      </w:r>
      <w:proofErr w:type="gramEnd"/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</w:p>
    <w:p w14:paraId="0FAFF928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下列属于双因素理论中激励因素的有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工作本身、成就感、责任感、晋升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</w:p>
    <w:p w14:paraId="6CF62608" w14:textId="3F802C83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组织文化的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"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精神层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"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内容包括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组织价值观、组织使命、组织规章制度、</w:t>
      </w:r>
      <w:r w:rsidR="0058646F">
        <w:rPr>
          <w:rStyle w:val="af"/>
          <w:rFonts w:ascii="Segoe UI" w:hAnsi="Segoe UI" w:cs="Segoe UI" w:hint="eastAsia"/>
          <w:color w:val="EE0000"/>
          <w:sz w:val="23"/>
          <w:szCs w:val="23"/>
          <w:bdr w:val="none" w:sz="0" w:space="0" w:color="auto" w:frame="1"/>
        </w:rPr>
        <w:t>（无</w:t>
      </w:r>
      <w:r w:rsidRPr="00C13678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组织经营哲学</w:t>
      </w:r>
      <w:r w:rsidR="0058646F">
        <w:rPr>
          <w:rStyle w:val="af"/>
          <w:rFonts w:ascii="Segoe UI" w:hAnsi="Segoe UI" w:cs="Segoe UI" w:hint="eastAsia"/>
          <w:color w:val="EE0000"/>
          <w:sz w:val="23"/>
          <w:szCs w:val="23"/>
          <w:bdr w:val="none" w:sz="0" w:space="0" w:color="auto" w:frame="1"/>
        </w:rPr>
        <w:t>）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</w:p>
    <w:p w14:paraId="3A1DEB15" w14:textId="007ADEE1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组织变革中，可能面临的个人阻力包括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利益受损、习惯改变、对未来不确定</w:t>
      </w:r>
      <w:r w:rsid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（无组织层级过多）</w:t>
      </w:r>
    </w:p>
    <w:p w14:paraId="28D046F1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下列关于会计职业道德与会计法律制度区别的表述中，正确的有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性质不同、作用范围不同、表现形式不同、实施保障机制不同</w:t>
      </w:r>
    </w:p>
    <w:p w14:paraId="593E5BDF" w14:textId="77777777" w:rsidR="00C13678" w:rsidRP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下列各项中，属于违反会计法律制度行为的有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C13678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不依法设置会计账簿、私设会计账簿、未按照规定填制、取得原始凭证或者填制、取得的原始凭证不符合规定、随意变更会计处理方法</w:t>
      </w:r>
    </w:p>
    <w:p w14:paraId="59E6D837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下列各项中，属于会计职业道德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强化服务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要求的有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树立服务意识、提高服务质量、维护和提升会计职业的良好社会形象、努力维护和提升会计职业的良好社会形象</w:t>
      </w:r>
    </w:p>
    <w:p w14:paraId="08019FB5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股利的主要类型有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现金股利、股票股利、财产股利、负债股利</w:t>
      </w:r>
    </w:p>
    <w:p w14:paraId="4158A18B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下列各项中，影响财务杠杆系数的因素有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销售额、变动成本、固定成本、利息费用</w:t>
      </w:r>
    </w:p>
    <w:p w14:paraId="003A3395" w14:textId="759778B9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下列各项中，影响固定资产折旧额的因素有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固定资产的原始价值、固定资产的预计净残值、固定资产的使用年限</w:t>
      </w:r>
      <w:r w:rsid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（无</w:t>
      </w:r>
      <w:r w:rsidR="0058646F" w:rsidRP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固定资产的使用性能</w:t>
      </w:r>
      <w:r w:rsidR="0058646F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）</w:t>
      </w:r>
    </w:p>
    <w:p w14:paraId="53D985B0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下列各项中，不属于企业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财务费用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科目核算内容的有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满足资本化条件的利息支出、筹建期间符合资本化条件的利息支出</w:t>
      </w:r>
    </w:p>
    <w:p w14:paraId="5AEA915F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下列各项中，属于生产费用在完工产品和在产品之间分配方法的有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在产品按固定成本计价法、在产品按所耗直接材料成本计价法、约当产量比例法、定额比例法</w:t>
      </w:r>
    </w:p>
    <w:p w14:paraId="73D7C8F8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分批法的特点有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成本计算对象是产品的批别、成本计算期与产品生产周期基本一致、一般不需要在完工产品和在产品之间分配费用、适用于单件、小批生产的企业</w:t>
      </w:r>
    </w:p>
    <w:p w14:paraId="3845BBAB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下列各项中，属于变动成本特点的有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总额随业务量的变动而成正比例变动、单位变动成本不变</w:t>
      </w:r>
    </w:p>
    <w:p w14:paraId="663D6669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试算平衡表中借贷方发生额相等，说明记账一定正确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5C8EBB6F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程序化决策是指那些重复出现、有固定处理程序的决策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正确</w:t>
      </w:r>
    </w:p>
    <w:p w14:paraId="6AB983BD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会计人员继续教育是强化会计职业道德教育的唯一途径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69FFD182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试算平衡表中借贷方发生额相等，说明贷方记账一定正确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16155EFE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静态回收期的计算考虑了全部未来现金净流量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4CE9E5ED" w14:textId="77777777" w:rsidR="00C13678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在连续通货膨胀的条件下，公司应采用偏紧的股利政策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正确</w:t>
      </w:r>
    </w:p>
    <w:p w14:paraId="4426A304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资产负债表中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“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长期借款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”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项目直接根据长期借款总账科目余额填列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1948BC34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企业本年实现的净利润，应首先弥补以前年度尚未弥补的亏损，然后再提取盈余公积和向投资者分配利润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正确</w:t>
      </w:r>
    </w:p>
    <w:p w14:paraId="1668D203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直接材料是指直接用于产品生产，构成产品实体的原材料、主要材料以及有助于产品形成的辅助材料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正确</w:t>
      </w:r>
    </w:p>
    <w:p w14:paraId="4E4D7CA1" w14:textId="77777777" w:rsidR="00C13678" w:rsidRPr="0058646F" w:rsidRDefault="00C13678" w:rsidP="00C13678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分步法下，无论是逐步结转分步法还是平行结转分步法，都需要进行成本还原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58646F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错误</w:t>
      </w:r>
    </w:p>
    <w:p w14:paraId="67955E7D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bookmarkStart w:id="0" w:name="OLE_LINK1"/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2025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年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月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10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日，甲公司支付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600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万元取得一项股权投资作为交易性金融资产核算，支付价款中包括已宣告但尚未领取的现金股利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20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万元，另支付交易费用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5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万元。则甲公司该项交易性金融资产的入账价值为（）万元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580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6856BF71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下列各项资产中，符合固定资产的定义是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制造企业拥有的厂房</w:t>
      </w:r>
    </w:p>
    <w:p w14:paraId="62FB50AE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通常称个人在待人接物时所表现出的道德修养为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礼貌</w:t>
      </w:r>
    </w:p>
    <w:p w14:paraId="5E52FC00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进行职业道德教育可以从观念到观念，从理论到理论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错误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309A6F35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道德意志是指个人的某种道德行为已成为反复持久的生活惯例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错误</w:t>
      </w:r>
    </w:p>
    <w:p w14:paraId="2FA90A9D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  <w:r w:rsidRPr="00241EC7">
        <w:rPr>
          <w:rStyle w:val="af"/>
          <w:rFonts w:ascii="Segoe UI" w:hAnsi="Segoe UI" w:cs="Segoe UI"/>
          <w:sz w:val="23"/>
          <w:szCs w:val="23"/>
          <w:bdr w:val="none" w:sz="0" w:space="0" w:color="auto" w:frame="1"/>
        </w:rPr>
        <w:t>反应职业道德现象本质特征，对具体职业道德现象进行抽象概况的是</w:t>
      </w:r>
      <w:r w:rsidRPr="00241EC7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—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</w:t>
      </w:r>
      <w:r w:rsidRPr="00241EC7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职业道德观念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0308F205" w14:textId="77777777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结转辅助生产完工产品成本和劳务成本时，可能借记的账户是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原材料、管理费用、制造费用、周转材料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09395A26" w14:textId="1C1C330F" w:rsidR="00241EC7" w:rsidRPr="00241EC7" w:rsidRDefault="00241EC7" w:rsidP="00241EC7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职业道德的本质是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241EC7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社会经济关系所决定的社会意识形态；职业活动对职业行为的道德要求，与职业活动的要求密切相连；调节职业活动形成的各种职业关系的手段</w:t>
      </w:r>
      <w:r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  <w:t>（无经济基础决定上层建筑）</w:t>
      </w:r>
    </w:p>
    <w:p w14:paraId="72F1616C" w14:textId="77777777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县级以上人民政府财政部门对会计工作实施的监督检查不包括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会计人员的专业技术资格</w:t>
      </w:r>
    </w:p>
    <w:p w14:paraId="31335489" w14:textId="481C1BC2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下列选项中，属于直线职能制组织结构优点的有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分工明确、统一指挥</w:t>
      </w:r>
      <w:r w:rsidR="00351D1A">
        <w:rPr>
          <w:rFonts w:ascii="inherit" w:hAnsi="inherit" w:cs="Segoe UI" w:hint="eastAsia"/>
          <w:color w:val="C00000"/>
          <w:sz w:val="21"/>
          <w:szCs w:val="21"/>
          <w:bdr w:val="none" w:sz="0" w:space="0" w:color="auto" w:frame="1"/>
        </w:rPr>
        <w:t>（无利息的支付）</w:t>
      </w:r>
    </w:p>
    <w:p w14:paraId="193EDF9E" w14:textId="77777777" w:rsidR="00DA0311" w:rsidRP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下列属于投资项目现金流量的构成的有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初始现金流量、营业现金流量、终结现金流量</w:t>
      </w:r>
    </w:p>
    <w:p w14:paraId="1C156DB1" w14:textId="77777777" w:rsidR="00DA0311" w:rsidRP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在其他因素不变的情况下，固定成本越高，则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经营风险越大、经营杠杆系数越大</w:t>
      </w:r>
    </w:p>
    <w:p w14:paraId="7D1DE91A" w14:textId="77777777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下列项目中，不属于资本成本中筹资费用内容的有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债券利息、股利</w:t>
      </w:r>
    </w:p>
    <w:p w14:paraId="7F84876C" w14:textId="77777777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下列各项中，属于本企业资产核算范围的有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预付账款、在途物资</w:t>
      </w:r>
    </w:p>
    <w:p w14:paraId="1A4C398A" w14:textId="77777777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下列各项中，影响产品成本的因素有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材料价格、材料消耗数量、人工效率、人工工资率</w:t>
      </w:r>
    </w:p>
    <w:p w14:paraId="79482DFC" w14:textId="77777777" w:rsidR="00DA0311" w:rsidRDefault="00DA0311" w:rsidP="00DA0311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制造费用属于间接费用，应按一定的标准分配计入各种产品成本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DA0311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正确</w:t>
      </w:r>
    </w:p>
    <w:p w14:paraId="2B03ABC4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控制工作的首要步骤是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确定控制标准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46E15678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下列关于会计职业道德与会计法律制度关系的表述中，不正确的是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会计职业道德是会计法律制度的最低要求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4DBF1262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某企业会计人员在结账前发现账簿记录中一笔业务的金额多记了，记账凭证无误，正确的更正方法是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划线更正法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36311CCF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下列不属于静态投资回收期缺点的是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无法直接利用净现金流量信息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152AF78F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企业资本结构最佳时，应该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资本成本最低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2C67F1EE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企业摊销无形资产时，借方登记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“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管理费用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”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，贷方是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累计摊</w:t>
      </w:r>
      <w:proofErr w:type="gramStart"/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销账户</w:t>
      </w:r>
      <w:proofErr w:type="gramEnd"/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2AB90E28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下列不属于投资性房地产核算范围的有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企业将租入的办公楼再次转租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1860CE14" w14:textId="77777777" w:rsid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下列各项中，不属于成本会计核算对象的是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营业外支出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</w:p>
    <w:p w14:paraId="54CE9BEC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下列属于记账凭证审核内容的有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内容是否真实、科目是否正确、金额是否正确、书写是否规范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15409197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下列各项中，属于财政部门对会计工作监督检查内容的有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是否依法设置会计账簿、会计凭证等资料是否真实完整、会计核算是否符合规定、会计人员是否具备能力并遵守职业道德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691E1410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组织文化一旦形成，就不会发生变化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错误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41F48B38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一般情况下，使某投资方案的净现值小于零的贴现率，一定高于该投资方案的内含报酬率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正确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5D8DC247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股权登记日是指有权领取股利的股东进行资格登记的日期。只有在股权登记日后登记在公司股东名册上的股东权分享股利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错误</w:t>
      </w:r>
      <w:r w:rsidRPr="00351D1A">
        <w:rPr>
          <w:rFonts w:ascii="inherit" w:hAnsi="inherit" w:cs="Segoe UI"/>
          <w:color w:val="C00000"/>
          <w:sz w:val="23"/>
          <w:szCs w:val="23"/>
          <w:bdr w:val="none" w:sz="0" w:space="0" w:color="auto" w:frame="1"/>
        </w:rPr>
        <w:t>​</w:t>
      </w:r>
    </w:p>
    <w:p w14:paraId="2262FCF4" w14:textId="77777777" w:rsidR="00351D1A" w:rsidRPr="00351D1A" w:rsidRDefault="00351D1A" w:rsidP="00351D1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 w:hint="eastAsia"/>
          <w:color w:val="C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成本会计的对象是企业生产经营过程中发生的全部费用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351D1A">
        <w:rPr>
          <w:rStyle w:val="af"/>
          <w:rFonts w:ascii="Segoe UI" w:hAnsi="Segoe UI" w:cs="Segoe UI"/>
          <w:color w:val="C00000"/>
          <w:sz w:val="23"/>
          <w:szCs w:val="23"/>
          <w:bdr w:val="none" w:sz="0" w:space="0" w:color="auto" w:frame="1"/>
        </w:rPr>
        <w:t>错误</w:t>
      </w:r>
    </w:p>
    <w:p w14:paraId="21B9FA97" w14:textId="77777777" w:rsidR="00351D1A" w:rsidRDefault="00351D1A" w:rsidP="00351D1A">
      <w:pPr>
        <w:pStyle w:val="ae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Segoe UI" w:hint="eastAsia"/>
          <w:color w:val="000000"/>
          <w:sz w:val="21"/>
          <w:szCs w:val="21"/>
          <w:bdr w:val="none" w:sz="0" w:space="0" w:color="auto" w:frame="1"/>
        </w:rPr>
      </w:pP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品种法是成本计算方法中最基本的方法，其他成本计算方法都是在此基础上发展而来的</w:t>
      </w:r>
      <w:r>
        <w:rPr>
          <w:rFonts w:ascii="inherit" w:hAnsi="inherit" w:cs="Segoe UI"/>
          <w:color w:val="000000"/>
          <w:sz w:val="21"/>
          <w:szCs w:val="21"/>
          <w:bdr w:val="none" w:sz="0" w:space="0" w:color="auto" w:frame="1"/>
        </w:rPr>
        <w:t>——</w:t>
      </w:r>
      <w:r w:rsidRPr="00351D1A">
        <w:rPr>
          <w:rFonts w:ascii="inherit" w:hAnsi="inherit" w:cs="Segoe UI"/>
          <w:color w:val="C00000"/>
          <w:sz w:val="21"/>
          <w:szCs w:val="21"/>
          <w:bdr w:val="none" w:sz="0" w:space="0" w:color="auto" w:frame="1"/>
        </w:rPr>
        <w:t>正确</w:t>
      </w:r>
    </w:p>
    <w:p w14:paraId="5F5992A8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bookmarkStart w:id="1" w:name="OLE_LINK2"/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下列各项中，不属于会计职业道德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“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客观公正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”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要求的是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服从领导指令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</w:p>
    <w:p w14:paraId="0A5C26D4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某公司股票的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β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系数为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1.2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，目前国库券收益率为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10%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，市场投资组合收益率为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14%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，那么该股票的资本成本是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14.8%</w:t>
      </w:r>
    </w:p>
    <w:p w14:paraId="0C4A46CB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在产品按定额成本计价法下，月末在产品成本是按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定额成本计算的</w:t>
      </w:r>
    </w:p>
    <w:p w14:paraId="188AA0EE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收益分配的基本原则有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依法分配原则、兼顾各方面利益原则、分配与积累并重原则、投资与收益对等原则</w:t>
      </w:r>
    </w:p>
    <w:p w14:paraId="194C935E" w14:textId="4AF9A2FD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下列各项中，属于我国企业会计实务中货币资金的是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银行存款、其他货币资金、库存现金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（无商业汇票）</w:t>
      </w:r>
    </w:p>
    <w:p w14:paraId="29BE4CE0" w14:textId="20CCE2DC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企业下列投资中，不应采用长期股权投资权益法进行后续计量的有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金融资产、投资性房地产、投资方对子公司的投资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  <w:r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（</w:t>
      </w:r>
      <w:r w:rsidRPr="000C64DA"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投资方对联营企业的投资</w:t>
      </w:r>
      <w:r>
        <w:rPr>
          <w:rFonts w:ascii="inherit" w:hAnsi="inherit" w:cs="Segoe UI" w:hint="eastAsia"/>
          <w:color w:val="EE0000"/>
          <w:sz w:val="23"/>
          <w:szCs w:val="23"/>
          <w:bdr w:val="none" w:sz="0" w:space="0" w:color="auto" w:frame="1"/>
        </w:rPr>
        <w:t>）</w:t>
      </w:r>
    </w:p>
    <w:p w14:paraId="0497EB0C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成本分析的方法有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比较分析法、比率分析法、因素分析法、趋势分析法</w:t>
      </w:r>
    </w:p>
    <w:p w14:paraId="5320CB47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下列关于成本会计工作组织的说法中，正确的有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成本会计工作必须与技术相结合、成本会计工作必须与经济责任制相结合、成本会计工作必须建立在广泛的群众基础之上、企业应根据自身规模和管理要求设置成本会计机构</w:t>
      </w:r>
    </w:p>
    <w:p w14:paraId="2C234B2B" w14:textId="77777777" w:rsidR="000C64DA" w:rsidRP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​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在项目投资决策中，内含报酬率的计算本身与项目的设定贴现率的高低无关</w:t>
      </w:r>
      <w:r>
        <w:rPr>
          <w:rStyle w:val="af"/>
          <w:rFonts w:ascii="Segoe UI" w:hAnsi="Segoe UI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Style w:val="af"/>
          <w:rFonts w:ascii="Segoe UI" w:hAnsi="Segoe UI" w:cs="Segoe UI"/>
          <w:color w:val="EE0000"/>
          <w:sz w:val="23"/>
          <w:szCs w:val="23"/>
          <w:bdr w:val="none" w:sz="0" w:space="0" w:color="auto" w:frame="1"/>
        </w:rPr>
        <w:t>错误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​</w:t>
      </w:r>
    </w:p>
    <w:p w14:paraId="61078B6F" w14:textId="77777777" w:rsidR="000C64DA" w:rsidRDefault="000C64DA" w:rsidP="000C64DA">
      <w:pPr>
        <w:pStyle w:val="ae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</w:pP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现值指数是一个相对数指标，反映投资的效率，而净现值是一个绝对数指标，反映投资的效益</w:t>
      </w:r>
      <w:r>
        <w:rPr>
          <w:rFonts w:ascii="inherit" w:hAnsi="inherit" w:cs="Segoe UI"/>
          <w:color w:val="000000"/>
          <w:sz w:val="23"/>
          <w:szCs w:val="23"/>
          <w:bdr w:val="none" w:sz="0" w:space="0" w:color="auto" w:frame="1"/>
        </w:rPr>
        <w:t>——</w:t>
      </w:r>
      <w:r w:rsidRPr="000C64DA">
        <w:rPr>
          <w:rFonts w:ascii="inherit" w:hAnsi="inherit" w:cs="Segoe UI"/>
          <w:color w:val="EE0000"/>
          <w:sz w:val="23"/>
          <w:szCs w:val="23"/>
          <w:bdr w:val="none" w:sz="0" w:space="0" w:color="auto" w:frame="1"/>
        </w:rPr>
        <w:t>正确</w:t>
      </w:r>
    </w:p>
    <w:bookmarkEnd w:id="1"/>
    <w:p w14:paraId="11105F60" w14:textId="77777777" w:rsidR="00BD1171" w:rsidRPr="00CA4F1C" w:rsidRDefault="00BD1171" w:rsidP="00CA4F1C">
      <w:pPr>
        <w:pStyle w:val="a9"/>
        <w:numPr>
          <w:ilvl w:val="0"/>
          <w:numId w:val="1"/>
        </w:numPr>
        <w:rPr>
          <w:rFonts w:hint="eastAsia"/>
          <w:color w:val="EE0000"/>
        </w:rPr>
      </w:pPr>
    </w:p>
    <w:bookmarkEnd w:id="0"/>
    <w:p w14:paraId="34128977" w14:textId="77777777" w:rsidR="002802FF" w:rsidRPr="00CA4F1C" w:rsidRDefault="002802FF">
      <w:pPr>
        <w:rPr>
          <w:rFonts w:hint="eastAsia"/>
        </w:rPr>
      </w:pPr>
    </w:p>
    <w:sectPr w:rsidR="002802FF" w:rsidRPr="00CA4F1C" w:rsidSect="004515E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E3B66" w14:textId="77777777" w:rsidR="001B20F4" w:rsidRDefault="001B20F4" w:rsidP="00241E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33D117" w14:textId="77777777" w:rsidR="001B20F4" w:rsidRDefault="001B20F4" w:rsidP="00241E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3CB4" w14:textId="77777777" w:rsidR="001B20F4" w:rsidRDefault="001B20F4" w:rsidP="00241E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983A63" w14:textId="77777777" w:rsidR="001B20F4" w:rsidRDefault="001B20F4" w:rsidP="00241E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D93"/>
    <w:multiLevelType w:val="hybridMultilevel"/>
    <w:tmpl w:val="87EC08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196F12"/>
    <w:multiLevelType w:val="multilevel"/>
    <w:tmpl w:val="BE10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A7247"/>
    <w:multiLevelType w:val="multilevel"/>
    <w:tmpl w:val="C79C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A10FA"/>
    <w:multiLevelType w:val="hybridMultilevel"/>
    <w:tmpl w:val="CC4C2600"/>
    <w:lvl w:ilvl="0" w:tplc="F5F66C94">
      <w:numFmt w:val="bullet"/>
      <w:lvlText w:val="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D1F6B17"/>
    <w:multiLevelType w:val="multilevel"/>
    <w:tmpl w:val="2CB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53816"/>
    <w:multiLevelType w:val="multilevel"/>
    <w:tmpl w:val="B9EA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81047"/>
    <w:multiLevelType w:val="multilevel"/>
    <w:tmpl w:val="4F14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B6F09"/>
    <w:multiLevelType w:val="multilevel"/>
    <w:tmpl w:val="EDD0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E07E5"/>
    <w:multiLevelType w:val="multilevel"/>
    <w:tmpl w:val="138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C2335B"/>
    <w:multiLevelType w:val="multilevel"/>
    <w:tmpl w:val="AACA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B37D7"/>
    <w:multiLevelType w:val="multilevel"/>
    <w:tmpl w:val="DB1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F52DB"/>
    <w:multiLevelType w:val="multilevel"/>
    <w:tmpl w:val="E728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574568">
    <w:abstractNumId w:val="0"/>
  </w:num>
  <w:num w:numId="2" w16cid:durableId="1692876516">
    <w:abstractNumId w:val="3"/>
  </w:num>
  <w:num w:numId="3" w16cid:durableId="1792092574">
    <w:abstractNumId w:val="5"/>
  </w:num>
  <w:num w:numId="4" w16cid:durableId="1042941606">
    <w:abstractNumId w:val="4"/>
  </w:num>
  <w:num w:numId="5" w16cid:durableId="1195464324">
    <w:abstractNumId w:val="10"/>
  </w:num>
  <w:num w:numId="6" w16cid:durableId="1767340229">
    <w:abstractNumId w:val="6"/>
  </w:num>
  <w:num w:numId="7" w16cid:durableId="1535728148">
    <w:abstractNumId w:val="7"/>
  </w:num>
  <w:num w:numId="8" w16cid:durableId="434398304">
    <w:abstractNumId w:val="11"/>
  </w:num>
  <w:num w:numId="9" w16cid:durableId="509367266">
    <w:abstractNumId w:val="2"/>
  </w:num>
  <w:num w:numId="10" w16cid:durableId="1055936218">
    <w:abstractNumId w:val="8"/>
  </w:num>
  <w:num w:numId="11" w16cid:durableId="1264845782">
    <w:abstractNumId w:val="9"/>
  </w:num>
  <w:num w:numId="12" w16cid:durableId="1289705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E3"/>
    <w:rsid w:val="000A2C9A"/>
    <w:rsid w:val="000C64DA"/>
    <w:rsid w:val="001B20F4"/>
    <w:rsid w:val="00235121"/>
    <w:rsid w:val="00241EC7"/>
    <w:rsid w:val="002802FF"/>
    <w:rsid w:val="002906B8"/>
    <w:rsid w:val="002F4BE3"/>
    <w:rsid w:val="0032714B"/>
    <w:rsid w:val="00351D1A"/>
    <w:rsid w:val="004515EF"/>
    <w:rsid w:val="0058646F"/>
    <w:rsid w:val="0075111F"/>
    <w:rsid w:val="00A628D7"/>
    <w:rsid w:val="00BD1171"/>
    <w:rsid w:val="00C13678"/>
    <w:rsid w:val="00CA4F1C"/>
    <w:rsid w:val="00DA0311"/>
    <w:rsid w:val="00EB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FEC38"/>
  <w15:chartTrackingRefBased/>
  <w15:docId w15:val="{BCF6B9C5-CBD9-4866-9EE5-6EE29A91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B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B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B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B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B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B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B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B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B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B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B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B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B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B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B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B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B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B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B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B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B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B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BE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D117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D1171"/>
    <w:rPr>
      <w:b/>
      <w:bCs/>
    </w:rPr>
  </w:style>
  <w:style w:type="paragraph" w:styleId="af0">
    <w:name w:val="header"/>
    <w:basedOn w:val="a"/>
    <w:link w:val="af1"/>
    <w:uiPriority w:val="99"/>
    <w:unhideWhenUsed/>
    <w:rsid w:val="00241E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41EC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41E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41E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48D18-27F8-415E-BA7C-89487E711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2613</Words>
  <Characters>2875</Characters>
  <Application>Microsoft Office Word</Application>
  <DocSecurity>0</DocSecurity>
  <Lines>87</Lines>
  <Paragraphs>124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7</cp:revision>
  <dcterms:created xsi:type="dcterms:W3CDTF">2025-10-07T08:43:00Z</dcterms:created>
  <dcterms:modified xsi:type="dcterms:W3CDTF">2025-10-08T16:24:00Z</dcterms:modified>
</cp:coreProperties>
</file>