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7CC9" w14:textId="77777777" w:rsidR="001F7742" w:rsidRPr="001F7742" w:rsidRDefault="001F7742" w:rsidP="001F7742">
      <w:pPr>
        <w:pStyle w:val="1"/>
        <w:rPr>
          <w:rFonts w:hint="eastAsia"/>
        </w:rPr>
      </w:pPr>
      <w:r w:rsidRPr="001F7742">
        <w:rPr>
          <w:rFonts w:hint="eastAsia"/>
        </w:rPr>
        <w:t>背景引入</w:t>
      </w:r>
    </w:p>
    <w:p w14:paraId="005C6F51" w14:textId="3E3FD026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儒家伦理以“仁、礼、义、信”等为核心，是中华传统文化精髓，影响国人价值观念与行为；法治是现代社会治理基石，靠规则与强制力保障社会运行。二者表面差异明显，儒家侧重道德教化，法治强调外在约束，但本质都追求社会和谐、公平与秩序。核心在于借鉴传统“为政以德、德主刑辅”理念，实现法律与道德双向赋能，道德为法律提供价值指引，法律为道德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践行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提供制度保障，推动社会治理发展。</w:t>
      </w:r>
    </w:p>
    <w:p w14:paraId="75271EA9" w14:textId="652894A7" w:rsidR="001F7742" w:rsidRPr="001F7742" w:rsidRDefault="001F7742" w:rsidP="001F7742">
      <w:pPr>
        <w:pStyle w:val="1"/>
        <w:rPr>
          <w:rFonts w:hint="eastAsia"/>
        </w:rPr>
      </w:pPr>
      <w:r w:rsidRPr="001F7742">
        <w:rPr>
          <w:rFonts w:hint="eastAsia"/>
        </w:rPr>
        <w:t>理论契合：伦理与法治的内在一致性</w:t>
      </w:r>
    </w:p>
    <w:p w14:paraId="2A0A5636" w14:textId="77777777" w:rsidR="003C5D5D" w:rsidRDefault="001F7742" w:rsidP="003C5D5D">
      <w:pPr>
        <w:pStyle w:val="2"/>
        <w:rPr>
          <w:rFonts w:hint="eastAsia"/>
        </w:rPr>
      </w:pPr>
      <w:r w:rsidRPr="001F7742">
        <w:rPr>
          <w:rFonts w:hint="eastAsia"/>
        </w:rPr>
        <w:t>“仁”与法治的人本关怀</w:t>
      </w:r>
    </w:p>
    <w:p w14:paraId="649B0108" w14:textId="310E2FEB" w:rsidR="001F7742" w:rsidRPr="003C5D5D" w:rsidRDefault="001F7742" w:rsidP="003C5D5D">
      <w:pPr>
        <w:rPr>
          <w:rFonts w:asciiTheme="majorHAnsi" w:eastAsia="黑体" w:hAnsiTheme="majorHAnsi" w:cstheme="majorBidi" w:hint="eastAsia"/>
          <w:sz w:val="24"/>
          <w:szCs w:val="40"/>
        </w:rPr>
      </w:pPr>
      <w:r w:rsidRPr="001F7742">
        <w:rPr>
          <w:rFonts w:hint="eastAsia"/>
        </w:rPr>
        <w:t>孔子提出“仁者爱人”，</w:t>
      </w:r>
      <w:r w:rsidR="003C5D5D">
        <w:rPr>
          <w:rFonts w:hint="eastAsia"/>
        </w:rPr>
        <w:t>主张</w:t>
      </w:r>
      <w:r w:rsidRPr="001F7742">
        <w:rPr>
          <w:rFonts w:hint="eastAsia"/>
        </w:rPr>
        <w:t>人性关怀。</w:t>
      </w:r>
      <w:r w:rsidR="003C5D5D" w:rsidRPr="003C5D5D">
        <w:rPr>
          <w:rFonts w:hint="eastAsia"/>
        </w:rPr>
        <w:t>《民法典》要求树立优良家风，将儒家伦理转化为法律保护。如今法律要求在外之女要定期回家看望长辈</w:t>
      </w:r>
    </w:p>
    <w:p w14:paraId="56B8994B" w14:textId="77777777" w:rsidR="001F7742" w:rsidRPr="003C5D5D" w:rsidRDefault="001F7742" w:rsidP="001F7742">
      <w:pPr>
        <w:pStyle w:val="2"/>
        <w:rPr>
          <w:rFonts w:asciiTheme="minorHAnsi" w:eastAsiaTheme="minorEastAsia" w:hAnsiTheme="minorHAnsi" w:cstheme="minorBidi" w:hint="eastAsia"/>
          <w:sz w:val="22"/>
          <w:szCs w:val="24"/>
        </w:rPr>
      </w:pPr>
      <w:r w:rsidRPr="001F7742">
        <w:rPr>
          <w:rFonts w:hint="eastAsia"/>
        </w:rPr>
        <w:t>“礼”与法治的秩序规范</w:t>
      </w:r>
    </w:p>
    <w:p w14:paraId="44FE6BF4" w14:textId="468E5019" w:rsidR="001F7742" w:rsidRPr="0054377A" w:rsidRDefault="0054377A" w:rsidP="0054377A">
      <w:pPr>
        <w:numPr>
          <w:ilvl w:val="3"/>
          <w:numId w:val="14"/>
        </w:numPr>
        <w:rPr>
          <w:rFonts w:hint="eastAsia"/>
        </w:rPr>
      </w:pPr>
      <w:r w:rsidRPr="0054377A">
        <w:t>《礼记》</w:t>
      </w:r>
      <w:proofErr w:type="gramStart"/>
      <w:r w:rsidRPr="0054377A">
        <w:t>以礼定亲疏</w:t>
      </w:r>
      <w:proofErr w:type="gramEnd"/>
      <w:r w:rsidRPr="0054377A">
        <w:t>，《刑事诉讼法》用回避制度防人情干扰，如杭州合同案依证据规则捍卫公正。</w:t>
      </w:r>
    </w:p>
    <w:p w14:paraId="6F8050F8" w14:textId="4513765E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“义”与责任界定</w:t>
      </w:r>
    </w:p>
    <w:p w14:paraId="483B12ED" w14:textId="3A331FDD" w:rsidR="001F7742" w:rsidRPr="001F7742" w:rsidRDefault="0054377A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54377A">
        <w:t>孔孟倡导见义勇为，《民法典》确立救助免责条款，如广州医学生</w:t>
      </w:r>
      <w:proofErr w:type="gramStart"/>
      <w:r w:rsidRPr="0054377A">
        <w:t>救人案</w:t>
      </w:r>
      <w:proofErr w:type="gramEnd"/>
      <w:r w:rsidRPr="0054377A">
        <w:t>驳回索赔彰</w:t>
      </w:r>
      <w:proofErr w:type="gramStart"/>
      <w:r w:rsidRPr="0054377A">
        <w:t>显司法</w:t>
      </w:r>
      <w:proofErr w:type="gramEnd"/>
      <w:r w:rsidRPr="0054377A">
        <w:t>护义。</w:t>
      </w:r>
    </w:p>
    <w:p w14:paraId="1D51E372" w14:textId="77777777" w:rsidR="001F7742" w:rsidRDefault="001F7742" w:rsidP="001F7742">
      <w:pPr>
        <w:pStyle w:val="2"/>
      </w:pPr>
      <w:r w:rsidRPr="001F7742">
        <w:rPr>
          <w:rFonts w:hint="eastAsia"/>
        </w:rPr>
        <w:t>“智”与法治的明辨是非</w:t>
      </w:r>
    </w:p>
    <w:p w14:paraId="57104AA0" w14:textId="539D2377" w:rsidR="0054377A" w:rsidRPr="0054377A" w:rsidRDefault="0054377A" w:rsidP="0054377A">
      <w:pPr>
        <w:rPr>
          <w:rFonts w:hint="eastAsia"/>
        </w:rPr>
      </w:pPr>
      <w:r w:rsidRPr="0054377A">
        <w:t> 孟子言"是非之心</w:t>
      </w:r>
      <w:proofErr w:type="gramStart"/>
      <w:r w:rsidRPr="0054377A">
        <w:t>为智端</w:t>
      </w:r>
      <w:proofErr w:type="gramEnd"/>
      <w:r w:rsidRPr="0054377A">
        <w:t>"，自由心</w:t>
      </w:r>
      <w:proofErr w:type="gramStart"/>
      <w:r w:rsidRPr="0054377A">
        <w:t>证原则</w:t>
      </w:r>
      <w:proofErr w:type="gramEnd"/>
      <w:r w:rsidRPr="0054377A">
        <w:t>要求全面审查证据，如湖南贪污</w:t>
      </w:r>
      <w:proofErr w:type="gramStart"/>
      <w:r w:rsidRPr="0054377A">
        <w:t>案拒采</w:t>
      </w:r>
      <w:proofErr w:type="gramEnd"/>
      <w:r w:rsidRPr="0054377A">
        <w:t>亲属证言体现司法智慧。</w:t>
      </w:r>
    </w:p>
    <w:p w14:paraId="7C18A590" w14:textId="2B0FF244" w:rsidR="001F7742" w:rsidRDefault="001F7742" w:rsidP="001F7742">
      <w:pPr>
        <w:pStyle w:val="2"/>
      </w:pPr>
      <w:r w:rsidRPr="001F7742">
        <w:rPr>
          <w:rFonts w:hint="eastAsia"/>
        </w:rPr>
        <w:t>“信”与契约精神</w:t>
      </w:r>
      <w:r w:rsidRPr="001F7742">
        <w:rPr>
          <w:rFonts w:hint="eastAsia"/>
        </w:rPr>
        <w:t xml:space="preserve"> </w:t>
      </w:r>
    </w:p>
    <w:p w14:paraId="49AAAC3C" w14:textId="3F5F7581" w:rsidR="0054377A" w:rsidRPr="0054377A" w:rsidRDefault="0054377A" w:rsidP="0054377A">
      <w:pPr>
        <w:rPr>
          <w:rFonts w:hint="eastAsia"/>
        </w:rPr>
      </w:pPr>
      <w:r w:rsidRPr="0054377A">
        <w:t>子夏</w:t>
      </w:r>
      <w:proofErr w:type="gramStart"/>
      <w:r w:rsidRPr="0054377A">
        <w:t>倡</w:t>
      </w:r>
      <w:proofErr w:type="gramEnd"/>
      <w:r w:rsidRPr="0054377A">
        <w:t>"言而有信"，《民法典》确立诚信原则，如老干妈伪造合同案判决书引《论语》严惩失信。</w:t>
      </w:r>
    </w:p>
    <w:p w14:paraId="6A604038" w14:textId="522A04C8" w:rsidR="001F7742" w:rsidRPr="001F7742" w:rsidRDefault="001F7742" w:rsidP="001F7742">
      <w:pPr>
        <w:pStyle w:val="1"/>
        <w:rPr>
          <w:rFonts w:hint="eastAsia"/>
        </w:rPr>
      </w:pPr>
      <w:r w:rsidRPr="001F7742">
        <w:rPr>
          <w:rFonts w:hint="eastAsia"/>
        </w:rPr>
        <w:t>实践融合：儒家伦理与法治的深度结合实例完善</w:t>
      </w:r>
    </w:p>
    <w:p w14:paraId="098C8F45" w14:textId="77777777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 xml:space="preserve"> </w:t>
      </w:r>
      <w:r w:rsidRPr="001F7742">
        <w:rPr>
          <w:rFonts w:hint="eastAsia"/>
        </w:rPr>
        <w:t>案例</w:t>
      </w:r>
      <w:proofErr w:type="gramStart"/>
      <w:r w:rsidRPr="001F7742">
        <w:rPr>
          <w:rFonts w:hint="eastAsia"/>
        </w:rPr>
        <w:t>一</w:t>
      </w:r>
      <w:proofErr w:type="gramEnd"/>
      <w:r w:rsidRPr="001F7742">
        <w:rPr>
          <w:rFonts w:hint="eastAsia"/>
        </w:rPr>
        <w:t>：从“亲亲相隐”到现代“容隐权”</w:t>
      </w:r>
    </w:p>
    <w:p w14:paraId="70610542" w14:textId="0F6D972D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 xml:space="preserve"> </w:t>
      </w:r>
      <w:r w:rsidRPr="001F7742">
        <w:rPr>
          <w:rFonts w:hint="eastAsia"/>
        </w:rPr>
        <w:t>古代实践</w:t>
      </w:r>
    </w:p>
    <w:p w14:paraId="5513A1D9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历史脉络：汉代《二年律令》使“父子相隐”合法化，严惩告亲者；</w:t>
      </w:r>
    </w:p>
    <w:p w14:paraId="6D34D8D2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           唐代《唐律疏议》扩大亲属容隐范围；</w:t>
      </w:r>
    </w:p>
    <w:p w14:paraId="1F6EEC13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           宋代《宋刑统》继承唐律，规定谋反等重罪不适用容隐。</w:t>
      </w:r>
    </w:p>
    <w:p w14:paraId="7D634B12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lastRenderedPageBreak/>
        <w:t>•</w:t>
      </w: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儒家逻辑：孔子主张“父为子隐，子为父隐”，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视维护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家庭伦理为正直；孟子强调“亲亲为大”，突显血缘伦理高于法律义务。</w:t>
      </w:r>
    </w:p>
    <w:p w14:paraId="6543FE41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</w:p>
    <w:p w14:paraId="7C7DE23F" w14:textId="112CC8BA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 xml:space="preserve"> </w:t>
      </w:r>
      <w:r w:rsidRPr="001F7742">
        <w:rPr>
          <w:rFonts w:hint="eastAsia"/>
        </w:rPr>
        <w:t>现代转化</w:t>
      </w:r>
    </w:p>
    <w:p w14:paraId="045D748A" w14:textId="77777777" w:rsid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法律条文：《刑事诉讼法》赋予配偶、父母、子女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拒证权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（重大犯罪除外）；《民法典》以公序良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俗原则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为家庭伦理留空间。</w:t>
      </w:r>
    </w:p>
    <w:p w14:paraId="2867DB53" w14:textId="77777777" w:rsidR="00BC079E" w:rsidRDefault="00BC079E" w:rsidP="00BC079E">
      <w:pPr>
        <w:spacing w:beforeLines="50" w:before="156" w:line="240" w:lineRule="auto"/>
        <w:ind w:left="709" w:hanging="709"/>
        <w:rPr>
          <w:rFonts w:ascii="宋体" w:eastAsia="宋体" w:hAnsi="宋体" w:cstheme="majorBidi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>
        <w:rPr>
          <w:rFonts w:ascii="宋体" w:eastAsia="宋体" w:hAnsi="宋体" w:cstheme="majorBidi" w:hint="eastAsia"/>
          <w:sz w:val="21"/>
          <w:szCs w:val="21"/>
        </w:rPr>
        <w:t xml:space="preserve"> </w:t>
      </w:r>
      <w:r w:rsidRPr="00BC079E">
        <w:rPr>
          <w:rFonts w:ascii="宋体" w:eastAsia="宋体" w:hAnsi="宋体" w:cstheme="majorBidi"/>
          <w:b/>
          <w:bCs/>
          <w:sz w:val="21"/>
          <w:szCs w:val="21"/>
        </w:rPr>
        <w:t>前情背景</w:t>
      </w:r>
      <w:r w:rsidRPr="00BC079E">
        <w:rPr>
          <w:rFonts w:ascii="宋体" w:eastAsia="宋体" w:hAnsi="宋体" w:cstheme="majorBidi"/>
          <w:sz w:val="21"/>
          <w:szCs w:val="21"/>
        </w:rPr>
        <w:t>：</w:t>
      </w:r>
    </w:p>
    <w:p w14:paraId="450AAD49" w14:textId="66051047" w:rsidR="00BC079E" w:rsidRPr="00BC079E" w:rsidRDefault="00BC079E" w:rsidP="00BC079E">
      <w:pPr>
        <w:numPr>
          <w:ilvl w:val="3"/>
          <w:numId w:val="14"/>
        </w:num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>
        <w:rPr>
          <w:rFonts w:ascii="宋体" w:eastAsia="宋体" w:hAnsi="宋体" w:cstheme="majorBidi" w:hint="eastAsia"/>
          <w:sz w:val="21"/>
          <w:szCs w:val="21"/>
        </w:rPr>
        <w:t xml:space="preserve">        - </w:t>
      </w:r>
      <w:r w:rsidRPr="00BC079E">
        <w:rPr>
          <w:rFonts w:ascii="宋体" w:eastAsia="宋体" w:hAnsi="宋体" w:cstheme="majorBidi"/>
          <w:sz w:val="21"/>
          <w:szCs w:val="21"/>
        </w:rPr>
        <w:t>2020年湖南某市审计局长李某贪污案中，其妻张某在庭审中援引《刑事诉讼法》第193条拒绝指证丈夫。这一举动引发舆论争议——有人质疑"容隐权"纵容腐败，也有人担忧强制亲属作证破坏家庭伦理。</w:t>
      </w:r>
    </w:p>
    <w:p w14:paraId="104C8A1C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司法实践：</w:t>
      </w:r>
    </w:p>
    <w:p w14:paraId="635AFB95" w14:textId="34966F26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 xml:space="preserve">      - </w:t>
      </w:r>
      <w:r w:rsidR="00BC079E" w:rsidRPr="00BC079E">
        <w:rPr>
          <w:rFonts w:ascii="宋体" w:eastAsia="宋体" w:hAnsi="宋体" w:cstheme="majorBidi"/>
          <w:sz w:val="21"/>
          <w:szCs w:val="21"/>
        </w:rPr>
        <w:t>检察机关另辟蹊径，通过调取李某私人账户与工程承包商的</w:t>
      </w:r>
      <w:proofErr w:type="gramStart"/>
      <w:r w:rsidR="00BC079E" w:rsidRPr="00BC079E">
        <w:rPr>
          <w:rFonts w:ascii="宋体" w:eastAsia="宋体" w:hAnsi="宋体" w:cstheme="majorBidi"/>
          <w:sz w:val="21"/>
          <w:szCs w:val="21"/>
        </w:rPr>
        <w:t>异常资金</w:t>
      </w:r>
      <w:proofErr w:type="gramEnd"/>
      <w:r w:rsidR="00BC079E" w:rsidRPr="00BC079E">
        <w:rPr>
          <w:rFonts w:ascii="宋体" w:eastAsia="宋体" w:hAnsi="宋体" w:cstheme="majorBidi"/>
          <w:sz w:val="21"/>
          <w:szCs w:val="21"/>
        </w:rPr>
        <w:t>往来（单笔高达200万元）、追踪境外奢侈品消费记录等客观证据链，结合行贿人王某的当庭供述，最终突破张某的沉默壁垒完成定罪。法院在判决书中特别引述《孟子·离娄上》"事亲为大"的论述，指出"容隐权不是犯罪庇护伞，而是避免亲情撕裂的人性出口"。</w:t>
      </w:r>
    </w:p>
    <w:p w14:paraId="3ED80547" w14:textId="77777777" w:rsidR="003F75DE" w:rsidRDefault="003F75DE" w:rsidP="001F7742">
      <w:pPr>
        <w:spacing w:beforeLines="50" w:before="156" w:line="240" w:lineRule="auto"/>
        <w:ind w:left="709" w:hanging="709"/>
        <w:rPr>
          <w:rFonts w:ascii="宋体" w:eastAsia="宋体" w:hAnsi="宋体" w:cstheme="majorBidi"/>
          <w:sz w:val="21"/>
          <w:szCs w:val="21"/>
        </w:rPr>
      </w:pP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>
        <w:rPr>
          <w:rFonts w:ascii="宋体" w:eastAsia="宋体" w:hAnsi="宋体" w:cstheme="majorBidi" w:hint="eastAsia"/>
          <w:sz w:val="21"/>
          <w:szCs w:val="21"/>
        </w:rPr>
        <w:t xml:space="preserve"> </w:t>
      </w:r>
      <w:r w:rsidRPr="003F75DE">
        <w:rPr>
          <w:rFonts w:ascii="宋体" w:eastAsia="宋体" w:hAnsi="宋体" w:cstheme="majorBidi"/>
          <w:sz w:val="21"/>
          <w:szCs w:val="21"/>
        </w:rPr>
        <w:t>法理嬗变：</w:t>
      </w:r>
    </w:p>
    <w:p w14:paraId="663488C4" w14:textId="0E0E0A44" w:rsidR="003F75DE" w:rsidRDefault="003F75DE" w:rsidP="001F7742">
      <w:pPr>
        <w:spacing w:beforeLines="50" w:before="156" w:line="240" w:lineRule="auto"/>
        <w:ind w:left="709" w:hanging="709"/>
        <w:rPr>
          <w:rFonts w:ascii="宋体" w:eastAsia="宋体" w:hAnsi="宋体" w:cstheme="majorBidi"/>
          <w:sz w:val="21"/>
          <w:szCs w:val="21"/>
        </w:rPr>
      </w:pPr>
      <w:r>
        <w:rPr>
          <w:rFonts w:ascii="宋体" w:eastAsia="宋体" w:hAnsi="宋体" w:cstheme="majorBidi" w:hint="eastAsia"/>
          <w:sz w:val="21"/>
          <w:szCs w:val="21"/>
        </w:rPr>
        <w:t xml:space="preserve">        - </w:t>
      </w:r>
      <w:r w:rsidRPr="003F75DE">
        <w:rPr>
          <w:rFonts w:ascii="宋体" w:eastAsia="宋体" w:hAnsi="宋体" w:cstheme="majorBidi"/>
          <w:sz w:val="21"/>
          <w:szCs w:val="21"/>
        </w:rPr>
        <w:t>从汉代强制"亲亲相隐"到现代"容隐权"的例外排除，这种转变在李某案中体现得尤为深刻——唐代《唐律》允许为亲属隐瞒盗窃罪，但现代法律通过"重大犯罪除外"条款划出红线。正如云南毒品案判决书所强调："当亲情庇护危及国家安全时，孟子所言'舍生取义'才是更高的伦理准则"。</w:t>
      </w:r>
    </w:p>
    <w:p w14:paraId="339ED027" w14:textId="77777777" w:rsidR="003F75DE" w:rsidRDefault="003F75DE" w:rsidP="001F7742">
      <w:pPr>
        <w:spacing w:beforeLines="50" w:before="156" w:line="240" w:lineRule="auto"/>
        <w:ind w:left="709" w:hanging="709"/>
        <w:rPr>
          <w:rFonts w:ascii="宋体" w:eastAsia="宋体" w:hAnsi="宋体" w:cstheme="majorBidi"/>
          <w:sz w:val="21"/>
          <w:szCs w:val="21"/>
        </w:rPr>
      </w:pPr>
      <w:r w:rsidRPr="003F75DE">
        <w:rPr>
          <w:rFonts w:ascii="宋体" w:eastAsia="宋体" w:hAnsi="宋体" w:cstheme="majorBidi"/>
          <w:sz w:val="21"/>
          <w:szCs w:val="21"/>
        </w:rPr>
        <w:br/>
      </w:r>
      <w:r w:rsidRPr="001F7742">
        <w:rPr>
          <w:rFonts w:ascii="Courier New" w:eastAsia="黑体" w:hAnsi="Courier New" w:cs="Courier New"/>
          <w:sz w:val="30"/>
          <w:szCs w:val="40"/>
        </w:rPr>
        <w:t>•</w:t>
      </w:r>
      <w:r>
        <w:rPr>
          <w:rFonts w:ascii="宋体" w:eastAsia="宋体" w:hAnsi="宋体" w:cstheme="majorBidi" w:hint="eastAsia"/>
          <w:sz w:val="21"/>
          <w:szCs w:val="21"/>
        </w:rPr>
        <w:t xml:space="preserve"> </w:t>
      </w:r>
      <w:r w:rsidRPr="003F75DE">
        <w:rPr>
          <w:rFonts w:ascii="宋体" w:eastAsia="宋体" w:hAnsi="宋体" w:cstheme="majorBidi"/>
          <w:sz w:val="21"/>
          <w:szCs w:val="21"/>
        </w:rPr>
        <w:t>社会回响：</w:t>
      </w:r>
    </w:p>
    <w:p w14:paraId="258483D1" w14:textId="58F217B6" w:rsidR="001F7742" w:rsidRPr="001F7742" w:rsidRDefault="003F75DE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>
        <w:rPr>
          <w:rFonts w:ascii="宋体" w:eastAsia="宋体" w:hAnsi="宋体" w:cstheme="majorBidi" w:hint="eastAsia"/>
          <w:sz w:val="21"/>
          <w:szCs w:val="21"/>
        </w:rPr>
        <w:t xml:space="preserve">         - </w:t>
      </w:r>
      <w:r w:rsidRPr="003F75DE">
        <w:rPr>
          <w:rFonts w:ascii="宋体" w:eastAsia="宋体" w:hAnsi="宋体" w:cstheme="majorBidi"/>
          <w:sz w:val="21"/>
          <w:szCs w:val="21"/>
        </w:rPr>
        <w:t>最高法将湖南案纳入指导案例时特别说明："</w:t>
      </w:r>
      <w:proofErr w:type="gramStart"/>
      <w:r w:rsidRPr="003F75DE">
        <w:rPr>
          <w:rFonts w:ascii="宋体" w:eastAsia="宋体" w:hAnsi="宋体" w:cstheme="majorBidi"/>
          <w:sz w:val="21"/>
          <w:szCs w:val="21"/>
        </w:rPr>
        <w:t>现代容隐制度</w:t>
      </w:r>
      <w:proofErr w:type="gramEnd"/>
      <w:r w:rsidRPr="003F75DE">
        <w:rPr>
          <w:rFonts w:ascii="宋体" w:eastAsia="宋体" w:hAnsi="宋体" w:cstheme="majorBidi"/>
          <w:sz w:val="21"/>
          <w:szCs w:val="21"/>
        </w:rPr>
        <w:t>既要防止宋代《宋刑统》过度豁免谋反重罪的历史教训，也要避免机械司法摧毁人性底线"。这种"情</w:t>
      </w:r>
      <w:proofErr w:type="gramStart"/>
      <w:r w:rsidRPr="003F75DE">
        <w:rPr>
          <w:rFonts w:ascii="宋体" w:eastAsia="宋体" w:hAnsi="宋体" w:cstheme="majorBidi"/>
          <w:sz w:val="21"/>
          <w:szCs w:val="21"/>
        </w:rPr>
        <w:t>法平衡</w:t>
      </w:r>
      <w:proofErr w:type="gramEnd"/>
      <w:r w:rsidRPr="003F75DE">
        <w:rPr>
          <w:rFonts w:ascii="宋体" w:eastAsia="宋体" w:hAnsi="宋体" w:cstheme="majorBidi"/>
          <w:sz w:val="21"/>
          <w:szCs w:val="21"/>
        </w:rPr>
        <w:t>术"使我国</w:t>
      </w:r>
      <w:proofErr w:type="gramStart"/>
      <w:r w:rsidRPr="003F75DE">
        <w:rPr>
          <w:rFonts w:ascii="宋体" w:eastAsia="宋体" w:hAnsi="宋体" w:cstheme="majorBidi"/>
          <w:sz w:val="21"/>
          <w:szCs w:val="21"/>
        </w:rPr>
        <w:t>亲属拒证制度</w:t>
      </w:r>
      <w:proofErr w:type="gramEnd"/>
      <w:r w:rsidRPr="003F75DE">
        <w:rPr>
          <w:rFonts w:ascii="宋体" w:eastAsia="宋体" w:hAnsi="宋体" w:cstheme="majorBidi"/>
          <w:sz w:val="21"/>
          <w:szCs w:val="21"/>
        </w:rPr>
        <w:t>既区别于西方沉默权，又超越了传统儒家伦理的单向度要求。</w:t>
      </w:r>
      <w:r w:rsidR="001F7742" w:rsidRPr="001F7742">
        <w:rPr>
          <w:rFonts w:ascii="宋体" w:eastAsia="宋体" w:hAnsi="宋体" w:cstheme="majorBidi" w:hint="eastAsia"/>
          <w:sz w:val="21"/>
          <w:szCs w:val="21"/>
        </w:rPr>
        <w:t xml:space="preserve"> </w:t>
      </w:r>
    </w:p>
    <w:p w14:paraId="67C1A132" w14:textId="6BDA2660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 xml:space="preserve"> </w:t>
      </w:r>
      <w:r w:rsidRPr="001F7742">
        <w:rPr>
          <w:rFonts w:hint="eastAsia"/>
        </w:rPr>
        <w:t>融合意义</w:t>
      </w:r>
    </w:p>
    <w:p w14:paraId="02C3DDC0" w14:textId="6586D6F9" w:rsidR="001F7742" w:rsidRPr="001F7742" w:rsidRDefault="00BC079E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BC079E">
        <w:rPr>
          <w:rFonts w:ascii="宋体" w:eastAsia="宋体" w:hAnsi="宋体" w:cstheme="majorBidi"/>
          <w:sz w:val="21"/>
          <w:szCs w:val="21"/>
        </w:rPr>
        <w:t>李某案折射出中国法治的独特智慧：当张某援引</w:t>
      </w:r>
      <w:proofErr w:type="gramStart"/>
      <w:r w:rsidRPr="00BC079E">
        <w:rPr>
          <w:rFonts w:ascii="宋体" w:eastAsia="宋体" w:hAnsi="宋体" w:cstheme="majorBidi"/>
          <w:sz w:val="21"/>
          <w:szCs w:val="21"/>
        </w:rPr>
        <w:t>拒证权时</w:t>
      </w:r>
      <w:proofErr w:type="gramEnd"/>
      <w:r w:rsidRPr="00BC079E">
        <w:rPr>
          <w:rFonts w:ascii="宋体" w:eastAsia="宋体" w:hAnsi="宋体" w:cstheme="majorBidi"/>
          <w:sz w:val="21"/>
          <w:szCs w:val="21"/>
        </w:rPr>
        <w:t>，司法既未如传统社会般强制其“舍义保亲”，也未效仿西方绝对沉默权制度，而是通过客观证据体系实现“情法两全”。这种“有限容隐”模式，恰是对孟子“执中无权，犹执一也”辩证思维的法律演绎。</w:t>
      </w:r>
    </w:p>
    <w:p w14:paraId="0C30146F" w14:textId="77777777" w:rsidR="004C7FAD" w:rsidRPr="004C7FAD" w:rsidRDefault="004C7FAD" w:rsidP="004C7FAD">
      <w:pPr>
        <w:pStyle w:val="2"/>
      </w:pPr>
      <w:r w:rsidRPr="004C7FAD">
        <w:t>案例二：从</w:t>
      </w:r>
      <w:r w:rsidRPr="004C7FAD">
        <w:t>“</w:t>
      </w:r>
      <w:r w:rsidRPr="004C7FAD">
        <w:t>无讼</w:t>
      </w:r>
      <w:r w:rsidRPr="004C7FAD">
        <w:t>”</w:t>
      </w:r>
      <w:r w:rsidRPr="004C7FAD">
        <w:t>到</w:t>
      </w:r>
      <w:r w:rsidRPr="004C7FAD">
        <w:t>“</w:t>
      </w:r>
      <w:r w:rsidRPr="004C7FAD">
        <w:t>大调解</w:t>
      </w:r>
      <w:r w:rsidRPr="004C7FAD">
        <w:t>”——</w:t>
      </w:r>
      <w:r w:rsidRPr="004C7FAD">
        <w:t>祖宅分割纠纷中的传统智慧与现代法治</w:t>
      </w:r>
    </w:p>
    <w:p w14:paraId="2B8C9D53" w14:textId="77777777" w:rsidR="004C7FAD" w:rsidRPr="004C7FAD" w:rsidRDefault="004C7FAD" w:rsidP="004C7FAD">
      <w:pPr>
        <w:pStyle w:val="3"/>
      </w:pPr>
      <w:r w:rsidRPr="004C7FAD">
        <w:t>古代实践</w:t>
      </w:r>
    </w:p>
    <w:p w14:paraId="4C7C3911" w14:textId="77777777" w:rsidR="004C7FAD" w:rsidRPr="004C7FAD" w:rsidRDefault="004C7FAD" w:rsidP="004C7FAD">
      <w:pPr>
        <w:widowControl/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儒家经典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：孔子提出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听讼，吾犹人也，必也使无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讼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乎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，主张通过道德教化而非诉讼解决矛盾；明代《朱子家礼》规定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凡乡党有争，当先以情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谕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之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，要求以情理调和纠纷。</w:t>
      </w:r>
    </w:p>
    <w:p w14:paraId="6C4B0509" w14:textId="31287F46" w:rsidR="004C7FAD" w:rsidRPr="004C7FAD" w:rsidRDefault="004C7FAD" w:rsidP="004C7FAD">
      <w:pPr>
        <w:widowControl/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制度局限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：清代保甲制度虽规定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田土细故由甲长调处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，但常以宗族权威强制压服矛盾，导致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表面息讼，暗结仇怨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的弊端。</w:t>
      </w:r>
    </w:p>
    <w:p w14:paraId="0754F48E" w14:textId="79A77EFC" w:rsidR="004C7FAD" w:rsidRPr="004C7FAD" w:rsidRDefault="004C7FAD" w:rsidP="004C7FAD">
      <w:pPr>
        <w:pStyle w:val="3"/>
      </w:pPr>
      <w:r w:rsidRPr="004C7FAD">
        <w:rPr>
          <w:b/>
          <w:bCs/>
        </w:rPr>
        <w:t>现代转化</w:t>
      </w:r>
    </w:p>
    <w:p w14:paraId="4FA6E467" w14:textId="1FA490D5" w:rsidR="004C7FAD" w:rsidRPr="004C7FAD" w:rsidRDefault="004C7FAD" w:rsidP="004C7FAD">
      <w:r w:rsidRPr="004C7FAD">
        <w:rPr>
          <w:b/>
          <w:bCs/>
        </w:rPr>
        <w:t>法律体系</w:t>
      </w:r>
      <w:r w:rsidRPr="004C7FAD">
        <w:br/>
        <w:t>《人民调解法》第三条确立“自愿合法、尊重权利”原则，将儒家“和为贵”理念转化为可操作的解纷机制；《民法典》第288条明确共有物分割规则，为调解提供法律依据。</w:t>
      </w:r>
    </w:p>
    <w:p w14:paraId="25869A92" w14:textId="77777777" w:rsidR="004C7FAD" w:rsidRDefault="004C7FAD" w:rsidP="004C7FAD">
      <w:r w:rsidRPr="004C7FAD">
        <w:rPr>
          <w:b/>
          <w:bCs/>
        </w:rPr>
        <w:t>前情背景</w:t>
      </w:r>
      <w:r w:rsidRPr="004C7FAD">
        <w:br/>
        <w:t>2023年，山东曲阜孔氏家族两兄弟因祖宅分割爆发激烈冲突：</w:t>
      </w:r>
    </w:p>
    <w:p w14:paraId="225AB298" w14:textId="7C0D4E6D" w:rsidR="004C7FAD" w:rsidRDefault="004C7FAD" w:rsidP="004C7FAD">
      <w:pPr>
        <w:rPr>
          <w:rFonts w:hint="eastAsia"/>
        </w:rPr>
      </w:pPr>
      <w:r>
        <w:rPr>
          <w:rFonts w:hint="eastAsia"/>
        </w:rPr>
        <w:t>历史根源：祖宅为清代道光年间所建，1947年土改时登记在弟弟孔某甲祖父名下，1952年土地证确认其七成产权，但兄长孔某乙坚持“长房占祖屋”的传统，要求五五平分。</w:t>
      </w:r>
    </w:p>
    <w:p w14:paraId="0C823FC0" w14:textId="77777777" w:rsidR="004C7FAD" w:rsidRDefault="004C7FAD" w:rsidP="004C7FAD">
      <w:pPr>
        <w:rPr>
          <w:rFonts w:hint="eastAsia"/>
        </w:rPr>
      </w:pPr>
      <w:r>
        <w:rPr>
          <w:rFonts w:hint="eastAsia"/>
        </w:rPr>
        <w:t>冲突升级：弟弟翻修西厢房时，兄长带人砸毁新砌砖墙，并持1958年分家文书主张权益，文书因年代久远字迹模糊，双方多次报警未果，矛盾延续三年。</w:t>
      </w:r>
    </w:p>
    <w:p w14:paraId="50952C65" w14:textId="7BD44F26" w:rsidR="004C7FAD" w:rsidRPr="004C7FAD" w:rsidRDefault="004C7FAD" w:rsidP="004C7FAD"/>
    <w:p w14:paraId="3674504C" w14:textId="77777777" w:rsidR="004C7FAD" w:rsidRDefault="004C7FAD" w:rsidP="004C7FAD">
      <w:pPr>
        <w:pStyle w:val="3"/>
      </w:pPr>
      <w:r w:rsidRPr="004C7FAD">
        <w:rPr>
          <w:b/>
          <w:bCs/>
        </w:rPr>
        <w:t>司法实践</w:t>
      </w:r>
      <w:r w:rsidRPr="004C7FAD">
        <w:br/>
      </w:r>
      <w:r w:rsidRPr="004C7FAD">
        <w:t>曲阜</w:t>
      </w:r>
      <w:r w:rsidRPr="004C7FAD">
        <w:t>“</w:t>
      </w:r>
      <w:r w:rsidRPr="004C7FAD">
        <w:t>和为贵</w:t>
      </w:r>
      <w:r w:rsidRPr="004C7FAD">
        <w:t>”</w:t>
      </w:r>
      <w:r w:rsidRPr="004C7FAD">
        <w:t>调解室介入后，采取</w:t>
      </w:r>
      <w:r w:rsidRPr="004C7FAD">
        <w:t>“</w:t>
      </w:r>
      <w:r w:rsidRPr="004C7FAD">
        <w:t>三步融合法</w:t>
      </w:r>
      <w:r w:rsidRPr="004C7FAD">
        <w:t>”</w:t>
      </w:r>
      <w:r w:rsidRPr="004C7FAD">
        <w:t>：</w:t>
      </w:r>
    </w:p>
    <w:p w14:paraId="1184DE5F" w14:textId="240A33DC" w:rsidR="004C7FAD" w:rsidRPr="004C7FAD" w:rsidRDefault="004C7FAD" w:rsidP="004C7FAD">
      <w:pPr>
        <w:rPr>
          <w:rFonts w:asciiTheme="majorHAnsi" w:eastAsia="黑体" w:hAnsiTheme="majorHAnsi" w:cstheme="majorBidi"/>
        </w:rPr>
      </w:pPr>
      <w:proofErr w:type="gramStart"/>
      <w:r w:rsidRPr="004C7FAD">
        <w:t>引儒析理</w:t>
      </w:r>
      <w:proofErr w:type="gramEnd"/>
      <w:r w:rsidRPr="004C7FAD">
        <w:t>：</w:t>
      </w:r>
    </w:p>
    <w:p w14:paraId="3153947D" w14:textId="77777777" w:rsid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调解员悬挂《孔子圣迹图》中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兄弟怡怡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篇章，引用《论语》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君子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矜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而不争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劝导；</w:t>
      </w:r>
    </w:p>
    <w:p w14:paraId="1B5D6DA6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</w:p>
    <w:p w14:paraId="62901F36" w14:textId="77777777" w:rsid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出示《朱子家礼》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分产须知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条款：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兄弟分财，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务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均平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，消解兄长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长房特权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观念。</w:t>
      </w:r>
    </w:p>
    <w:p w14:paraId="0173D3B6" w14:textId="1F3F82F8" w:rsidR="004C7FAD" w:rsidRPr="004C7FAD" w:rsidRDefault="004C7FAD" w:rsidP="004C7FAD">
      <w:r w:rsidRPr="004C7FAD">
        <w:t>依法确权：</w:t>
      </w:r>
    </w:p>
    <w:p w14:paraId="538D8D8F" w14:textId="77777777" w:rsid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依据《民法典》第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288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条，确认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1952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年土地证的法律效力，认定弟弟拥有七成产权；</w:t>
      </w:r>
    </w:p>
    <w:p w14:paraId="53F7C3AF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</w:p>
    <w:p w14:paraId="787C99BD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但结合《人民调解法》第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22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条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尊重历史习惯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，承认兄长家族百年居住事实。</w:t>
      </w:r>
    </w:p>
    <w:p w14:paraId="5F22D774" w14:textId="77777777" w:rsidR="004C7FAD" w:rsidRPr="004C7FAD" w:rsidRDefault="004C7FAD" w:rsidP="004C7FAD">
      <w:r w:rsidRPr="004C7FAD">
        <w:t>创新方案：</w:t>
      </w:r>
    </w:p>
    <w:p w14:paraId="56B05747" w14:textId="77777777" w:rsid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提出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产权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七三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分，居住权轮换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：弟弟保有产权，兄长可居住东厢房至终老，西厢房由弟弟翻修自用；</w:t>
      </w:r>
    </w:p>
    <w:p w14:paraId="1D22DAEA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 w:hint="eastAsia"/>
          <w:color w:val="404040"/>
          <w:kern w:val="0"/>
          <w:sz w:val="24"/>
          <w14:ligatures w14:val="none"/>
        </w:rPr>
      </w:pPr>
    </w:p>
    <w:p w14:paraId="46112C57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增设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道德约束条款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：若一方违约，须在孔庙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诗礼堂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公开诵读《颜氏家训》悔过，并取消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文明家庭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评优资格。</w:t>
      </w:r>
    </w:p>
    <w:p w14:paraId="1BDECE83" w14:textId="77777777" w:rsidR="004C7FAD" w:rsidRPr="004C7FAD" w:rsidRDefault="004C7FAD" w:rsidP="004C7FAD">
      <w:pPr>
        <w:pStyle w:val="3"/>
      </w:pPr>
      <w:r w:rsidRPr="004C7FAD">
        <w:t>法理嬗变</w:t>
      </w:r>
    </w:p>
    <w:p w14:paraId="77ED8831" w14:textId="77777777" w:rsidR="004C7FAD" w:rsidRDefault="004C7FAD" w:rsidP="004C7FAD">
      <w:r w:rsidRPr="004C7FAD">
        <w:rPr>
          <w:b/>
          <w:bCs/>
        </w:rPr>
        <w:t>突破传统局限</w:t>
      </w:r>
      <w:r w:rsidRPr="004C7FAD">
        <w:t>：</w:t>
      </w:r>
    </w:p>
    <w:p w14:paraId="4DA54750" w14:textId="5AB1F414" w:rsidR="004C7FAD" w:rsidRPr="004C7FAD" w:rsidRDefault="004C7FAD" w:rsidP="004C7FAD">
      <w:pPr>
        <w:numPr>
          <w:ilvl w:val="0"/>
          <w:numId w:val="0"/>
        </w:numPr>
        <w:ind w:left="991"/>
      </w:pPr>
      <w:r w:rsidRPr="004C7FAD">
        <w:t>不同于清代“强制画押”式调解，弟弟当场提出异议后，调解</w:t>
      </w:r>
      <w:proofErr w:type="gramStart"/>
      <w:r w:rsidRPr="004C7FAD">
        <w:t>员启动</w:t>
      </w:r>
      <w:proofErr w:type="gramEnd"/>
      <w:r w:rsidRPr="004C7FAD">
        <w:t>“二次听证”，邀请文物专家鉴定分家文书真伪，体现程序正义。</w:t>
      </w:r>
    </w:p>
    <w:p w14:paraId="7382EE0A" w14:textId="77777777" w:rsidR="004C7FAD" w:rsidRDefault="004C7FAD" w:rsidP="004C7FAD">
      <w:r w:rsidRPr="004C7FAD">
        <w:rPr>
          <w:b/>
          <w:bCs/>
        </w:rPr>
        <w:t>科技赋能</w:t>
      </w:r>
      <w:r w:rsidRPr="004C7FAD">
        <w:t>：</w:t>
      </w:r>
    </w:p>
    <w:p w14:paraId="19AFDB01" w14:textId="00F98515" w:rsidR="004C7FAD" w:rsidRPr="004C7FAD" w:rsidRDefault="004C7FAD" w:rsidP="004C7FAD">
      <w:pPr>
        <w:numPr>
          <w:ilvl w:val="0"/>
          <w:numId w:val="0"/>
        </w:numPr>
        <w:ind w:left="991"/>
        <w:rPr>
          <w:rFonts w:hint="eastAsia"/>
        </w:rPr>
      </w:pPr>
      <w:r w:rsidRPr="004C7FAD">
        <w:t>调解室同步将案件上传至“智慧调解”平台，AI系统自动匹配近五年类似案例23件，生成《祖宅分割类案调解指引》，缩短调解周期从平均15天降至5天。</w:t>
      </w:r>
    </w:p>
    <w:p w14:paraId="0A717761" w14:textId="77777777" w:rsidR="004C7FAD" w:rsidRPr="004C7FAD" w:rsidRDefault="004C7FAD" w:rsidP="004C7FAD">
      <w:pPr>
        <w:pStyle w:val="3"/>
      </w:pPr>
      <w:r w:rsidRPr="004C7FAD">
        <w:t>融合意义</w:t>
      </w:r>
    </w:p>
    <w:p w14:paraId="3DFD78B0" w14:textId="77777777" w:rsidR="004C7FAD" w:rsidRPr="004C7FAD" w:rsidRDefault="004C7FAD" w:rsidP="004C7FAD">
      <w:r w:rsidRPr="004C7FAD">
        <w:t>历史逻辑的当代激活：</w:t>
      </w:r>
    </w:p>
    <w:p w14:paraId="400BD779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兄长最终接受方案时坦言：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若在旧社会，族长早按辈分压服我了，如今能依法讲理，又给老房留面子，我服气。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此语揭示现代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调解既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继承朱熹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以理服人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传统，又摒弃宗法压迫。</w:t>
      </w:r>
    </w:p>
    <w:p w14:paraId="21560723" w14:textId="77777777" w:rsidR="004C7FAD" w:rsidRPr="004C7FAD" w:rsidRDefault="004C7FAD" w:rsidP="004C7FAD">
      <w:r w:rsidRPr="004C7FAD">
        <w:t>制度创新的红线意识：</w:t>
      </w:r>
    </w:p>
    <w:p w14:paraId="7C5C9CCF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当弟弟要求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彻底驱逐兄长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时，调解员明确告知：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若涉及暴力侵权，依据最高法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2023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年新</w:t>
      </w:r>
      <w:proofErr w:type="gramStart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规</w:t>
      </w:r>
      <w:proofErr w:type="gramEnd"/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，必须移送诉讼程序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，守住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调解不代审判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的法治底线。</w:t>
      </w:r>
    </w:p>
    <w:p w14:paraId="07F89BE7" w14:textId="77777777" w:rsidR="004C7FAD" w:rsidRPr="004C7FAD" w:rsidRDefault="004C7FAD" w:rsidP="004C7FAD">
      <w:r w:rsidRPr="004C7FAD">
        <w:t>全球治理的东方样本：</w:t>
      </w:r>
    </w:p>
    <w:p w14:paraId="67819334" w14:textId="77777777" w:rsidR="004C7FAD" w:rsidRPr="004C7FAD" w:rsidRDefault="004C7FAD" w:rsidP="004C7FAD">
      <w:pPr>
        <w:widowControl/>
        <w:numPr>
          <w:ilvl w:val="0"/>
          <w:numId w:val="0"/>
        </w:numPr>
        <w:shd w:val="clear" w:color="auto" w:fill="FFFFFF"/>
        <w:spacing w:after="0" w:line="429" w:lineRule="atLeast"/>
        <w:ind w:left="144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该案调解书被译为英文纳入联合国《多元解纷最佳实践》，评注指出：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“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中国调解机制通过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‘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祖宅分割方案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’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，将《论语》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‘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不患寡而患不均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’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思想转化为具象的产权分配规则，为文化冲突类纠纷提供范式。</w:t>
      </w:r>
      <w:r w:rsidRPr="004C7FAD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”</w:t>
      </w:r>
    </w:p>
    <w:p w14:paraId="70F92B1F" w14:textId="4A9C69C3" w:rsidR="004C7FAD" w:rsidRDefault="004C7FAD" w:rsidP="004C7FAD">
      <w:pPr>
        <w:pStyle w:val="3"/>
      </w:pPr>
      <w:r w:rsidRPr="004C7FAD">
        <w:t>社会回响</w:t>
      </w:r>
    </w:p>
    <w:p w14:paraId="4FBC24E3" w14:textId="77777777" w:rsidR="00AB424F" w:rsidRDefault="00AB424F" w:rsidP="00AB424F">
      <w:r w:rsidRPr="004C7FAD">
        <w:rPr>
          <w:b/>
          <w:bCs/>
        </w:rPr>
        <w:t>数据印证</w:t>
      </w:r>
      <w:r w:rsidRPr="004C7FAD">
        <w:t>：</w:t>
      </w:r>
    </w:p>
    <w:p w14:paraId="7FDFFA51" w14:textId="77777777" w:rsidR="00AB424F" w:rsidRPr="004C7FAD" w:rsidRDefault="00AB424F" w:rsidP="00AB424F">
      <w:pPr>
        <w:numPr>
          <w:ilvl w:val="0"/>
          <w:numId w:val="0"/>
        </w:numPr>
        <w:ind w:left="991"/>
      </w:pPr>
      <w:r w:rsidRPr="004C7FAD">
        <w:t>曲阜2023年涉祖产纠纷诉讼量同比下降40%，90%当事人选择先行调解；</w:t>
      </w:r>
    </w:p>
    <w:p w14:paraId="4E92FE2B" w14:textId="77777777" w:rsidR="00AB424F" w:rsidRDefault="00AB424F" w:rsidP="00AB424F">
      <w:r w:rsidRPr="004C7FAD">
        <w:rPr>
          <w:b/>
          <w:bCs/>
        </w:rPr>
        <w:t>道德涟漪</w:t>
      </w:r>
      <w:r w:rsidRPr="004C7FAD">
        <w:t>：</w:t>
      </w:r>
    </w:p>
    <w:p w14:paraId="668F6292" w14:textId="21585594" w:rsidR="00AB424F" w:rsidRPr="00AB424F" w:rsidRDefault="00AB424F" w:rsidP="00AB424F">
      <w:pPr>
        <w:numPr>
          <w:ilvl w:val="0"/>
          <w:numId w:val="0"/>
        </w:numPr>
        <w:ind w:left="991"/>
        <w:rPr>
          <w:rFonts w:hint="eastAsia"/>
        </w:rPr>
      </w:pPr>
      <w:r w:rsidRPr="004C7FAD">
        <w:t>兄弟履约一年后，主动将祖宅堂屋捐作“家风教育基地”，展陈《孔氏族谱》与调解协议书，墙上铭刻《礼记》“父子笃，兄弟</w:t>
      </w:r>
      <w:proofErr w:type="gramStart"/>
      <w:r w:rsidRPr="004C7FAD">
        <w:t>睦</w:t>
      </w:r>
      <w:proofErr w:type="gramEnd"/>
      <w:r w:rsidRPr="004C7FAD">
        <w:t>”警句，成为儒家伦理与现代法治融合的鲜活注脚。</w:t>
      </w:r>
    </w:p>
    <w:p w14:paraId="1CEAA5D6" w14:textId="7F9FB546" w:rsidR="00AB424F" w:rsidRDefault="00AB424F" w:rsidP="00AB424F">
      <w:pPr>
        <w:pStyle w:val="3"/>
      </w:pPr>
      <w:r>
        <w:rPr>
          <w:rFonts w:hint="eastAsia"/>
        </w:rPr>
        <w:t>结论</w:t>
      </w:r>
    </w:p>
    <w:p w14:paraId="1932A800" w14:textId="6D7D8A6C" w:rsidR="00AB424F" w:rsidRPr="00AB424F" w:rsidRDefault="00AB424F" w:rsidP="00AB424F">
      <w:r w:rsidRPr="00AB424F">
        <w:rPr>
          <w:rFonts w:hint="eastAsia"/>
        </w:rPr>
        <w:t>场祖宅之争的化解，绝非简单的“各退一步”。从AI系统对比《唐律疏议》“田宅诉讼”规则生成调解建议，到以《民法典》切割产权与居住权实现“法理情”三元平衡，中国调解制度既避免重蹈明清“无</w:t>
      </w:r>
      <w:proofErr w:type="gramStart"/>
      <w:r w:rsidRPr="00AB424F">
        <w:rPr>
          <w:rFonts w:hint="eastAsia"/>
        </w:rPr>
        <w:t>讼</w:t>
      </w:r>
      <w:proofErr w:type="gramEnd"/>
      <w:r w:rsidRPr="00AB424F">
        <w:rPr>
          <w:rFonts w:hint="eastAsia"/>
        </w:rPr>
        <w:t>即正义”的绝对化陷阱，又超越西方对抗</w:t>
      </w:r>
      <w:proofErr w:type="gramStart"/>
      <w:r w:rsidRPr="00AB424F">
        <w:rPr>
          <w:rFonts w:hint="eastAsia"/>
        </w:rPr>
        <w:t>式司法</w:t>
      </w:r>
      <w:proofErr w:type="gramEnd"/>
      <w:r w:rsidRPr="00AB424F">
        <w:rPr>
          <w:rFonts w:hint="eastAsia"/>
        </w:rPr>
        <w:t>的零和博弈，在祖宅的青砖灰瓦间写下“德法共治”的现代答案。</w:t>
      </w:r>
    </w:p>
    <w:p w14:paraId="0A9644AD" w14:textId="77777777" w:rsidR="00AB424F" w:rsidRPr="00AB424F" w:rsidRDefault="00AB424F" w:rsidP="00AB424F">
      <w:pPr>
        <w:pStyle w:val="a9"/>
        <w:keepNext/>
        <w:keepLines/>
        <w:widowControl/>
        <w:numPr>
          <w:ilvl w:val="1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31867503" w14:textId="77777777" w:rsidR="00AB424F" w:rsidRPr="00AB424F" w:rsidRDefault="00AB424F" w:rsidP="00AB424F">
      <w:pPr>
        <w:pStyle w:val="a9"/>
        <w:keepNext/>
        <w:keepLines/>
        <w:widowControl/>
        <w:numPr>
          <w:ilvl w:val="1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5A627394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211FF3AF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27EB8538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0BC89F03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5F86C797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3890308F" w14:textId="77777777" w:rsidR="00AB424F" w:rsidRPr="00AB424F" w:rsidRDefault="00AB424F" w:rsidP="00AB424F">
      <w:pPr>
        <w:pStyle w:val="a9"/>
        <w:keepNext/>
        <w:keepLines/>
        <w:widowControl/>
        <w:numPr>
          <w:ilvl w:val="2"/>
          <w:numId w:val="14"/>
        </w:numPr>
        <w:spacing w:before="160" w:after="80"/>
        <w:contextualSpacing w:val="0"/>
        <w:outlineLvl w:val="2"/>
        <w:rPr>
          <w:rFonts w:asciiTheme="majorHAnsi" w:eastAsia="黑体" w:hAnsiTheme="majorHAnsi" w:cstheme="majorBidi"/>
          <w:b/>
          <w:bCs/>
          <w:vanish/>
          <w:sz w:val="24"/>
          <w:szCs w:val="32"/>
        </w:rPr>
      </w:pPr>
    </w:p>
    <w:p w14:paraId="5711BEF4" w14:textId="498053E0" w:rsidR="001F7742" w:rsidRPr="001F7742" w:rsidRDefault="00AB424F" w:rsidP="001F7742">
      <w:pPr>
        <w:pStyle w:val="1"/>
        <w:rPr>
          <w:rFonts w:hint="eastAsia"/>
        </w:rPr>
      </w:pPr>
      <w:r>
        <w:rPr>
          <w:rFonts w:hint="eastAsia"/>
        </w:rPr>
        <w:t>、</w:t>
      </w:r>
      <w:r w:rsidR="001F7742" w:rsidRPr="001F7742">
        <w:rPr>
          <w:rFonts w:hint="eastAsia"/>
        </w:rPr>
        <w:t>挑战与融合路径</w:t>
      </w:r>
    </w:p>
    <w:p w14:paraId="5ED76E3B" w14:textId="7578862E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冲突与调适</w:t>
      </w:r>
    </w:p>
    <w:p w14:paraId="09ACB43D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等级秩序与频道原则</w:t>
      </w:r>
    </w:p>
    <w:p w14:paraId="418B43BA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冲突：儒家传统中的“三纲五常”强调等级秩序，而现代法治社会则强调“法律面前人人平等”。</w:t>
      </w:r>
    </w:p>
    <w:p w14:paraId="16B21FEC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调适：《老年人权益保障法》将儒家孝道转化为法律规范，规定子女须履行“经济供养、生活照料、精神慰藉"义务，体现了法律刚性约束与道德柔性教化的有机结合，实现儒家伦理和法治社会的兼容。</w:t>
      </w:r>
    </w:p>
    <w:p w14:paraId="4A7F630C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“亲亲相隐”伦理 与司法公正需求</w:t>
      </w:r>
    </w:p>
    <w:p w14:paraId="140793AF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冲突：古代儒家“亲亲相隐”的伦理观和现代司法“作证义务”相矛盾。</w:t>
      </w:r>
    </w:p>
    <w:p w14:paraId="01B96FA1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调适：现代法治社会对“亲隐权”的接纳。中国司法实践: 2015 年“南京包庇案”妻子为丈夫作伪证，法院鉴于其"出于夫妻感情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”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而从轻处罚，体现儒家伦理对司法裁量的影响。</w:t>
      </w:r>
    </w:p>
    <w:p w14:paraId="41FC18CE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儒家"亲亲相隐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”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并非鼓励包庇犯罪，而是强调法律应尊重基本人伦。现代法治通过容隐权制度，既维护司法公正，又避免过度干预家庭伦理，实现“情”与“法”的平衡。</w:t>
      </w:r>
    </w:p>
    <w:p w14:paraId="7F505BD8" w14:textId="2BC082BB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创新性转化：</w:t>
      </w:r>
    </w:p>
    <w:p w14:paraId="48E0697A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保留精华：《民法典》第7条将“诚信原则”写入法律，将诚信原则转化为缔约过失、禁止权利滥用等制度。儒家强调“和为贵”，“社会主义核心价值观”中“和谐”“友善”等理念与儒家伦理一脉相承。传统儒家推崇“义”“勇”，法治社会通过法律原则确认伦理精神的核心地位。</w:t>
      </w:r>
    </w:p>
    <w:p w14:paraId="643B3879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摒弃糟粕：现代法律明确反对封建等级残余，如《反家庭暴力法》禁止以“孝道”名义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实施家暴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，强调家庭成员平等。</w:t>
      </w:r>
    </w:p>
    <w:p w14:paraId="4EF25AEA" w14:textId="136408B1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文化赋能法治</w:t>
      </w:r>
    </w:p>
    <w:p w14:paraId="42969E7F" w14:textId="7DBCD5F7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>教育层面：</w:t>
      </w:r>
    </w:p>
    <w:p w14:paraId="274B3FA9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案例：山东曲阜中小学开设“儒学法治课”，通过《论语》经典案例的讲解培养学生“尊法重德”意识。</w:t>
      </w:r>
    </w:p>
    <w:p w14:paraId="0CD601DA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实践：重庆某中学将“见义勇为”纳入德育学分，学生保护弱者可得“伦理学分”，呼应《礼记·儒行》“士见危致命”精神。</w:t>
      </w:r>
    </w:p>
    <w:p w14:paraId="0911B84E" w14:textId="57932458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>社会层面：</w:t>
      </w:r>
    </w:p>
    <w:p w14:paraId="07D82CFB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制度创新：北京社区试点“义举积分制”，将帮扶邻里、调解纠纷等行为量化积分，可兑换社区服务（如医院挂号优先权），2022年试点社区纠纷报警量下降57%。</w:t>
      </w:r>
    </w:p>
    <w:p w14:paraId="0B4245D8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基层治理：广东某社区调解员引用“远亲不如近邻”化解装修噪音纠纷，达成“限时施工+补偿协议”，避免诉讼对人际关系的破坏。</w:t>
      </w:r>
    </w:p>
    <w:p w14:paraId="087E2CD7" w14:textId="638B50C2" w:rsidR="001F7742" w:rsidRPr="001F7742" w:rsidRDefault="001F7742" w:rsidP="001F7742">
      <w:pPr>
        <w:pStyle w:val="3"/>
        <w:rPr>
          <w:rFonts w:hint="eastAsia"/>
        </w:rPr>
      </w:pPr>
      <w:r w:rsidRPr="001F7742">
        <w:rPr>
          <w:rFonts w:hint="eastAsia"/>
        </w:rPr>
        <w:t>文化赋能：</w:t>
      </w:r>
    </w:p>
    <w:p w14:paraId="6B8ADE83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核心价值观融合：社会主义核心价值观中的“友善”“和谐”直接源于儒家伦理。</w:t>
      </w:r>
    </w:p>
    <w:p w14:paraId="64C0552A" w14:textId="101CC559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地域实践：岭南文化中，广州陈家祠通过建筑艺术传递忠孝观念，佛山醒狮“三拜礼”融入尊师重道伦理，成为法治文化的地方性表达。</w:t>
      </w:r>
    </w:p>
    <w:p w14:paraId="419020D9" w14:textId="64EA3FCD" w:rsidR="001F7742" w:rsidRPr="001F7742" w:rsidRDefault="001F7742" w:rsidP="001F7742">
      <w:pPr>
        <w:pStyle w:val="1"/>
        <w:rPr>
          <w:rFonts w:hint="eastAsia"/>
        </w:rPr>
      </w:pPr>
      <w:r w:rsidRPr="001F7742">
        <w:rPr>
          <w:rFonts w:hint="eastAsia"/>
        </w:rPr>
        <w:t>结论</w:t>
      </w:r>
    </w:p>
    <w:p w14:paraId="5148F095" w14:textId="41F5EF59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兼容本质：</w:t>
      </w:r>
    </w:p>
    <w:p w14:paraId="76427677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传统文化与现代文明的深度对话，法律与道德相辅相成。如“亲属拒证权”既保留儒家“亲亲相隐”的人伦关怀，又通过例外条款维护司法公正。</w:t>
      </w:r>
    </w:p>
    <w:p w14:paraId="6EC7BA79" w14:textId="6E18A16E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未来展望：</w:t>
      </w:r>
    </w:p>
    <w:p w14:paraId="7F49AEE9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在科技伦理、数据隐私等新兴领域，儒家的“中庸”思想能够为立法提供平衡视角，避免技术发展走向异化，这正是儒家思想在应对现代性困境时发挥的积极作用。</w:t>
      </w:r>
    </w:p>
    <w:p w14:paraId="48C823B2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构建“法律底线守护+道德思想引领”的中国式治理范式。</w:t>
      </w:r>
    </w:p>
    <w:p w14:paraId="410E31AA" w14:textId="549187EE" w:rsidR="001F7742" w:rsidRPr="001F7742" w:rsidRDefault="001F7742" w:rsidP="001F7742">
      <w:pPr>
        <w:pStyle w:val="2"/>
        <w:rPr>
          <w:rFonts w:hint="eastAsia"/>
        </w:rPr>
      </w:pPr>
      <w:r w:rsidRPr="001F7742">
        <w:rPr>
          <w:rFonts w:hint="eastAsia"/>
        </w:rPr>
        <w:t>呼吁行动：</w:t>
      </w:r>
    </w:p>
    <w:p w14:paraId="589423F8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青年应成为传统与法治融合的</w:t>
      </w:r>
      <w:proofErr w:type="gramStart"/>
      <w:r w:rsidRPr="001F7742">
        <w:rPr>
          <w:rFonts w:ascii="宋体" w:eastAsia="宋体" w:hAnsi="宋体" w:cstheme="majorBidi" w:hint="eastAsia"/>
          <w:sz w:val="21"/>
          <w:szCs w:val="21"/>
        </w:rPr>
        <w:t>践行</w:t>
      </w:r>
      <w:proofErr w:type="gramEnd"/>
      <w:r w:rsidRPr="001F7742">
        <w:rPr>
          <w:rFonts w:ascii="宋体" w:eastAsia="宋体" w:hAnsi="宋体" w:cstheme="majorBidi" w:hint="eastAsia"/>
          <w:sz w:val="21"/>
          <w:szCs w:val="21"/>
        </w:rPr>
        <w:t>者，在校园与生活中推动文明共融。在校园中要遵守规则，与我们息息相关的考试诚信承诺书，不仅是对学术诚信的刚性要求，也跳动着孟子所说“诚者，天之道也"的道德脉搏。</w:t>
      </w:r>
    </w:p>
    <w:p w14:paraId="4634B96F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  <w:r w:rsidRPr="001F7742">
        <w:rPr>
          <w:rFonts w:ascii="宋体" w:eastAsia="宋体" w:hAnsi="宋体" w:cstheme="majorBidi" w:hint="eastAsia"/>
          <w:sz w:val="21"/>
          <w:szCs w:val="21"/>
        </w:rPr>
        <w:t>社会层面上，推广“德法共治”模式，以曲阜市为例村级调解室483个，“和为贵”调解室覆盖所有行政村，由村两委成员、老党员、乡贤等组成调解团队，实现“小事不出村”。</w:t>
      </w:r>
    </w:p>
    <w:p w14:paraId="6FBAB714" w14:textId="77777777" w:rsidR="001F7742" w:rsidRPr="001F7742" w:rsidRDefault="001F7742" w:rsidP="001F7742">
      <w:pPr>
        <w:spacing w:beforeLines="50" w:before="156" w:line="240" w:lineRule="auto"/>
        <w:ind w:left="709" w:hanging="709"/>
        <w:rPr>
          <w:rFonts w:ascii="宋体" w:eastAsia="宋体" w:hAnsi="宋体" w:cstheme="majorBidi" w:hint="eastAsia"/>
          <w:sz w:val="21"/>
          <w:szCs w:val="21"/>
        </w:rPr>
      </w:pPr>
    </w:p>
    <w:p w14:paraId="2A253BE8" w14:textId="77777777" w:rsidR="002802FF" w:rsidRPr="00B91E61" w:rsidRDefault="002802FF">
      <w:pPr>
        <w:rPr>
          <w:rFonts w:hint="eastAsia"/>
        </w:rPr>
      </w:pPr>
    </w:p>
    <w:sectPr w:rsidR="002802FF" w:rsidRPr="00B91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2EFAD" w14:textId="77777777" w:rsidR="005A3070" w:rsidRDefault="005A3070" w:rsidP="003425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7E95DF" w14:textId="77777777" w:rsidR="005A3070" w:rsidRDefault="005A3070" w:rsidP="003425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A7CC" w14:textId="77777777" w:rsidR="005A3070" w:rsidRDefault="005A3070" w:rsidP="003425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197401" w14:textId="77777777" w:rsidR="005A3070" w:rsidRDefault="005A3070" w:rsidP="003425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F3B"/>
    <w:multiLevelType w:val="multilevel"/>
    <w:tmpl w:val="368A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5"/>
        </w:tabs>
        <w:ind w:left="1635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4698"/>
    <w:multiLevelType w:val="hybridMultilevel"/>
    <w:tmpl w:val="82461B04"/>
    <w:lvl w:ilvl="0" w:tplc="DDF80C4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9816E4"/>
    <w:multiLevelType w:val="multilevel"/>
    <w:tmpl w:val="9B4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70C4"/>
    <w:multiLevelType w:val="multilevel"/>
    <w:tmpl w:val="C59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45D4"/>
    <w:multiLevelType w:val="multilevel"/>
    <w:tmpl w:val="18C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55C27"/>
    <w:multiLevelType w:val="multilevel"/>
    <w:tmpl w:val="04D2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3099D"/>
    <w:multiLevelType w:val="multilevel"/>
    <w:tmpl w:val="FC10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43167"/>
    <w:multiLevelType w:val="multilevel"/>
    <w:tmpl w:val="D554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F6069"/>
    <w:multiLevelType w:val="multilevel"/>
    <w:tmpl w:val="BA3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2A52"/>
    <w:multiLevelType w:val="multilevel"/>
    <w:tmpl w:val="A7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22DBE"/>
    <w:multiLevelType w:val="multilevel"/>
    <w:tmpl w:val="400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32A7A"/>
    <w:multiLevelType w:val="hybridMultilevel"/>
    <w:tmpl w:val="908CDFA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1667898"/>
    <w:multiLevelType w:val="multilevel"/>
    <w:tmpl w:val="63D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80906"/>
    <w:multiLevelType w:val="multilevel"/>
    <w:tmpl w:val="FD624E66"/>
    <w:lvl w:ilvl="0">
      <w:start w:val="1"/>
      <w:numFmt w:val="chineseCountingThousand"/>
      <w:lvlText w:val="(%1)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18" w:hanging="567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1984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4576734"/>
    <w:multiLevelType w:val="multilevel"/>
    <w:tmpl w:val="21066EE0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512AE"/>
    <w:multiLevelType w:val="multilevel"/>
    <w:tmpl w:val="5B44D614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50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o"/>
      <w:lvlJc w:val="left"/>
      <w:pPr>
        <w:ind w:left="991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F1B4D44"/>
    <w:multiLevelType w:val="multilevel"/>
    <w:tmpl w:val="4CAA6F62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850" w:hanging="567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pStyle w:val="a"/>
      <w:lvlText w:val="o"/>
      <w:lvlJc w:val="left"/>
      <w:pPr>
        <w:ind w:left="991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2AD6455"/>
    <w:multiLevelType w:val="multilevel"/>
    <w:tmpl w:val="BDB4474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F05F1"/>
    <w:multiLevelType w:val="multilevel"/>
    <w:tmpl w:val="3B0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C577E7"/>
    <w:multiLevelType w:val="multilevel"/>
    <w:tmpl w:val="4FAC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108DA"/>
    <w:multiLevelType w:val="multilevel"/>
    <w:tmpl w:val="5B44D614"/>
    <w:lvl w:ilvl="0">
      <w:start w:val="1"/>
      <w:numFmt w:val="chi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50" w:hanging="567"/>
      </w:pPr>
      <w:rPr>
        <w:rFonts w:hint="eastAsia"/>
      </w:rPr>
    </w:lvl>
    <w:lvl w:ilvl="2">
      <w:start w:val="1"/>
      <w:numFmt w:val="decimal"/>
      <w:lvlText w:val="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o"/>
      <w:lvlJc w:val="left"/>
      <w:pPr>
        <w:ind w:left="991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E5F5347"/>
    <w:multiLevelType w:val="multilevel"/>
    <w:tmpl w:val="0100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242477">
    <w:abstractNumId w:val="6"/>
  </w:num>
  <w:num w:numId="2" w16cid:durableId="557908275">
    <w:abstractNumId w:val="21"/>
  </w:num>
  <w:num w:numId="3" w16cid:durableId="647708091">
    <w:abstractNumId w:val="5"/>
  </w:num>
  <w:num w:numId="4" w16cid:durableId="1955868643">
    <w:abstractNumId w:val="18"/>
  </w:num>
  <w:num w:numId="5" w16cid:durableId="1678311517">
    <w:abstractNumId w:val="17"/>
  </w:num>
  <w:num w:numId="6" w16cid:durableId="2146851049">
    <w:abstractNumId w:val="7"/>
  </w:num>
  <w:num w:numId="7" w16cid:durableId="297499026">
    <w:abstractNumId w:val="8"/>
  </w:num>
  <w:num w:numId="8" w16cid:durableId="739908812">
    <w:abstractNumId w:val="3"/>
  </w:num>
  <w:num w:numId="9" w16cid:durableId="1685132686">
    <w:abstractNumId w:val="10"/>
  </w:num>
  <w:num w:numId="10" w16cid:durableId="436562689">
    <w:abstractNumId w:val="11"/>
  </w:num>
  <w:num w:numId="11" w16cid:durableId="636375521">
    <w:abstractNumId w:val="1"/>
  </w:num>
  <w:num w:numId="12" w16cid:durableId="694699658">
    <w:abstractNumId w:val="13"/>
  </w:num>
  <w:num w:numId="13" w16cid:durableId="51587557">
    <w:abstractNumId w:val="0"/>
  </w:num>
  <w:num w:numId="14" w16cid:durableId="1773160981">
    <w:abstractNumId w:val="15"/>
  </w:num>
  <w:num w:numId="15" w16cid:durableId="1300266396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1745879">
    <w:abstractNumId w:val="12"/>
  </w:num>
  <w:num w:numId="17" w16cid:durableId="1888374359">
    <w:abstractNumId w:val="14"/>
  </w:num>
  <w:num w:numId="18" w16cid:durableId="1292979199">
    <w:abstractNumId w:val="4"/>
  </w:num>
  <w:num w:numId="19" w16cid:durableId="1248617388">
    <w:abstractNumId w:val="9"/>
  </w:num>
  <w:num w:numId="20" w16cid:durableId="146476049">
    <w:abstractNumId w:val="19"/>
  </w:num>
  <w:num w:numId="21" w16cid:durableId="1259095974">
    <w:abstractNumId w:val="2"/>
  </w:num>
  <w:num w:numId="22" w16cid:durableId="1073352349">
    <w:abstractNumId w:val="16"/>
  </w:num>
  <w:num w:numId="23" w16cid:durableId="9218424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BE"/>
    <w:rsid w:val="000D7332"/>
    <w:rsid w:val="000E3166"/>
    <w:rsid w:val="000F567B"/>
    <w:rsid w:val="00116B8F"/>
    <w:rsid w:val="001A64D1"/>
    <w:rsid w:val="001F7742"/>
    <w:rsid w:val="00204BD6"/>
    <w:rsid w:val="00244700"/>
    <w:rsid w:val="002802FF"/>
    <w:rsid w:val="00311748"/>
    <w:rsid w:val="0032714B"/>
    <w:rsid w:val="0034259D"/>
    <w:rsid w:val="003C5D5D"/>
    <w:rsid w:val="003D0A65"/>
    <w:rsid w:val="003F75DE"/>
    <w:rsid w:val="004539EC"/>
    <w:rsid w:val="00495030"/>
    <w:rsid w:val="004C7FAD"/>
    <w:rsid w:val="005374E7"/>
    <w:rsid w:val="0054377A"/>
    <w:rsid w:val="005A3070"/>
    <w:rsid w:val="00666C7F"/>
    <w:rsid w:val="0075111F"/>
    <w:rsid w:val="007724BE"/>
    <w:rsid w:val="007B70AC"/>
    <w:rsid w:val="007F37F1"/>
    <w:rsid w:val="0081087F"/>
    <w:rsid w:val="00821C11"/>
    <w:rsid w:val="008745CF"/>
    <w:rsid w:val="008B619A"/>
    <w:rsid w:val="008F077C"/>
    <w:rsid w:val="009B6D33"/>
    <w:rsid w:val="009B7EB0"/>
    <w:rsid w:val="00A170AB"/>
    <w:rsid w:val="00AA5C4C"/>
    <w:rsid w:val="00AB424F"/>
    <w:rsid w:val="00B91E61"/>
    <w:rsid w:val="00BC079E"/>
    <w:rsid w:val="00BD6E54"/>
    <w:rsid w:val="00BE329F"/>
    <w:rsid w:val="00C67B06"/>
    <w:rsid w:val="00CA301A"/>
    <w:rsid w:val="00D367F9"/>
    <w:rsid w:val="00D43159"/>
    <w:rsid w:val="00D5719B"/>
    <w:rsid w:val="00DA02AC"/>
    <w:rsid w:val="00DD4407"/>
    <w:rsid w:val="00E3514B"/>
    <w:rsid w:val="00EC577B"/>
    <w:rsid w:val="00F3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661F4"/>
  <w15:chartTrackingRefBased/>
  <w15:docId w15:val="{08C9354E-98DF-4BAF-9C12-E5F5E722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numPr>
        <w:ilvl w:val="3"/>
        <w:numId w:val="22"/>
      </w:numPr>
    </w:pPr>
  </w:style>
  <w:style w:type="paragraph" w:styleId="1">
    <w:name w:val="heading 1"/>
    <w:next w:val="a"/>
    <w:link w:val="10"/>
    <w:uiPriority w:val="9"/>
    <w:qFormat/>
    <w:rsid w:val="00821C11"/>
    <w:pPr>
      <w:numPr>
        <w:numId w:val="22"/>
      </w:numPr>
      <w:outlineLvl w:val="0"/>
    </w:pPr>
    <w:rPr>
      <w:rFonts w:asciiTheme="majorHAnsi" w:eastAsia="黑体" w:hAnsiTheme="majorHAnsi" w:cstheme="majorBidi"/>
      <w:sz w:val="30"/>
      <w:szCs w:val="40"/>
    </w:rPr>
  </w:style>
  <w:style w:type="paragraph" w:styleId="2">
    <w:name w:val="heading 2"/>
    <w:next w:val="a"/>
    <w:link w:val="20"/>
    <w:uiPriority w:val="9"/>
    <w:unhideWhenUsed/>
    <w:qFormat/>
    <w:rsid w:val="0034259D"/>
    <w:pPr>
      <w:keepNext/>
      <w:keepLines/>
      <w:numPr>
        <w:ilvl w:val="1"/>
        <w:numId w:val="22"/>
      </w:numPr>
      <w:spacing w:before="160" w:after="80"/>
      <w:outlineLvl w:val="1"/>
    </w:pPr>
    <w:rPr>
      <w:rFonts w:asciiTheme="majorHAnsi" w:eastAsia="黑体" w:hAnsiTheme="majorHAnsi" w:cstheme="majorBidi"/>
      <w:sz w:val="24"/>
      <w:szCs w:val="40"/>
    </w:rPr>
  </w:style>
  <w:style w:type="paragraph" w:styleId="3">
    <w:name w:val="heading 3"/>
    <w:next w:val="a"/>
    <w:link w:val="30"/>
    <w:uiPriority w:val="9"/>
    <w:unhideWhenUsed/>
    <w:qFormat/>
    <w:rsid w:val="00244700"/>
    <w:pPr>
      <w:keepNext/>
      <w:keepLines/>
      <w:numPr>
        <w:ilvl w:val="2"/>
        <w:numId w:val="22"/>
      </w:numPr>
      <w:spacing w:before="160" w:after="80"/>
      <w:outlineLvl w:val="2"/>
    </w:pPr>
    <w:rPr>
      <w:rFonts w:asciiTheme="majorHAnsi" w:eastAsia="黑体" w:hAnsiTheme="majorHAnsi" w:cstheme="majorBidi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4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4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4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4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4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4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C11"/>
    <w:rPr>
      <w:rFonts w:asciiTheme="majorHAnsi" w:eastAsia="黑体" w:hAnsiTheme="majorHAnsi" w:cstheme="majorBidi"/>
      <w:sz w:val="30"/>
      <w:szCs w:val="40"/>
    </w:rPr>
  </w:style>
  <w:style w:type="character" w:customStyle="1" w:styleId="20">
    <w:name w:val="标题 2 字符"/>
    <w:basedOn w:val="a0"/>
    <w:link w:val="2"/>
    <w:uiPriority w:val="9"/>
    <w:rsid w:val="0034259D"/>
    <w:rPr>
      <w:rFonts w:asciiTheme="majorHAnsi" w:eastAsia="黑体" w:hAnsiTheme="majorHAnsi" w:cstheme="majorBidi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244700"/>
    <w:rPr>
      <w:rFonts w:asciiTheme="majorHAnsi" w:eastAsia="黑体" w:hAnsiTheme="majorHAnsi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4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4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4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4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4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4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C11"/>
    <w:pPr>
      <w:spacing w:after="80" w:line="240" w:lineRule="auto"/>
      <w:contextualSpacing/>
    </w:pPr>
    <w:rPr>
      <w:rFonts w:asciiTheme="majorHAnsi" w:eastAsia="黑体" w:hAnsiTheme="majorHAnsi" w:cstheme="majorBidi"/>
      <w:spacing w:val="-10"/>
      <w:kern w:val="28"/>
      <w:sz w:val="10"/>
      <w:szCs w:val="56"/>
    </w:rPr>
  </w:style>
  <w:style w:type="character" w:customStyle="1" w:styleId="a4">
    <w:name w:val="标题 字符"/>
    <w:basedOn w:val="a0"/>
    <w:link w:val="a3"/>
    <w:uiPriority w:val="10"/>
    <w:rsid w:val="00821C11"/>
    <w:rPr>
      <w:rFonts w:asciiTheme="majorHAnsi" w:eastAsia="黑体" w:hAnsiTheme="majorHAnsi" w:cstheme="majorBidi"/>
      <w:spacing w:val="-10"/>
      <w:kern w:val="28"/>
      <w:sz w:val="1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4BE"/>
    <w:pPr>
      <w:numPr>
        <w:ilvl w:val="0"/>
        <w:numId w:val="0"/>
      </w:numPr>
      <w:ind w:left="992" w:hanging="56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4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4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4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4B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F56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F567B"/>
    <w:rPr>
      <w:b/>
      <w:bCs/>
    </w:rPr>
  </w:style>
  <w:style w:type="paragraph" w:styleId="af">
    <w:name w:val="header"/>
    <w:basedOn w:val="a"/>
    <w:link w:val="af0"/>
    <w:uiPriority w:val="99"/>
    <w:unhideWhenUsed/>
    <w:rsid w:val="003425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4259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425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42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2077</Words>
  <Characters>2162</Characters>
  <Application>Microsoft Office Word</Application>
  <DocSecurity>0</DocSecurity>
  <Lines>98</Lines>
  <Paragraphs>111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5</cp:revision>
  <dcterms:created xsi:type="dcterms:W3CDTF">2025-05-04T16:07:00Z</dcterms:created>
  <dcterms:modified xsi:type="dcterms:W3CDTF">2025-05-05T04:28:00Z</dcterms:modified>
</cp:coreProperties>
</file>