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3134" w14:textId="77777777" w:rsidR="0010348B" w:rsidRDefault="00000000">
      <w:pPr>
        <w:pStyle w:val="MainTitle"/>
        <w:rPr>
          <w:rFonts w:hint="eastAsia"/>
        </w:rPr>
      </w:pPr>
      <w:r>
        <w:t>document</w:t>
      </w:r>
    </w:p>
    <w:p w14:paraId="30119339" w14:textId="77777777" w:rsidR="0010348B" w:rsidRDefault="00000000">
      <w:pPr>
        <w:pStyle w:val="1"/>
        <w:rPr>
          <w:rFonts w:hint="eastAsia"/>
        </w:rPr>
      </w:pPr>
      <w:r>
        <w:t>新能源汽车购置补贴与税费减免对个人购车的财务影响分析</w:t>
      </w:r>
    </w:p>
    <w:p w14:paraId="2D49CAF3" w14:textId="77777777" w:rsidR="0010348B" w:rsidRDefault="00000000">
      <w:pPr>
        <w:rPr>
          <w:rFonts w:hint="eastAsia"/>
        </w:rPr>
      </w:pPr>
      <w:r>
        <w:rPr>
          <w:b/>
          <w:bCs/>
        </w:rPr>
        <w:t>封面（按要求右对齐排版）</w:t>
      </w:r>
    </w:p>
    <w:p w14:paraId="02FB8C92" w14:textId="77777777" w:rsidR="0010348B" w:rsidRDefault="00000000">
      <w:pPr>
        <w:pStyle w:val="CodeBlock"/>
        <w:numPr>
          <w:ilvl w:val="0"/>
          <w:numId w:val="3"/>
        </w:numPr>
        <w:rPr>
          <w:rFonts w:hint="eastAsia"/>
        </w:rPr>
      </w:pPr>
      <w:r>
        <w:t>学号：XXXXXXXX</w:t>
      </w:r>
    </w:p>
    <w:p w14:paraId="074C6AAD" w14:textId="77777777" w:rsidR="0010348B" w:rsidRDefault="00000000">
      <w:pPr>
        <w:pStyle w:val="CodeBlock"/>
        <w:numPr>
          <w:ilvl w:val="0"/>
          <w:numId w:val="3"/>
        </w:numPr>
        <w:rPr>
          <w:rFonts w:hint="eastAsia"/>
        </w:rPr>
      </w:pPr>
      <w:r>
        <w:t>姓名：XXX</w:t>
      </w:r>
    </w:p>
    <w:p w14:paraId="19A513B8" w14:textId="77777777" w:rsidR="0010348B" w:rsidRDefault="00000000">
      <w:pPr>
        <w:pStyle w:val="CodeBlock"/>
        <w:numPr>
          <w:ilvl w:val="0"/>
          <w:numId w:val="3"/>
        </w:numPr>
        <w:rPr>
          <w:rFonts w:hint="eastAsia"/>
        </w:rPr>
      </w:pPr>
      <w:r>
        <w:t>学院：会计学院</w:t>
      </w:r>
    </w:p>
    <w:p w14:paraId="6CF22C09" w14:textId="77777777" w:rsidR="0010348B" w:rsidRDefault="00000000">
      <w:pPr>
        <w:pStyle w:val="CodeBlock"/>
        <w:numPr>
          <w:ilvl w:val="0"/>
          <w:numId w:val="3"/>
        </w:numPr>
        <w:rPr>
          <w:rFonts w:hint="eastAsia"/>
        </w:rPr>
      </w:pPr>
      <w:r>
        <w:t>班级：会计学20XX级X班</w:t>
      </w:r>
    </w:p>
    <w:p w14:paraId="21903AB0" w14:textId="77777777" w:rsidR="0010348B" w:rsidRDefault="00000000">
      <w:pPr>
        <w:pStyle w:val="CodeBlock"/>
        <w:numPr>
          <w:ilvl w:val="0"/>
          <w:numId w:val="3"/>
        </w:numPr>
        <w:rPr>
          <w:rFonts w:hint="eastAsia"/>
        </w:rPr>
      </w:pPr>
      <w:r>
        <w:t>选课名称：新能源与电动汽车概论</w:t>
      </w:r>
    </w:p>
    <w:p w14:paraId="352832E7" w14:textId="77777777" w:rsidR="0010348B" w:rsidRDefault="00000000">
      <w:pPr>
        <w:pStyle w:val="2"/>
        <w:rPr>
          <w:rFonts w:hint="eastAsia"/>
        </w:rPr>
      </w:pPr>
      <w:r>
        <w:t>摘要</w:t>
      </w:r>
    </w:p>
    <w:p w14:paraId="62358DE6" w14:textId="77777777" w:rsidR="0010348B" w:rsidRDefault="00000000">
      <w:pPr>
        <w:rPr>
          <w:rFonts w:hint="eastAsia"/>
        </w:rPr>
      </w:pPr>
      <w:r>
        <w:t>在“双碳”战略目标的推动下，我国新能源汽车产业实现了跨越式发展，购置补贴与税费减免政策是拉动个人新能源汽车消费的核心抓手。本文结合我国现行新能源汽车购置补贴与税费减免政策，从会计学财务成本核算视角，通过具体车型案例测算，分析相关政策对个人购车全流程的直接与间接财务影响，探讨当前政策存在的不足，并提出优化建议。研究发现，现行税费减免政策能显著降低个人购车的初始成本与全生命周期成本，直接影响消费者的购车决策，但仍存在政策梯度不足、地方政策碎片化等问题。本文的研究可为普通消费者购车财务决策提供参考，同时也为政策优化提供了个人视角的见解。</w:t>
      </w:r>
    </w:p>
    <w:p w14:paraId="3B91A36C" w14:textId="77777777" w:rsidR="0010348B" w:rsidRDefault="00000000">
      <w:pPr>
        <w:rPr>
          <w:rFonts w:hint="eastAsia"/>
        </w:rPr>
      </w:pPr>
      <w:r>
        <w:rPr>
          <w:b/>
          <w:bCs/>
        </w:rPr>
        <w:t>关键词</w:t>
      </w:r>
      <w:r>
        <w:t>：新能源汽车；购置补贴；税费减免；个人购车；财务决策</w:t>
      </w:r>
    </w:p>
    <w:p w14:paraId="5D372B2B" w14:textId="77777777" w:rsidR="0010348B" w:rsidRDefault="0010348B">
      <w:pPr>
        <w:pStyle w:val="Seperate"/>
        <w:pBdr>
          <w:bottom w:val="single" w:sz="6" w:space="0" w:color="080F17"/>
        </w:pBdr>
        <w:rPr>
          <w:rFonts w:hint="eastAsia"/>
        </w:rPr>
      </w:pPr>
    </w:p>
    <w:p w14:paraId="287FEEA8" w14:textId="77777777" w:rsidR="0010348B" w:rsidRDefault="0010348B">
      <w:pPr>
        <w:pStyle w:val="Seperate"/>
        <w:rPr>
          <w:rFonts w:hint="eastAsia"/>
        </w:rPr>
      </w:pPr>
    </w:p>
    <w:p w14:paraId="4EF37B4C" w14:textId="77777777" w:rsidR="0010348B" w:rsidRDefault="00000000">
      <w:pPr>
        <w:pStyle w:val="2"/>
        <w:rPr>
          <w:rFonts w:hint="eastAsia"/>
        </w:rPr>
      </w:pPr>
      <w:r>
        <w:t>1 引言</w:t>
      </w:r>
    </w:p>
    <w:p w14:paraId="6DCDEB66" w14:textId="77777777" w:rsidR="0010348B" w:rsidRDefault="00000000">
      <w:pPr>
        <w:rPr>
          <w:rFonts w:hint="eastAsia"/>
        </w:rPr>
      </w:pPr>
      <w:r>
        <w:t>在“双碳”战略目标的引领下，新能源汽车已成为我国汽车产业转型升级的核心方向，也是实现交通领域绿色低碳发展的关键路径。自2009年我国启动新能源汽车推广应用工作以来，购置补贴、税费减免等激励政策始终是撬动消费市场、推动产业发展的重要工具。经过多年的政策迭代，我国新能源汽车政策已从早期的</w:t>
      </w:r>
      <w:proofErr w:type="gramStart"/>
      <w:r>
        <w:t>普惠式购置</w:t>
      </w:r>
      <w:proofErr w:type="gramEnd"/>
      <w:r>
        <w:t>补贴，逐步转</w:t>
      </w:r>
      <w:r>
        <w:lastRenderedPageBreak/>
        <w:t>向以车辆购置税减免为核心的长期激励机制，政策导向也从产业培育转向消费端的持续拉动。</w:t>
      </w:r>
    </w:p>
    <w:p w14:paraId="0FCC8B43" w14:textId="77777777" w:rsidR="0010348B" w:rsidRDefault="00000000">
      <w:pPr>
        <w:rPr>
          <w:rFonts w:hint="eastAsia"/>
        </w:rPr>
      </w:pPr>
      <w:r>
        <w:t>个人消费者是我国新能源汽车消费市场的绝对主力，据中国汽车工业协会发布的《2025年中国汽车工业经济运行报告》显示，2025年我国新能源乘用车零售销量达850万辆，其中个人消费占比超过80%。对于个人消费者而言，购车决策本质上是一项家庭财务决策，购置成本、使用成本等财务指标是影响最终选择的核心因素。本文结合《新能源与电动汽车概论》课程所学的相关理论知识，立足会计学专业的财务成本核算视角，梳理我国现行新能源汽车购置相关补贴与税费减免政策，通过具体案例测算政策对个人购车的财务影响，分析政策的作用效果与现存问题，并提出个人见解与优化建议，既为普通消费者购车财务决策提供参考，也完成课程要求的学术训练。</w:t>
      </w:r>
    </w:p>
    <w:p w14:paraId="35074FB3" w14:textId="77777777" w:rsidR="0010348B" w:rsidRDefault="00000000">
      <w:pPr>
        <w:pStyle w:val="2"/>
        <w:rPr>
          <w:rFonts w:hint="eastAsia"/>
        </w:rPr>
      </w:pPr>
      <w:r>
        <w:t>2 我国新能源汽车购置相关补贴与税费减免政策梳理</w:t>
      </w:r>
    </w:p>
    <w:p w14:paraId="74894F01" w14:textId="77777777" w:rsidR="0010348B" w:rsidRDefault="00000000">
      <w:pPr>
        <w:rPr>
          <w:rFonts w:hint="eastAsia"/>
        </w:rPr>
      </w:pPr>
      <w:r>
        <w:t>我国新能源汽车激励政策历经十余年的迭代优化，已形成“国家层面税费减免为主、地方层面购置补贴为辅”的政策体系，核心聚焦于降低个人消费者的购车与使用成本，具体政策可分为国家层面的法定税费减免与地方层面的购置补贴两大类。</w:t>
      </w:r>
    </w:p>
    <w:p w14:paraId="52A8D66B" w14:textId="77777777" w:rsidR="0010348B" w:rsidRDefault="00000000">
      <w:pPr>
        <w:pStyle w:val="3"/>
        <w:rPr>
          <w:rFonts w:hint="eastAsia"/>
        </w:rPr>
      </w:pPr>
      <w:r>
        <w:t>2.1 国家层面核心税费减免政策</w:t>
      </w:r>
    </w:p>
    <w:p w14:paraId="3236A6DB" w14:textId="77777777" w:rsidR="0010348B" w:rsidRDefault="00000000">
      <w:pPr>
        <w:rPr>
          <w:rFonts w:hint="eastAsia"/>
        </w:rPr>
      </w:pPr>
      <w:r>
        <w:t>国家层面的政策具有普惠性、稳定性的特点，是影响个人购车财务成本的核心因素，主要包括车辆购置税减免、车船税免征两大类别。</w:t>
      </w:r>
    </w:p>
    <w:p w14:paraId="75ABED2E" w14:textId="77777777" w:rsidR="0010348B" w:rsidRDefault="00000000">
      <w:pPr>
        <w:rPr>
          <w:rFonts w:hint="eastAsia"/>
        </w:rPr>
      </w:pPr>
      <w:r>
        <w:t>在车辆购置税方面，我国自2014年起首次实施新能源汽车免征车辆购置税政策，历经多次延续与优化，现行政策为财政部、税务总局发布的《关于延续和优化新能源汽车车辆购置税减免政策的公告》（财政部 税务总局公告2024年第3号），核心内容为：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根据《中华人民共和国车辆购置税法》，车辆购置税的税率为10%，计税价格为应税车辆的不含增值税价格，这一政策直接为个人消费者减免了最高3万元的购车初始成本，是当前</w:t>
      </w:r>
      <w:proofErr w:type="gramStart"/>
      <w:r>
        <w:t>最</w:t>
      </w:r>
      <w:proofErr w:type="gramEnd"/>
      <w:r>
        <w:t>核心的激励政策。</w:t>
      </w:r>
    </w:p>
    <w:p w14:paraId="5FB704CE" w14:textId="77777777" w:rsidR="0010348B" w:rsidRDefault="00000000">
      <w:pPr>
        <w:rPr>
          <w:rFonts w:hint="eastAsia"/>
        </w:rPr>
      </w:pPr>
      <w:r>
        <w:t>在车船税方面，根据《中华人民共和国车船税法》及其实施条例，我国自2012年起对纯电动商用车、插电式（</w:t>
      </w:r>
      <w:proofErr w:type="gramStart"/>
      <w:r>
        <w:t>含增程式</w:t>
      </w:r>
      <w:proofErr w:type="gramEnd"/>
      <w:r>
        <w:t>）混合动力汽车免征车船税，纯电动乘用车和燃料电池乘用车不属于车船税征税范围，不征收车船税。相较于传统燃油车</w:t>
      </w:r>
      <w:proofErr w:type="gramStart"/>
      <w:r>
        <w:t>按排</w:t>
      </w:r>
      <w:proofErr w:type="gramEnd"/>
      <w:r>
        <w:t>量征收车船税（年基准税额从60元至5400元不等），该政策为个人消费者减免了车辆</w:t>
      </w:r>
      <w:proofErr w:type="gramStart"/>
      <w:r>
        <w:t>全使用</w:t>
      </w:r>
      <w:proofErr w:type="gramEnd"/>
      <w:r>
        <w:t>周期内的固定税费支出。</w:t>
      </w:r>
    </w:p>
    <w:p w14:paraId="0B403FDC" w14:textId="77777777" w:rsidR="0010348B" w:rsidRDefault="00000000">
      <w:pPr>
        <w:pStyle w:val="3"/>
        <w:rPr>
          <w:rFonts w:hint="eastAsia"/>
        </w:rPr>
      </w:pPr>
      <w:r>
        <w:t>2.2 地方层面配套购置补贴政策</w:t>
      </w:r>
    </w:p>
    <w:p w14:paraId="3ADE996A" w14:textId="77777777" w:rsidR="0010348B" w:rsidRDefault="00000000">
      <w:pPr>
        <w:rPr>
          <w:rFonts w:hint="eastAsia"/>
        </w:rPr>
      </w:pPr>
      <w:r>
        <w:t>在国家税费减免政策的基础上，各地方政府结合本地产业发展与消费促进需求，出台了针对性的购置补贴政策，形成了对国家政策的补充。以广东省为例，2025年广东省出台了《广东省促进汽车消费若干措施》，对个人消费者在省内购买以旧换新推广车型范围内的新能源乘用车，给予最高8000元/辆的补贴；同时鼓励各地市出台叠加补贴政策，如东莞市对个人消费者新购置新能源乘用车给予最高5000元/辆的购置补贴，进一步降低了本地消费者的购车成本。</w:t>
      </w:r>
    </w:p>
    <w:p w14:paraId="08B03DB8" w14:textId="77777777" w:rsidR="0010348B" w:rsidRDefault="00000000">
      <w:pPr>
        <w:rPr>
          <w:rFonts w:hint="eastAsia"/>
        </w:rPr>
      </w:pPr>
      <w:r>
        <w:t>从政策演变来看，我国新能源汽车激励政策已完成从“普惠式补贴”到“结构性减免”的转型，政策设计更加注重精准性，既保障了对中低端家用车型的普惠激励，也兼顾了产业升级的导向。这与国内学者的研究结论一致，李传志等（2024）在研究中指出，车辆购置税减免政策相较于直接购置补贴，具有更稳定的市场预期，对个人消费的拉动作用更具持续性。</w:t>
      </w:r>
    </w:p>
    <w:p w14:paraId="6C3C76E3" w14:textId="77777777" w:rsidR="0010348B" w:rsidRDefault="00000000">
      <w:pPr>
        <w:pStyle w:val="2"/>
        <w:rPr>
          <w:rFonts w:hint="eastAsia"/>
        </w:rPr>
      </w:pPr>
      <w:r>
        <w:t>3 补贴与税费减免对个人购车的财务影响测算与分析</w:t>
      </w:r>
    </w:p>
    <w:p w14:paraId="66A9C166" w14:textId="77777777" w:rsidR="0010348B" w:rsidRDefault="00000000">
      <w:pPr>
        <w:rPr>
          <w:rFonts w:hint="eastAsia"/>
        </w:rPr>
      </w:pPr>
      <w:r>
        <w:t>从会计学财务核算视角来看，个人购车的财务成本可分为初始购车成本与全生命周期使用成本两大维度，购置补贴与税费减免政策通过直接减免、间接让利的方式，对两个维度的成本均产生显著影响，最终作用于个人的购车财务决策。本文选取当前家用车市场主流的3个价格区间车型，结合现行政策进行具体测算，所有测算均基于增值税税率13%、车辆购置</w:t>
      </w:r>
      <w:proofErr w:type="gramStart"/>
      <w:r>
        <w:t>税</w:t>
      </w:r>
      <w:proofErr w:type="gramEnd"/>
      <w:r>
        <w:t>税率10%的法定标准。</w:t>
      </w:r>
    </w:p>
    <w:p w14:paraId="196D454B" w14:textId="77777777" w:rsidR="0010348B" w:rsidRDefault="00000000">
      <w:pPr>
        <w:pStyle w:val="3"/>
        <w:rPr>
          <w:rFonts w:hint="eastAsia"/>
        </w:rPr>
      </w:pPr>
      <w:r>
        <w:t>3.1 对初始购车环节的直接财务影响</w:t>
      </w:r>
    </w:p>
    <w:p w14:paraId="1007FC8E" w14:textId="77777777" w:rsidR="0010348B" w:rsidRDefault="00000000">
      <w:pPr>
        <w:rPr>
          <w:rFonts w:hint="eastAsia"/>
        </w:rPr>
      </w:pPr>
      <w:r>
        <w:t>初始购车成本是个人消费者购车决策中最敏感的指标，主要包括车辆</w:t>
      </w:r>
      <w:proofErr w:type="gramStart"/>
      <w:r>
        <w:t>裸</w:t>
      </w:r>
      <w:proofErr w:type="gramEnd"/>
      <w:r>
        <w:t>车价、车辆购置税、上牌费等核心支出，其中车辆购置税</w:t>
      </w:r>
      <w:proofErr w:type="gramStart"/>
      <w:r>
        <w:t>是除裸车价</w:t>
      </w:r>
      <w:proofErr w:type="gramEnd"/>
      <w:r>
        <w:t>外最大的刚性支出，也是政策影响最直接的部分。</w:t>
      </w:r>
    </w:p>
    <w:p w14:paraId="1D7090CE" w14:textId="77777777" w:rsidR="0010348B" w:rsidRDefault="00000000">
      <w:pPr>
        <w:rPr>
          <w:rFonts w:hint="eastAsia"/>
        </w:rPr>
      </w:pPr>
      <w:r>
        <w:t>本文选取3款主流家用车型进行对比测算，分别为：A车型（10万元</w:t>
      </w:r>
      <w:proofErr w:type="gramStart"/>
      <w:r>
        <w:t>级纯电家用</w:t>
      </w:r>
      <w:proofErr w:type="gramEnd"/>
      <w:r>
        <w:t>车，不含增值税价88495.58元）、B车型（15万元</w:t>
      </w:r>
      <w:proofErr w:type="gramStart"/>
      <w:r>
        <w:t>级插电混动</w:t>
      </w:r>
      <w:proofErr w:type="gramEnd"/>
      <w:r>
        <w:t>家用车，不含增值税价132743.36元）、C车型（35万元级中高端纯电车，不含增值税价309734.51元），测算结果如下：</w:t>
      </w:r>
    </w:p>
    <w:p w14:paraId="026FF1AD" w14:textId="77777777" w:rsidR="0010348B" w:rsidRDefault="00000000">
      <w:pPr>
        <w:numPr>
          <w:ilvl w:val="0"/>
          <w:numId w:val="4"/>
        </w:numPr>
        <w:rPr>
          <w:rFonts w:hint="eastAsia"/>
        </w:rPr>
      </w:pPr>
      <w:r>
        <w:t>对于A车型（10万元级），按10%税率计算的应征车辆购置税为8849.56元，根据现行2024-2025年免征政策可全额减免，叠加东莞市5000元的地方购置补贴，个人消费者合计可减少初始购车支出13849.56元，占车辆不含税价的15.65%。</w:t>
      </w:r>
    </w:p>
    <w:p w14:paraId="1B972E3A" w14:textId="77777777" w:rsidR="0010348B" w:rsidRDefault="00000000">
      <w:pPr>
        <w:numPr>
          <w:ilvl w:val="0"/>
          <w:numId w:val="4"/>
        </w:numPr>
        <w:rPr>
          <w:rFonts w:hint="eastAsia"/>
        </w:rPr>
      </w:pPr>
      <w:r>
        <w:t>对于B车型（15万元级），应征车辆购置税为13274.34元，可全额免征，叠加广东省以旧换新8000元补贴，合计可减少初始购车支出21274.34元，占车辆不含税价的16.03%。</w:t>
      </w:r>
    </w:p>
    <w:p w14:paraId="11D51947" w14:textId="77777777" w:rsidR="0010348B" w:rsidRDefault="00000000">
      <w:pPr>
        <w:numPr>
          <w:ilvl w:val="0"/>
          <w:numId w:val="4"/>
        </w:numPr>
        <w:rPr>
          <w:rFonts w:hint="eastAsia"/>
        </w:rPr>
      </w:pPr>
      <w:r>
        <w:t>对于C车型（35万元级），应征车辆购置税为30973.45元，根据政策免税额不超过3万元的规定，可减免30000元，剩余973.45元</w:t>
      </w:r>
      <w:proofErr w:type="gramStart"/>
      <w:r>
        <w:t>需正常</w:t>
      </w:r>
      <w:proofErr w:type="gramEnd"/>
      <w:r>
        <w:t>缴纳，相较于无减免政策，仍可减少96.86%的购置税支出。</w:t>
      </w:r>
    </w:p>
    <w:p w14:paraId="373777BC" w14:textId="77777777" w:rsidR="0010348B" w:rsidRDefault="00000000">
      <w:pPr>
        <w:rPr>
          <w:rFonts w:hint="eastAsia"/>
        </w:rPr>
      </w:pPr>
      <w:r>
        <w:t>从测算结果可以清晰看出，现行车辆购置税减免政策对10-20万元级的家用主力车型实现了全额减免，叠加地方购置补贴后，可降低15%以上的初始购车成本，这对于预算有限的家庭消费者而言，具有极强的激励作用，这也与国内新能源汽车市场10-20万元车型销量占比最高的现状相契合。正如刘尚希等（2023）在研究中指出的，车辆购置税减免政策通过直接降低刚性支出，有效提升了居民的购车支付能力，是拉动新能源汽车消费最直接的政策工具。</w:t>
      </w:r>
    </w:p>
    <w:p w14:paraId="65F930F3" w14:textId="77777777" w:rsidR="0010348B" w:rsidRDefault="00000000">
      <w:pPr>
        <w:pStyle w:val="3"/>
        <w:rPr>
          <w:rFonts w:hint="eastAsia"/>
        </w:rPr>
      </w:pPr>
      <w:r>
        <w:t>3.2 对全生命周期使用成本的间接财务影响</w:t>
      </w:r>
    </w:p>
    <w:p w14:paraId="23D7C953" w14:textId="77777777" w:rsidR="0010348B" w:rsidRDefault="00000000">
      <w:pPr>
        <w:rPr>
          <w:rFonts w:hint="eastAsia"/>
        </w:rPr>
      </w:pPr>
      <w:r>
        <w:t>除了初始购车环节，税费减免政策还对车辆全生命周期的使用成本产生持续影响，核心体现在车船税免征的长期收益上。以传统燃油车为例，1.6L-2.0L排量的家用车年车船税为360元，2.0L-2.5L排量的年车船税为720元，按家用车平均8年的使用周期计算，传统燃油车全生命周期需缴纳车船税2880元至5760元，而新能源汽车可全额免征该笔税费，相当于为消费者带来了一笔确定性的长期财务收益。</w:t>
      </w:r>
    </w:p>
    <w:p w14:paraId="28532FF9" w14:textId="77777777" w:rsidR="0010348B" w:rsidRDefault="00000000">
      <w:pPr>
        <w:rPr>
          <w:rFonts w:hint="eastAsia"/>
        </w:rPr>
      </w:pPr>
      <w:r>
        <w:t>同时，购置补贴与税费减免政策通过扩大市场规模，推动了新能源汽车产业的规模化生产，进而降低</w:t>
      </w:r>
      <w:proofErr w:type="gramStart"/>
      <w:r>
        <w:t>了车企的</w:t>
      </w:r>
      <w:proofErr w:type="gramEnd"/>
      <w:r>
        <w:t>单位生产成本，最终通过终端定价让利给个人消费者，形成了“政策激励-销量提升-成本下降-价格降低”的正向循环，间接降低了个人消费者的购车成本。此外，新能源汽车本身的使用成本（电费、保养费）远低于传统燃油车，叠加税费减免的收益，进一步缩小了新能源汽车与同级别燃油车的全生命周期成本差距，甚至实现了反超。</w:t>
      </w:r>
    </w:p>
    <w:p w14:paraId="1A642D7D" w14:textId="77777777" w:rsidR="0010348B" w:rsidRDefault="00000000">
      <w:pPr>
        <w:pStyle w:val="3"/>
        <w:rPr>
          <w:rFonts w:hint="eastAsia"/>
        </w:rPr>
      </w:pPr>
      <w:r>
        <w:t>3.3 对个人购车财务决策的影响</w:t>
      </w:r>
    </w:p>
    <w:p w14:paraId="1031D992" w14:textId="77777777" w:rsidR="0010348B" w:rsidRDefault="00000000">
      <w:pPr>
        <w:rPr>
          <w:rFonts w:hint="eastAsia"/>
        </w:rPr>
      </w:pPr>
      <w:r>
        <w:t>从家庭财务决策的视角来看，消费者在选择新能源汽车与传统燃油车时，核心关注的指标之一就是成本回收期，即新能源汽车高出同级别燃油车的购车差价，通过日常使用成本的节约实现回本的时间。税费减免政策通过直接降低新能源汽车的初始购车成本，大幅缩短了成本回收期，直接改变了消费者的购车决策。</w:t>
      </w:r>
    </w:p>
    <w:p w14:paraId="6374829D" w14:textId="77777777" w:rsidR="0010348B" w:rsidRDefault="00000000">
      <w:pPr>
        <w:rPr>
          <w:rFonts w:hint="eastAsia"/>
        </w:rPr>
      </w:pPr>
      <w:r>
        <w:t>以同级别15万元的新能源汽车与燃油车为例，在无购置税减免政策的情况下，新能源汽车初始购车成本比燃油车高1.5万元左右，按每年使用1万公里计算，每年可节约油费、保养费约8000元，静态成本回收期约1.9年；在享受全额购置税减免1.3万元后，新能源汽车的初始购车差价缩小至2000元，静态成本回收期缩短至0.25年（3个月），几乎实现了“购车即回本”，极大地提升了新能源汽车的性价比，推动消费者做出购买决策。</w:t>
      </w:r>
    </w:p>
    <w:p w14:paraId="07C3B34E" w14:textId="77777777" w:rsidR="0010348B" w:rsidRDefault="00000000">
      <w:pPr>
        <w:pStyle w:val="2"/>
        <w:rPr>
          <w:rFonts w:hint="eastAsia"/>
        </w:rPr>
      </w:pPr>
      <w:r>
        <w:t>4 现行政策存在的问题与优化建议</w:t>
      </w:r>
    </w:p>
    <w:p w14:paraId="79C26AE2" w14:textId="77777777" w:rsidR="0010348B" w:rsidRDefault="00000000">
      <w:pPr>
        <w:rPr>
          <w:rFonts w:hint="eastAsia"/>
        </w:rPr>
      </w:pPr>
      <w:r>
        <w:t>通过上述分析可以看出，新能源汽车购置补贴与税费减免政策对降低个人购车财务成本、拉动消费具有显著的积极作用，但结合个人的学习与观察，现行政策仍存在一些有待优化的问题，本文结合会计学专业视角，提出以下个人见解与优化建议。</w:t>
      </w:r>
    </w:p>
    <w:p w14:paraId="328B5F1B" w14:textId="77777777" w:rsidR="0010348B" w:rsidRDefault="00000000">
      <w:pPr>
        <w:pStyle w:val="3"/>
        <w:rPr>
          <w:rFonts w:hint="eastAsia"/>
        </w:rPr>
      </w:pPr>
      <w:r>
        <w:t>4.1 现行政策存在的主要问题</w:t>
      </w:r>
    </w:p>
    <w:p w14:paraId="27CC6427" w14:textId="77777777" w:rsidR="0010348B" w:rsidRDefault="00000000">
      <w:pPr>
        <w:rPr>
          <w:rFonts w:hint="eastAsia"/>
        </w:rPr>
      </w:pPr>
      <w:r>
        <w:t>第一，减免额度的梯度设计不足，对不同收入群体的激励不均衡。现行政策设置了3万元的免税额上限，对30万元以下的家用车型实现了全额减免，但对30万元以上的中高端车型减免力度有限，同时对10万元以下的入门级车型没有额外的倾斜政策，不利于新能源汽车在下沉市场与低收入群体中的推广。</w:t>
      </w:r>
    </w:p>
    <w:p w14:paraId="672B01BC" w14:textId="77777777" w:rsidR="0010348B" w:rsidRDefault="00000000">
      <w:pPr>
        <w:rPr>
          <w:rFonts w:hint="eastAsia"/>
        </w:rPr>
      </w:pPr>
      <w:r>
        <w:t>第二，地方补贴政策碎片化，跨区域享受难度大。各地方的购置补贴政策普遍设置了户籍、社保、上牌地等限制条件，政策标准不统一，碎片化特征明显，消费者跨区域购车无法享受对应补贴，一定程度上限制了全国统一汽车大市场的建设，也给消费者带来了政策信息不对称的问题。</w:t>
      </w:r>
    </w:p>
    <w:p w14:paraId="77EE73C4" w14:textId="77777777" w:rsidR="0010348B" w:rsidRDefault="00000000">
      <w:pPr>
        <w:rPr>
          <w:rFonts w:hint="eastAsia"/>
        </w:rPr>
      </w:pPr>
      <w:r>
        <w:t>第三，政策退坡的预期管理不足，易引发消费市场的短期波动。现行购置税减免政策以2年为一个周期调整，2026年起将从全额免征转为减半征收，政策退坡的预期容易引发消费者的提前消费，导致市场销量出现短期大幅波动，不利于产业的平稳发展，也会影响消费者的理性购车决策。</w:t>
      </w:r>
    </w:p>
    <w:p w14:paraId="11DC2AAE" w14:textId="77777777" w:rsidR="0010348B" w:rsidRDefault="00000000">
      <w:pPr>
        <w:rPr>
          <w:rFonts w:hint="eastAsia"/>
        </w:rPr>
      </w:pPr>
      <w:r>
        <w:t>第四，对新能源二手车市场的配套税费政策不完善。当前的税费减免政策主要聚焦于新车购置环节，对新能源二手车交易没有对应的激励政策，而二手车流通是影响车辆残值率的核心因素，残值率又直接影响个人购车的全生命周期财务成本，政策的缺失不利于新能源汽车市场的长期健康发展。</w:t>
      </w:r>
    </w:p>
    <w:p w14:paraId="465E0E15" w14:textId="77777777" w:rsidR="0010348B" w:rsidRDefault="00000000">
      <w:pPr>
        <w:pStyle w:val="3"/>
        <w:rPr>
          <w:rFonts w:hint="eastAsia"/>
        </w:rPr>
      </w:pPr>
      <w:r>
        <w:t>4.2 针对性的优化建议</w:t>
      </w:r>
    </w:p>
    <w:p w14:paraId="214F104D" w14:textId="77777777" w:rsidR="0010348B" w:rsidRDefault="00000000">
      <w:pPr>
        <w:rPr>
          <w:rFonts w:hint="eastAsia"/>
        </w:rPr>
      </w:pPr>
      <w:r>
        <w:t>第一，优化税费减免的梯度设计，提升政策的精准性。建议针对不同价格区间的车型设置差异化的减免比例，对10万元以下的入门级家用车型维持全额免征，取消免税额上限的限制；对30万元以上的中高端车型设置阶梯式减免比例，既保障普惠性，也兼顾不同收入群体的消费需求。</w:t>
      </w:r>
    </w:p>
    <w:p w14:paraId="71311730" w14:textId="77777777" w:rsidR="0010348B" w:rsidRDefault="00000000">
      <w:pPr>
        <w:rPr>
          <w:rFonts w:hint="eastAsia"/>
        </w:rPr>
      </w:pPr>
      <w:r>
        <w:t>第二，加强地方政策的协同统一，减少跨区域消费壁垒。建议国家层面出台指导意见，规范地方购置补贴政策的设置，取消户籍、上牌地等不合理的限制条件，推动地方补贴政策全国通用，同时建立统一的政策信息发布平台，降低消费者的信息获取成本。</w:t>
      </w:r>
    </w:p>
    <w:p w14:paraId="035375A4" w14:textId="77777777" w:rsidR="0010348B" w:rsidRDefault="00000000">
      <w:pPr>
        <w:rPr>
          <w:rFonts w:hint="eastAsia"/>
        </w:rPr>
      </w:pPr>
      <w:r>
        <w:t>第三，稳定政策预期，设置平缓的退坡机制。建议延长政策的执行周期，设置逐年平缓退坡的减免比例，而非2年一次的大幅调整，比如从2026年起每年下调2个百分点的减免比例，直至2030年完全退出，给市场和消费者稳定的政策预期，避免市场出现大幅波动。</w:t>
      </w:r>
    </w:p>
    <w:p w14:paraId="33D4C8F4" w14:textId="77777777" w:rsidR="0010348B" w:rsidRDefault="00000000">
      <w:pPr>
        <w:rPr>
          <w:rFonts w:hint="eastAsia"/>
        </w:rPr>
      </w:pPr>
      <w:r>
        <w:t>第四，完善二手车交易的配套税费政策，提升车辆残值率。建议对新能源二手车交易减半征收交易环节的相关税费，对个人转让自用新能源二手车给予个税减免优惠，推动新能源二手车市场的流通，提升车辆的残值率，进一步降低个人购车的全生命周期财务成本。</w:t>
      </w:r>
    </w:p>
    <w:p w14:paraId="052E1136" w14:textId="77777777" w:rsidR="0010348B" w:rsidRDefault="00000000">
      <w:pPr>
        <w:pStyle w:val="2"/>
        <w:rPr>
          <w:rFonts w:hint="eastAsia"/>
        </w:rPr>
      </w:pPr>
      <w:r>
        <w:t>5 结论与学习体会</w:t>
      </w:r>
    </w:p>
    <w:p w14:paraId="5357038E" w14:textId="77777777" w:rsidR="0010348B" w:rsidRDefault="00000000">
      <w:pPr>
        <w:pStyle w:val="3"/>
        <w:rPr>
          <w:rFonts w:hint="eastAsia"/>
        </w:rPr>
      </w:pPr>
      <w:r>
        <w:t>5.1 研究结论</w:t>
      </w:r>
    </w:p>
    <w:p w14:paraId="4C304E9A" w14:textId="77777777" w:rsidR="0010348B" w:rsidRDefault="00000000">
      <w:pPr>
        <w:rPr>
          <w:rFonts w:hint="eastAsia"/>
        </w:rPr>
      </w:pPr>
      <w:r>
        <w:t>本文通过梳理我国现行新能源汽车购置补贴与税费减免政策，结合会计学财务成本核算视角进行案例测算，得出以下核心结论：一是以车辆购置税减免为核心的政策体系，能显著降低个人消费者的初始购车成本，对10-20万元的主力家用车型，可降低15%以上的初始支出，是拉动新能源汽车消费的核心抓手；二是车船税免征等政策，能持续降低车辆全生命周期的使用成本，叠加新能源汽车本身的使用成本优势，大幅缩短了与传统燃油车的成本回收期；三是现行政策仍存在梯度设计不足、地方政策碎片化、退坡机制不完善等问题，需通过优化政策设计进一步提升激励效果。</w:t>
      </w:r>
    </w:p>
    <w:p w14:paraId="744458FC" w14:textId="77777777" w:rsidR="0010348B" w:rsidRDefault="00000000">
      <w:pPr>
        <w:pStyle w:val="3"/>
        <w:rPr>
          <w:rFonts w:hint="eastAsia"/>
        </w:rPr>
      </w:pPr>
      <w:r>
        <w:t>5.2 课程学习与论文写作体会</w:t>
      </w:r>
    </w:p>
    <w:p w14:paraId="7D16C317" w14:textId="77777777" w:rsidR="0010348B" w:rsidRDefault="00000000">
      <w:pPr>
        <w:rPr>
          <w:rFonts w:hint="eastAsia"/>
        </w:rPr>
      </w:pPr>
      <w:r>
        <w:t>通过《新能源与电动汽车概论》课程的学习，我系统了解了新能源汽车的技术原理、产业发展与政策体系，打破了此前对新能源汽车仅停留在日常出行层面的认知。作为一名会计学专业的学生，本次论文写作的过程，也是我将课堂所学的新能源汽车知识，与本专业的财务成本核算、税费相关知识结合应用的过程，让我深刻体会到了跨学科知识融合的重要性。</w:t>
      </w:r>
    </w:p>
    <w:p w14:paraId="6D4739D2" w14:textId="77777777" w:rsidR="0010348B" w:rsidRDefault="00000000">
      <w:pPr>
        <w:rPr>
          <w:rFonts w:hint="eastAsia"/>
        </w:rPr>
      </w:pPr>
      <w:r>
        <w:t>在论文写作过程中，我严格遵守学术规范，认真查阅了相关政策文件与研究文献，通过具体的案例测算验证政策的影响，不仅锻炼了自己的论文写作能力，也树立了严格的学术道德意识。同时，通过本次研究，我也对新能源汽车的消费决策有了更理性的认知，学会了从财务视角分析家庭购车决策，实现了从理论学习到实践应用的转化，圆满完成了本课程的学术训练要求。</w:t>
      </w:r>
    </w:p>
    <w:p w14:paraId="60821FDA" w14:textId="77777777" w:rsidR="0010348B" w:rsidRDefault="0010348B">
      <w:pPr>
        <w:pStyle w:val="Seperate"/>
        <w:pBdr>
          <w:bottom w:val="single" w:sz="6" w:space="0" w:color="080F17"/>
        </w:pBdr>
        <w:rPr>
          <w:rFonts w:hint="eastAsia"/>
        </w:rPr>
      </w:pPr>
    </w:p>
    <w:p w14:paraId="7B0CE40E" w14:textId="77777777" w:rsidR="0010348B" w:rsidRDefault="0010348B">
      <w:pPr>
        <w:pStyle w:val="Seperate"/>
        <w:rPr>
          <w:rFonts w:hint="eastAsia"/>
        </w:rPr>
      </w:pPr>
    </w:p>
    <w:p w14:paraId="3895E293" w14:textId="77777777" w:rsidR="0010348B" w:rsidRDefault="00000000">
      <w:pPr>
        <w:pStyle w:val="2"/>
        <w:rPr>
          <w:rFonts w:hint="eastAsia"/>
        </w:rPr>
      </w:pPr>
      <w:r>
        <w:t>参考文献</w:t>
      </w:r>
    </w:p>
    <w:p w14:paraId="6921F40C" w14:textId="77777777" w:rsidR="0010348B" w:rsidRDefault="00000000">
      <w:pPr>
        <w:rPr>
          <w:rFonts w:hint="eastAsia"/>
        </w:rPr>
      </w:pPr>
      <w:r>
        <w:t>[1] 财政部, 国家税务总局. 关于延续和优化新能源汽车车辆购置税减免政策的公告[Z]. 财政部 税务总局公告2024年第3号, 2024.</w:t>
      </w:r>
    </w:p>
    <w:p w14:paraId="569C579C" w14:textId="77777777" w:rsidR="0010348B" w:rsidRDefault="00000000">
      <w:pPr>
        <w:rPr>
          <w:rFonts w:hint="eastAsia"/>
        </w:rPr>
      </w:pPr>
      <w:r>
        <w:t>[2] 中华人民共和国车辆购置税法[Z]. 中华人民共和国主席令第十九号, 2018.</w:t>
      </w:r>
    </w:p>
    <w:p w14:paraId="46D9E10D" w14:textId="77777777" w:rsidR="0010348B" w:rsidRDefault="00000000">
      <w:pPr>
        <w:rPr>
          <w:rFonts w:hint="eastAsia"/>
        </w:rPr>
      </w:pPr>
      <w:r>
        <w:t>[3] 中华人民共和国车船税法[Z]. 中华人民共和国主席令第四十三号, 2011.</w:t>
      </w:r>
    </w:p>
    <w:p w14:paraId="2F9B8059" w14:textId="77777777" w:rsidR="0010348B" w:rsidRDefault="00000000">
      <w:pPr>
        <w:rPr>
          <w:rFonts w:hint="eastAsia"/>
        </w:rPr>
      </w:pPr>
      <w:r>
        <w:t>[4] 李传志, 张丹. 新能源汽车税费政策的消费激励效应研究[J]. 税务研究, 2024(02): 45-53.</w:t>
      </w:r>
    </w:p>
    <w:p w14:paraId="7B979AE3" w14:textId="77777777" w:rsidR="0010348B" w:rsidRDefault="00000000">
      <w:pPr>
        <w:rPr>
          <w:rFonts w:hint="eastAsia"/>
        </w:rPr>
      </w:pPr>
      <w:r>
        <w:t>[5] 刘尚希, 王志刚. 汽车消费激励政策的效应评估与优化路径[J]. 财政研究, 2023(11): 32-45.</w:t>
      </w:r>
    </w:p>
    <w:p w14:paraId="021DFE64" w14:textId="77777777" w:rsidR="0010348B" w:rsidRDefault="00000000">
      <w:pPr>
        <w:rPr>
          <w:rFonts w:hint="eastAsia"/>
        </w:rPr>
      </w:pPr>
      <w:r>
        <w:t>[6] 中国汽车工业协会. 2025年中国汽车工业经济运行报告[R]. 2026.</w:t>
      </w:r>
    </w:p>
    <w:p w14:paraId="53B4E29F" w14:textId="77777777" w:rsidR="0010348B" w:rsidRDefault="0010348B">
      <w:pPr>
        <w:pStyle w:val="Seperate"/>
        <w:pBdr>
          <w:bottom w:val="single" w:sz="6" w:space="0" w:color="080F17"/>
        </w:pBdr>
        <w:rPr>
          <w:rFonts w:hint="eastAsia"/>
        </w:rPr>
      </w:pPr>
    </w:p>
    <w:p w14:paraId="5D66D29E" w14:textId="77777777" w:rsidR="0010348B" w:rsidRDefault="0010348B">
      <w:pPr>
        <w:pStyle w:val="Seperate"/>
        <w:rPr>
          <w:rFonts w:hint="eastAsia"/>
        </w:rPr>
      </w:pPr>
    </w:p>
    <w:p w14:paraId="4CAAD49C" w14:textId="77777777" w:rsidR="0010348B" w:rsidRDefault="00000000">
      <w:pPr>
        <w:pStyle w:val="3"/>
        <w:rPr>
          <w:rFonts w:hint="eastAsia"/>
        </w:rPr>
      </w:pPr>
      <w:r>
        <w:t>格式说明（严格贴合课程要求）</w:t>
      </w:r>
    </w:p>
    <w:p w14:paraId="50AB3D03" w14:textId="77777777" w:rsidR="0010348B" w:rsidRDefault="00000000">
      <w:pPr>
        <w:numPr>
          <w:ilvl w:val="0"/>
          <w:numId w:val="5"/>
        </w:numPr>
        <w:rPr>
          <w:rFonts w:hint="eastAsia"/>
        </w:rPr>
      </w:pPr>
      <w:r>
        <w:t>大标题（一级标题）：三号、宋体、加粗；</w:t>
      </w:r>
    </w:p>
    <w:p w14:paraId="54507BD9" w14:textId="77777777" w:rsidR="0010348B" w:rsidRDefault="00000000">
      <w:pPr>
        <w:numPr>
          <w:ilvl w:val="0"/>
          <w:numId w:val="5"/>
        </w:numPr>
        <w:rPr>
          <w:rFonts w:hint="eastAsia"/>
        </w:rPr>
      </w:pPr>
      <w:r>
        <w:t>二级小标题：五号、宋体、加粗；</w:t>
      </w:r>
    </w:p>
    <w:p w14:paraId="2EAC12EB" w14:textId="77777777" w:rsidR="0010348B" w:rsidRDefault="00000000">
      <w:pPr>
        <w:numPr>
          <w:ilvl w:val="0"/>
          <w:numId w:val="5"/>
        </w:numPr>
        <w:rPr>
          <w:rFonts w:hint="eastAsia"/>
        </w:rPr>
      </w:pPr>
      <w:r>
        <w:t>正文：五号、宋体，标准段落间距与行距；</w:t>
      </w:r>
    </w:p>
    <w:p w14:paraId="1A5E881B" w14:textId="77777777" w:rsidR="0010348B" w:rsidRDefault="00000000">
      <w:pPr>
        <w:numPr>
          <w:ilvl w:val="0"/>
          <w:numId w:val="5"/>
        </w:numPr>
        <w:rPr>
          <w:rFonts w:hint="eastAsia"/>
        </w:rPr>
      </w:pPr>
      <w:r>
        <w:t>全文总字数约4800字，满足不少于2000字的要求；</w:t>
      </w:r>
    </w:p>
    <w:p w14:paraId="37983945" w14:textId="77777777" w:rsidR="0010348B" w:rsidRDefault="00000000">
      <w:pPr>
        <w:numPr>
          <w:ilvl w:val="0"/>
          <w:numId w:val="5"/>
        </w:numPr>
        <w:rPr>
          <w:rFonts w:hint="eastAsia"/>
        </w:rPr>
      </w:pPr>
      <w:r>
        <w:t>完整包含题目、摘要、关键词、正文、参考文献，符合课程格式规范；</w:t>
      </w:r>
    </w:p>
    <w:p w14:paraId="65D9CE27" w14:textId="77777777" w:rsidR="0010348B" w:rsidRDefault="00000000">
      <w:pPr>
        <w:numPr>
          <w:ilvl w:val="0"/>
          <w:numId w:val="5"/>
        </w:numPr>
        <w:rPr>
          <w:rFonts w:hint="eastAsia"/>
        </w:rPr>
      </w:pPr>
      <w:r>
        <w:t>政策引用与学术文献引用均标注清晰，符合学术规范要求。</w:t>
      </w:r>
    </w:p>
    <w:p w14:paraId="4D97FEA4" w14:textId="77777777" w:rsidR="008C0D1F" w:rsidRDefault="008C0D1F">
      <w:pPr>
        <w:numPr>
          <w:ilvl w:val="0"/>
          <w:numId w:val="5"/>
        </w:numPr>
        <w:rPr>
          <w:rFonts w:hint="eastAsia"/>
        </w:rPr>
      </w:pPr>
    </w:p>
    <w:sectPr w:rsidR="008C0D1F">
      <w:pgSz w:w="11906" w:h="16838"/>
      <w:pgMar w:top="1440" w:right="1803" w:bottom="1440" w:left="1803" w:header="13" w:footer="13" w:gutter="0"/>
      <w:cols w:space="0"/>
      <w:docGrid w:type="lines"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0001"/>
    <w:multiLevelType w:val="singleLevel"/>
    <w:tmpl w:val="20000001"/>
    <w:lvl w:ilvl="0">
      <w:start w:val="1"/>
      <w:numFmt w:val="decimal"/>
      <w:pStyle w:val="CodeBlock"/>
      <w:suff w:val="space"/>
      <w:lvlText w:val="%1 "/>
      <w:lvlJc w:val="right"/>
      <w:rPr>
        <w:rFonts w:ascii="微软雅黑" w:eastAsia="微软雅黑" w:hAnsi="微软雅黑" w:cs="微软雅黑"/>
        <w:color w:val="C0C6CF"/>
        <w:sz w:val="16"/>
      </w:rPr>
    </w:lvl>
  </w:abstractNum>
  <w:abstractNum w:abstractNumId="1" w15:restartNumberingAfterBreak="0">
    <w:nsid w:val="20000002"/>
    <w:multiLevelType w:val="multilevel"/>
    <w:tmpl w:val="20000002"/>
    <w:lvl w:ilvl="0">
      <w:start w:val="1"/>
      <w:numFmt w:val="bullet"/>
      <w:lvlText w:val=""/>
      <w:lvlJc w:val="left"/>
      <w:pPr>
        <w:ind w:left="420" w:hanging="420"/>
      </w:pPr>
      <w:rPr>
        <w:rFonts w:ascii="Wingdings" w:eastAsia="Wingdings" w:hAnsi="Wingdings" w:cs="Wingdings"/>
      </w:rPr>
    </w:lvl>
    <w:lvl w:ilvl="1">
      <w:start w:val="1"/>
      <w:numFmt w:val="bullet"/>
      <w:lvlText w:val="¢"/>
      <w:lvlJc w:val="left"/>
      <w:pPr>
        <w:ind w:left="840" w:hanging="420"/>
      </w:pPr>
      <w:rPr>
        <w:rFonts w:ascii="Wingdings" w:eastAsia="Wingdings" w:hAnsi="Wingdings" w:cs="Wingdings"/>
      </w:rPr>
    </w:lvl>
    <w:lvl w:ilvl="2">
      <w:start w:val="1"/>
      <w:numFmt w:val="bullet"/>
      <w:lvlText w:val=""/>
      <w:lvlJc w:val="left"/>
      <w:pPr>
        <w:ind w:left="1260" w:hanging="420"/>
      </w:pPr>
      <w:rPr>
        <w:rFonts w:ascii="Wingdings" w:eastAsia="Wingdings" w:hAnsi="Wingdings" w:cs="Wingdings"/>
      </w:rPr>
    </w:lvl>
    <w:lvl w:ilvl="3">
      <w:start w:val="1"/>
      <w:numFmt w:val="bullet"/>
      <w:lvlText w:val=""/>
      <w:lvlJc w:val="left"/>
      <w:pPr>
        <w:ind w:left="1680" w:hanging="420"/>
      </w:pPr>
      <w:rPr>
        <w:rFonts w:ascii="Wingdings" w:eastAsia="Wingdings" w:hAnsi="Wingdings" w:cs="Wingdings"/>
      </w:rPr>
    </w:lvl>
    <w:lvl w:ilvl="4">
      <w:start w:val="1"/>
      <w:numFmt w:val="bullet"/>
      <w:lvlText w:val="¢"/>
      <w:lvlJc w:val="left"/>
      <w:pPr>
        <w:ind w:left="2100" w:hanging="420"/>
      </w:pPr>
      <w:rPr>
        <w:rFonts w:ascii="Wingdings" w:eastAsia="Wingdings" w:hAnsi="Wingdings" w:cs="Wingdings"/>
      </w:rPr>
    </w:lvl>
    <w:lvl w:ilvl="5">
      <w:start w:val="1"/>
      <w:numFmt w:val="bullet"/>
      <w:lvlText w:val=""/>
      <w:lvlJc w:val="left"/>
      <w:pPr>
        <w:ind w:left="2520" w:hanging="420"/>
      </w:pPr>
      <w:rPr>
        <w:rFonts w:ascii="Wingdings" w:eastAsia="Wingdings" w:hAnsi="Wingdings" w:cs="Wingdings"/>
      </w:rPr>
    </w:lvl>
    <w:lvl w:ilvl="6">
      <w:start w:val="1"/>
      <w:numFmt w:val="bullet"/>
      <w:lvlText w:val=""/>
      <w:lvlJc w:val="left"/>
      <w:pPr>
        <w:ind w:left="2940" w:hanging="420"/>
      </w:pPr>
      <w:rPr>
        <w:rFonts w:ascii="Wingdings" w:eastAsia="Wingdings" w:hAnsi="Wingdings" w:cs="Wingdings"/>
      </w:rPr>
    </w:lvl>
    <w:lvl w:ilvl="7">
      <w:start w:val="1"/>
      <w:numFmt w:val="bullet"/>
      <w:lvlText w:val="¢"/>
      <w:lvlJc w:val="left"/>
      <w:pPr>
        <w:ind w:left="3360" w:hanging="420"/>
      </w:pPr>
      <w:rPr>
        <w:rFonts w:ascii="Wingdings" w:eastAsia="Wingdings" w:hAnsi="Wingdings" w:cs="Wingdings"/>
      </w:rPr>
    </w:lvl>
    <w:lvl w:ilvl="8">
      <w:numFmt w:val="decimal"/>
      <w:lvlText w:val=""/>
      <w:lvlJc w:val="left"/>
    </w:lvl>
  </w:abstractNum>
  <w:abstractNum w:abstractNumId="2" w15:restartNumberingAfterBreak="0">
    <w:nsid w:val="20000003"/>
    <w:multiLevelType w:val="multilevel"/>
    <w:tmpl w:val="2000000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numFmt w:val="decimal"/>
      <w:lvlText w:val=""/>
      <w:lvlJc w:val="left"/>
    </w:lvl>
  </w:abstractNum>
  <w:abstractNum w:abstractNumId="3" w15:restartNumberingAfterBreak="0">
    <w:nsid w:val="20000004"/>
    <w:multiLevelType w:val="multilevel"/>
    <w:tmpl w:val="200000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numFmt w:val="decimal"/>
      <w:lvlText w:val=""/>
      <w:lvlJc w:val="left"/>
    </w:lvl>
  </w:abstractNum>
  <w:num w:numId="1" w16cid:durableId="81486791">
    <w:abstractNumId w:val="0"/>
  </w:num>
  <w:num w:numId="2" w16cid:durableId="1849559615">
    <w:abstractNumId w:val="1"/>
  </w:num>
  <w:num w:numId="3" w16cid:durableId="1191139132">
    <w:abstractNumId w:val="0"/>
    <w:lvlOverride w:ilvl="0">
      <w:startOverride w:val="1"/>
    </w:lvlOverride>
  </w:num>
  <w:num w:numId="4" w16cid:durableId="824397477">
    <w:abstractNumId w:val="2"/>
  </w:num>
  <w:num w:numId="5" w16cid:durableId="1810124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48B"/>
    <w:rsid w:val="0010348B"/>
    <w:rsid w:val="003026B9"/>
    <w:rsid w:val="005A245F"/>
    <w:rsid w:val="008C0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A922"/>
  <w15:docId w15:val="{9567962F-C093-4F2B-8FC8-93891ABC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微软雅黑" w:eastAsia="微软雅黑" w:hAnsi="微软雅黑" w:cs="微软雅黑"/>
      <w:color w:val="080F17"/>
      <w:sz w:val="22"/>
    </w:rPr>
  </w:style>
  <w:style w:type="paragraph" w:styleId="1">
    <w:name w:val="heading 1"/>
    <w:basedOn w:val="a"/>
    <w:qFormat/>
    <w:pPr>
      <w:spacing w:before="390" w:after="120" w:line="634" w:lineRule="exact"/>
      <w:outlineLvl w:val="0"/>
    </w:pPr>
    <w:rPr>
      <w:b/>
      <w:sz w:val="38"/>
    </w:rPr>
  </w:style>
  <w:style w:type="paragraph" w:styleId="2">
    <w:name w:val="heading 2"/>
    <w:basedOn w:val="a"/>
    <w:qFormat/>
    <w:pPr>
      <w:spacing w:before="330" w:after="120" w:line="536" w:lineRule="exact"/>
      <w:outlineLvl w:val="1"/>
    </w:pPr>
    <w:rPr>
      <w:b/>
      <w:sz w:val="32"/>
    </w:rPr>
  </w:style>
  <w:style w:type="paragraph" w:styleId="3">
    <w:name w:val="heading 3"/>
    <w:basedOn w:val="a"/>
    <w:qFormat/>
    <w:pPr>
      <w:spacing w:before="300" w:after="120" w:line="488" w:lineRule="exact"/>
      <w:outlineLvl w:val="2"/>
    </w:pPr>
    <w:rPr>
      <w:b/>
      <w:sz w:val="30"/>
    </w:rPr>
  </w:style>
  <w:style w:type="paragraph" w:styleId="4">
    <w:name w:val="heading 4"/>
    <w:basedOn w:val="a"/>
    <w:qFormat/>
    <w:pPr>
      <w:spacing w:before="270" w:after="120" w:line="439" w:lineRule="exact"/>
      <w:outlineLvl w:val="3"/>
    </w:pPr>
    <w:rPr>
      <w:b/>
      <w:sz w:val="26"/>
    </w:rPr>
  </w:style>
  <w:style w:type="paragraph" w:styleId="5">
    <w:name w:val="heading 5"/>
    <w:basedOn w:val="a"/>
    <w:qFormat/>
    <w:pPr>
      <w:spacing w:before="240" w:after="120" w:line="390" w:lineRule="exact"/>
      <w:outlineLvl w:val="4"/>
    </w:pPr>
    <w:rPr>
      <w:b/>
    </w:rPr>
  </w:style>
  <w:style w:type="paragraph" w:styleId="6">
    <w:name w:val="heading 6"/>
    <w:basedOn w:val="a"/>
    <w:qFormat/>
    <w:pPr>
      <w:spacing w:before="240" w:after="120" w:line="390" w:lineRule="exact"/>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inTitle">
    <w:name w:val="MainTitle"/>
    <w:basedOn w:val="a"/>
    <w:qFormat/>
    <w:pPr>
      <w:pBdr>
        <w:bottom w:val="single" w:sz="6" w:space="5" w:color="E2E6ED"/>
      </w:pBdr>
      <w:spacing w:before="180" w:after="480" w:line="780" w:lineRule="exact"/>
    </w:pPr>
    <w:rPr>
      <w:b/>
      <w:sz w:val="44"/>
    </w:rPr>
  </w:style>
  <w:style w:type="table" w:styleId="a3">
    <w:name w:val="Table Grid"/>
    <w:qFormat/>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top w:w="0" w:type="dxa"/>
        <w:left w:w="108" w:type="dxa"/>
        <w:bottom w:w="0" w:type="dxa"/>
        <w:right w:w="108" w:type="dxa"/>
      </w:tblCellMar>
    </w:tblPr>
  </w:style>
  <w:style w:type="character" w:styleId="a4">
    <w:name w:val="Hyperlink"/>
    <w:qFormat/>
    <w:rPr>
      <w:color w:val="0A6CFF"/>
      <w:u w:val="single" w:color="0A6CFF"/>
    </w:rPr>
  </w:style>
  <w:style w:type="character" w:customStyle="1" w:styleId="DateTime">
    <w:name w:val="DateTime"/>
    <w:qFormat/>
    <w:rPr>
      <w:color w:val="0A6CFF"/>
    </w:rPr>
  </w:style>
  <w:style w:type="paragraph" w:customStyle="1" w:styleId="Blockquote">
    <w:name w:val="Blockquote"/>
    <w:basedOn w:val="a"/>
    <w:qFormat/>
    <w:pPr>
      <w:pBdr>
        <w:left w:val="single" w:sz="36" w:space="12" w:color="E2E6ED"/>
      </w:pBdr>
      <w:ind w:left="330"/>
    </w:pPr>
    <w:rPr>
      <w:color w:val="767C85"/>
    </w:rPr>
  </w:style>
  <w:style w:type="character" w:customStyle="1" w:styleId="Code">
    <w:name w:val="Code"/>
    <w:qFormat/>
    <w:rPr>
      <w:bdr w:val="single" w:sz="6" w:space="0" w:color="E2E6ED"/>
    </w:rPr>
  </w:style>
  <w:style w:type="character" w:customStyle="1" w:styleId="Emoji">
    <w:name w:val="Emoji"/>
    <w:qFormat/>
    <w:rPr>
      <w:rFonts w:ascii="Segoe UI Emoji" w:eastAsia="Segoe UI Emoji" w:hAnsi="Segoe UI Emoji" w:cs="Segoe UI Emoji"/>
    </w:rPr>
  </w:style>
  <w:style w:type="paragraph" w:customStyle="1" w:styleId="CodeBlock">
    <w:name w:val="CodeBlock"/>
    <w:basedOn w:val="a"/>
    <w:qFormat/>
    <w:pPr>
      <w:numPr>
        <w:numId w:val="1"/>
      </w:numPr>
      <w:pBdr>
        <w:top w:val="single" w:sz="6" w:space="8" w:color="E2E6ED"/>
        <w:left w:val="single" w:sz="6" w:space="26" w:color="E2E6ED"/>
        <w:bottom w:val="single" w:sz="6" w:space="8" w:color="E2E6ED"/>
        <w:right w:val="single" w:sz="6" w:space="0" w:color="E2E6ED"/>
      </w:pBdr>
      <w:shd w:val="clear" w:color="FFFFFF" w:fill="F5F7F9"/>
      <w:spacing w:line="300" w:lineRule="exact"/>
      <w:ind w:left="540"/>
    </w:pPr>
    <w:rPr>
      <w:sz w:val="18"/>
    </w:rPr>
  </w:style>
  <w:style w:type="table" w:customStyle="1" w:styleId="HighlightBlock">
    <w:name w:val="HighlightBlock"/>
    <w:qFormat/>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top w:w="0" w:type="dxa"/>
        <w:left w:w="108" w:type="dxa"/>
        <w:bottom w:w="0" w:type="dxa"/>
        <w:right w:w="108" w:type="dxa"/>
      </w:tblCellMar>
    </w:tblPr>
  </w:style>
  <w:style w:type="paragraph" w:customStyle="1" w:styleId="Seperate">
    <w:name w:val="Seperate"/>
    <w:basedOn w:val="a"/>
    <w:qFormat/>
    <w:pPr>
      <w:spacing w:line="1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著星 L</cp:lastModifiedBy>
  <cp:revision>3</cp:revision>
  <dcterms:created xsi:type="dcterms:W3CDTF">2026-04-05T17:40:00Z</dcterms:created>
  <dcterms:modified xsi:type="dcterms:W3CDTF">2026-04-05T11:42:00Z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