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shd w:fill="0E1F2E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92"/>
            </w:pPr>
          </w:p>
          <w:p>
            <w:pPr>
              <w:pBdr>
                <w:bottom w:val="single" w:color="5FA8C7" w:sz="12" w:space="6"/>
              </w:pBdr>
              <w:spacing w:after="400"/>
              <w:ind w:left="1200" w:right="1300"/>
            </w:pPr>
            <w:r>
              <w:rPr>
                <w:rFonts w:ascii="Arial"/>
                <w:b/>
                <w:bCs/>
                <w:color w:val="5FA8C7"/>
                <w:sz w:val="18"/>
                <w:szCs w:val="18"/>
              </w:rPr>
              <w:t xml:space="preserve">L  L  M     G  A  T  E  W  A  Y     T  E  C  H  N  I  C  A  L     D  E  S  I  G  N</w:t>
            </w:r>
          </w:p>
          <w:p>
            <w:pPr>
              <w:spacing w:after="120" w:before="200" w:line="920" w:lineRule="atLeast"/>
              <w:ind w:left="1200" w:right="800"/>
            </w:pPr>
            <w:r>
              <w:rPr>
                <w:rFonts w:ascii="Arial" w:eastAsia="Microsoft YaHei"/>
                <w:b/>
                <w:bCs/>
                <w:color w:val="FFFFFF"/>
                <w:sz w:val="80"/>
                <w:szCs w:val="80"/>
              </w:rPr>
              <w:t xml:space="preserve">生产级 LLM</w:t>
            </w:r>
          </w:p>
          <w:p>
            <w:pPr>
              <w:spacing w:after="120" w:before="200" w:line="920" w:lineRule="atLeast"/>
              <w:ind w:left="1200" w:right="800"/>
            </w:pPr>
            <w:r>
              <w:rPr>
                <w:rFonts w:ascii="Arial" w:eastAsia="Microsoft YaHei"/>
                <w:b/>
                <w:bCs/>
                <w:color w:val="FFFFFF"/>
                <w:sz w:val="80"/>
                <w:szCs w:val="80"/>
              </w:rPr>
              <w:t xml:space="preserve">网关技术方案</w:t>
            </w:r>
          </w:p>
          <w:p>
            <w:pPr>
              <w:spacing w:before="300" w:line="276" w:lineRule="atLeast"/>
              <w:ind w:left="1200" w:right="800"/>
            </w:pPr>
            <w:r>
              <w:rPr>
                <w:rFonts w:ascii="Arial" w:eastAsia="Microsoft YaHei"/>
                <w:color w:val="C2CEDB"/>
                <w:sz w:val="26"/>
                <w:szCs w:val="26"/>
              </w:rPr>
              <w:t xml:space="preserve">统一接入 · 治理 · 可观测 · 高可用 —— 面向技术评审的完整生产落地设计</w:t>
            </w:r>
          </w:p>
          <w:p>
            <w:pPr>
              <w:spacing w:before="911"/>
            </w:pPr>
          </w:p>
          <w:p>
            <w:pPr>
              <w:pBdr>
                <w:left w:val="single" w:color="5FA8C7" w:sz="18" w:space="10"/>
              </w:pBdr>
              <w:spacing w:after="160" w:line="276" w:lineRule="atLeast"/>
              <w:ind w:left="1400"/>
            </w:pPr>
            <w:r>
              <w:rPr>
                <w:rFonts w:ascii="Arial" w:eastAsia="Microsoft YaHei"/>
                <w:color w:val="AFC0D0"/>
                <w:sz w:val="24"/>
                <w:szCs w:val="24"/>
              </w:rPr>
              <w:t xml:space="preserve">文档版本：v1.0（待评审）</w:t>
            </w:r>
          </w:p>
          <w:p>
            <w:pPr>
              <w:pBdr>
                <w:left w:val="single" w:color="5FA8C7" w:sz="18" w:space="10"/>
              </w:pBdr>
              <w:spacing w:after="160" w:line="276" w:lineRule="atLeast"/>
              <w:ind w:left="1400"/>
            </w:pPr>
            <w:r>
              <w:rPr>
                <w:rFonts w:ascii="Arial" w:eastAsia="Microsoft YaHei"/>
                <w:color w:val="AFC0D0"/>
                <w:sz w:val="24"/>
                <w:szCs w:val="24"/>
              </w:rPr>
              <w:t xml:space="preserve">编制单位：平台架构组</w:t>
            </w:r>
          </w:p>
          <w:p>
            <w:pPr>
              <w:pBdr>
                <w:left w:val="single" w:color="5FA8C7" w:sz="18" w:space="10"/>
              </w:pBdr>
              <w:spacing w:after="160" w:line="276" w:lineRule="atLeast"/>
              <w:ind w:left="1400"/>
            </w:pPr>
            <w:r>
              <w:rPr>
                <w:rFonts w:ascii="Arial" w:eastAsia="Microsoft YaHei"/>
                <w:color w:val="AFC0D0"/>
                <w:sz w:val="24"/>
                <w:szCs w:val="24"/>
              </w:rPr>
              <w:t xml:space="preserve">编制日期：2026 年 9 月 12 日</w:t>
            </w:r>
          </w:p>
          <w:p>
            <w:pPr>
              <w:pBdr>
                <w:left w:val="single" w:color="5FA8C7" w:sz="18" w:space="10"/>
              </w:pBdr>
              <w:spacing w:after="160" w:line="276" w:lineRule="atLeast"/>
              <w:ind w:left="1400"/>
            </w:pPr>
            <w:r>
              <w:rPr>
                <w:rFonts w:ascii="Arial" w:eastAsia="Microsoft YaHei"/>
                <w:color w:val="AFC0D0"/>
                <w:sz w:val="24"/>
                <w:szCs w:val="24"/>
              </w:rPr>
              <w:t xml:space="preserve">密　　级：内部资料 · 仅限评审使用</w:t>
            </w:r>
          </w:p>
          <w:p>
            <w:pPr>
              <w:spacing w:before="4092"/>
            </w:pPr>
          </w:p>
          <w:p>
            <w:pPr>
              <w:pBdr>
                <w:top w:val="single" w:color="5FA8C7" w:sz="8" w:space="10"/>
              </w:pBdr>
              <w:tabs>
                <w:tab w:val="right" w:pos="9906"/>
              </w:tabs>
              <w:spacing w:before="200"/>
              <w:ind w:left="1000" w:right="800"/>
            </w:pPr>
            <w:r>
              <w:rPr>
                <w:rFonts w:ascii="Arial"/>
                <w:color w:val="8DA2B5"/>
                <w:sz w:val="16"/>
                <w:szCs w:val="16"/>
              </w:rPr>
              <w:t xml:space="preserve">Internal Technical Review</w:t>
            </w:r>
            <w:r>
              <w:t xml:space="preserve">	</w:t>
            </w:r>
            <w:r>
              <w:rPr>
                <w:rFonts w:ascii="Arial"/>
                <w:color w:val="8DA2B5"/>
                <w:sz w:val="16"/>
                <w:szCs w:val="16"/>
              </w:rPr>
              <w:t xml:space="preserve">LGW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100" w:before="120" w:line="312"/>
      </w:pPr>
      <w:r>
        <w:rPr>
          <w:rFonts w:ascii="Arial" w:eastAsia="SimHei"/>
          <w:b/>
          <w:bCs/>
          <w:color w:val="1B4A66"/>
          <w:sz w:val="24"/>
          <w:szCs w:val="24"/>
        </w:rPr>
        <w:t xml:space="preserve">文档信息</w:t>
      </w:r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1：文档信息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文档属性</w:t>
            </w:r>
          </w:p>
        </w:tc>
        <w:tc>
          <w:tcPr>
            <w:tcW w:type="pct" w:w="8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文档类型</w:t>
            </w:r>
          </w:p>
        </w:tc>
        <w:tc>
          <w:tcPr>
            <w:tcW w:type="pct" w:w="8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技术方案（用于技术评审）</w:t>
            </w:r>
          </w:p>
        </w:tc>
      </w:tr>
      <w:tr>
        <w:trPr>
          <w:cantSplit/>
        </w:trPr>
        <w:tc>
          <w:tcPr>
            <w:tcW w:type="pct" w:w="1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版本</w:t>
            </w:r>
          </w:p>
        </w:tc>
        <w:tc>
          <w:tcPr>
            <w:tcW w:type="pct" w:w="8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pct" w:w="8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2026-09-12</w:t>
            </w:r>
          </w:p>
        </w:tc>
      </w:tr>
      <w:tr>
        <w:trPr>
          <w:cantSplit/>
        </w:trPr>
        <w:tc>
          <w:tcPr>
            <w:tcW w:type="pct" w:w="1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  <w:tc>
          <w:tcPr>
            <w:tcW w:type="pct" w:w="8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待评审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评审范围</w:t>
            </w:r>
          </w:p>
        </w:tc>
        <w:tc>
          <w:tcPr>
            <w:tcW w:type="pct" w:w="8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架构设计、技术选型、数据设计、容量与可用性方案、实施计划</w:t>
            </w:r>
          </w:p>
        </w:tc>
      </w:tr>
      <w:tr>
        <w:trPr>
          <w:cantSplit/>
        </w:trPr>
        <w:tc>
          <w:tcPr>
            <w:tcW w:type="pct" w:w="1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读者</w:t>
            </w:r>
          </w:p>
        </w:tc>
        <w:tc>
          <w:tcPr>
            <w:tcW w:type="pct" w:w="8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平台架构组 / 后端研发 / SRE / 安全合规</w:t>
            </w:r>
          </w:p>
        </w:tc>
      </w:tr>
    </w:tbl>
    <w:p>
      <w:pPr>
        <w:spacing w:after="120" w:line="312"/>
      </w:pPr>
    </w:p>
    <w:p>
      <w:pPr>
        <w:pStyle w:val="Heading1"/>
        <w:spacing w:after="240" w:before="400" w:line="312"/>
        <w:jc w:val="center"/>
      </w:pPr>
      <w:bookmarkStart w:id="100000" w:name="_Toc100000"/>
      <w:r>
        <w:rPr>
          <w:rFonts w:ascii="Arial" w:eastAsia="SimHei"/>
          <w:b/>
          <w:bCs/>
          <w:color w:val="13324A"/>
          <w:sz w:val="32"/>
          <w:szCs w:val="32"/>
        </w:rPr>
        <w:t xml:space="preserve">评审摘要</w:t>
      </w:r>
      <w:bookmarkEnd w:id="100000"/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本方案面向公司多业务线大模型接入的现状（密钥分散、无统一限流配额、成本不可见、供应商故障无兜底），给出统一 LLM 网关（代号 LGW）的生产级技术设计，供技术评审决策。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方案结论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：采用「自研 Go 数据面 + 自研控制面 + 开源存储生态（Redis / PostgreSQL / Kafka / ClickHouse）」的架构路线，控制面与数据面分离、数据面完全无状态；对外提供 100% OpenAI 兼容协议（含 SSE 流式语义），对内以虚拟 API Key 实现租户级治理。经与托管服务（Cloudflare/Portkey Cloud）、开源自托管（LiteLLM、Kong AI Gateway、Higress）对比，自研路线在数据合规（不出境）、流式长连接性能与长期可控性上综合最优（加权 4.55/5）；若排期紧张，保留以 LiteLLM 先行承接 1~2 个非核心业务的两周过渡路径，后续平滑迁移。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核心设计要点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：请求主链路同步依赖仅 Redis（≤2 次 RTT），鉴权策略本地缓存；限流采用 RPM/并发原子计数 + TPM「预估预扣、响应后校正」算法，解决业界常见的后置 token 统计滞后问题（借鉴 Higress 教训、LiteLLM/Portkey 实践）；路由支持权重/优先级/成本/延迟感知与合规硬约束（数据驻留）；重试按错误分类驱动（可重试/不可重试/已发流不可重试），配合跨供应商 fallback 与熔断；观测全旁路（Kafka 异步落 ClickHouse，故障转本地 WAL 兜底）；内容安全 Guardrails 同步轻规则 + 异步重模型分层。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关键指标承诺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：网关自身可用性 99.95%，P99 转发开销非流式 25ms / 流式首字节 15ms，成本归集覆盖率 100%，对账误差 &lt;3%。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资源与周期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：一期 MVP 8 周（核心链路 + 8 家供应商接入 + 基础观测），二期 GA 6 周（语义缓存、Guardrails 全量、成本看板、双 AZ 高可用）；团队 6~8 人。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需评审决策事项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：① 确认自研技术路线与两期范围；② 确认团队资源与排期；③ 确认数据驻留默认策略与 Guardrails 上线节奏（建议先观察模式运行两周）。</w:t>
      </w:r>
    </w:p>
    <w:p>
      <w:pPr>
        <w:pageBreakBefore/>
        <w:spacing w:after="300" w:before="200" w:line="312"/>
        <w:jc w:val="center"/>
      </w:pPr>
      <w:r>
        <w:rPr>
          <w:rFonts w:ascii="Arial" w:eastAsia="SimHei"/>
          <w:b/>
          <w:bCs/>
          <w:color w:val="13324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评审摘要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项目背景与建设目标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业务背景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现状与痛点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目标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非目标（本期不做）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1.5 成功指标（上线后 3 个月）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 业界方案调研与借鉴要点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2.1 主流产品全景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2.2 各产品要点与借鉴结论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2.3 业界最佳实践提炼（本方案直接采纳）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2.4 借鉴矩阵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 候选方案对比与选型结论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3.1 候选方案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3.2 决策矩阵（评分 1–5，权重合计 100%）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3.3 选型结论与风险对冲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 总体架构设计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4.1 架构总览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4.2 关键设计原则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4.3 技术栈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4.4 请求处理管道（数据面内部）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 核心功能详细设计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5.1 统一 API 与协议适配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5.1.1 对外端点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5.1.2 内部中间表示（IR）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5.1.3 统一错误规范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5.2 虚拟 API Key 与租户体系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5.2.1 层级模型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5.2.2 Key 生成与存储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5.2.3 校验路径（性能关键）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5.3 限流与配额（四层）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TPM 预扣-校正算法（核心创新点，解决后置统计滞后）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Lua 脚本（RPM+TPM+预算三合一原子校验）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5.4 模型路由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5.4.1 数据模型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5.4.2 路由策略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5.4.3 灰度发布路由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5.5 重试、超时、熔断与降级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5.5.1 错误分类（驱动一切自动容错）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5.5.2 重试参数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5.5.3 超时矩阵（按路由可配，默认值）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5.5.4 熔断器（provider×model 维度）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5.6 流式（SSE）处理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5.7 Token 计量与成本核算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5.8 缓存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5.9 内容安全与合规（Guardrails）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5.10 上游供应商适配与账号池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6. 数据与存储设计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6.1 PostgreSQL（元数据 + 账本，核心 DDL）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6.2 Redis Key 设计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6.3 ClickHouse（请求明细，核心 DDL）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6.4 日志数据流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6.5 数据保留与归档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7. 可观测性设计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7.1 指标（Prometheus 命名）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7.2 日志（JSON 结构化，一行一请求）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7.3 链路追踪（OpenTelemetry）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7.4 大盘与告警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8. 高可用与性能设计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8.1 部署架构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8.2 故障场景推演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8.3 性能预算（单副本 4C8G，网关自身开销）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8.4 容量规划（按日均 2 亿 token、峰值 5,000 QPS 假设）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8.5 压测与验证方案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9. 安全与合规设计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10. 部署与运维方案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10.1 K8s 部署要点（lgw-gateway）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10.2 配置管理与热更新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10.3 CI/CD 与发布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10.4 运维 SOP（摘要）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10.5 SLI/SLO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11. 实施计划与里程碑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12. 风险评估与应对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附录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附录 A：对外 API 摘要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附录 B：配置快照示例（YAML 视图，实际为编译后 JSON）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附录 C：借鉴产品与参考资料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附录 D：术语表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 w:line="312"/>
      </w:pPr>
      <w:r>
        <w:rPr>
          <w:rFonts w:ascii="Times New Roman" w:eastAsia="SimSun"/>
          <w:i/>
          <w:iCs/>
          <w:color w:val="8A9AA8"/>
          <w:sz w:val="18"/>
          <w:szCs w:val="18"/>
        </w:rPr>
        <w:t xml:space="preserve">提示：以上目录页码为占位值。请在 Word / WPS 中右键点击目录，选择「更新域」-「更新整个目录」以刷新实际页码。</w:t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40" w:before="400" w:line="312"/>
        <w:jc w:val="center"/>
      </w:pPr>
      <w:bookmarkStart w:id="100001" w:name="_Toc100001"/>
      <w:r>
        <w:rPr>
          <w:rFonts w:ascii="Arial" w:eastAsia="SimHei"/>
          <w:b/>
          <w:bCs/>
          <w:color w:val="13324A"/>
          <w:sz w:val="32"/>
          <w:szCs w:val="32"/>
        </w:rPr>
        <w:t xml:space="preserve">1. 项目背景与建设目标</w:t>
      </w:r>
      <w:bookmarkEnd w:id="100001"/>
    </w:p>
    <w:p>
      <w:pPr>
        <w:pStyle w:val="Heading2"/>
        <w:spacing w:after="180" w:before="320" w:line="312"/>
        <w:jc w:val="left"/>
      </w:pPr>
      <w:bookmarkStart w:id="100002" w:name="_Toc100002"/>
      <w:r>
        <w:rPr>
          <w:rFonts w:ascii="Arial" w:eastAsia="SimHei"/>
          <w:b/>
          <w:bCs/>
          <w:color w:val="1B4A66"/>
          <w:sz w:val="30"/>
          <w:szCs w:val="30"/>
        </w:rPr>
        <w:t xml:space="preserve">1.1 业务背景</w:t>
      </w:r>
      <w:bookmarkEnd w:id="100002"/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随着大模型能力在产品中的广泛落地，公司内部多条业务线（对话助手、代码助手、搜索摘要、Embedding 检索、Agent 应用等）已分散接入多家模型供应商（OpenAI、Azure OpenAI、Anthropic、Gemini、DeepSeek、通义千问、智谱，以及自托管 vLLM 集群等）。当前各业务直接持有上游供应商密钥、各自实现调用逻辑，缺乏统一的接入、治理与观测层。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LLM 调用与普通 RPC 调用在成本结构（按 token 计费）、流量形态（长连接流式响应，单请求持续数秒至数分钟）、可靠性（上游限流/故障频发）上差异显著，需要一层专门面向 LLM 流量的网关。业界该形态的产品统称 </w:t>
      </w:r>
      <w:r>
        <w:rPr>
          <w:rFonts w:ascii="Times New Roman" w:eastAsia="SimSun"/>
          <w:b/>
          <w:bCs/>
          <w:sz w:val="24"/>
          <w:szCs w:val="24"/>
        </w:rPr>
        <w:t xml:space="preserve">LLM Gateway / AI Gateway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，代表性产品包括 LiteLLM、Portkey、Kong AI Gateway、Higress AI 网关、Cloudflare AI Gateway、Envoy AI Gateway、OpenRouter 等。</w:t>
      </w:r>
    </w:p>
    <w:p>
      <w:pPr>
        <w:pStyle w:val="Heading2"/>
        <w:spacing w:after="180" w:before="320" w:line="312"/>
        <w:jc w:val="left"/>
      </w:pPr>
      <w:bookmarkStart w:id="100003" w:name="_Toc100003"/>
      <w:r>
        <w:rPr>
          <w:rFonts w:ascii="Arial" w:eastAsia="SimHei"/>
          <w:b/>
          <w:bCs/>
          <w:color w:val="1B4A66"/>
          <w:sz w:val="30"/>
          <w:szCs w:val="30"/>
        </w:rPr>
        <w:t xml:space="preserve">1.2 现状与痛点</w:t>
      </w:r>
      <w:bookmarkEnd w:id="100003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2：当前接入现状痛点清单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pct" w:w="7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密钥管理失控</w:t>
            </w:r>
          </w:p>
        </w:tc>
        <w:tc>
          <w:tcPr>
            <w:tcW w:type="pct" w:w="7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上游 API Key 散落在各业务代码/配置中，泄漏风险高，轮换困难</w:t>
            </w:r>
          </w:p>
        </w:tc>
      </w:tr>
      <w:tr>
        <w:trPr>
          <w:cantSplit/>
        </w:trPr>
        <w:tc>
          <w:tcPr>
            <w:tcW w:type="pct" w:w="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无统一限流与配额</w:t>
            </w:r>
          </w:p>
        </w:tc>
        <w:tc>
          <w:tcPr>
            <w:tcW w:type="pct" w:w="7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无法按团队/应用设置 RPM/TPM/预算，上游 429 时互相挤兑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成本不可见</w:t>
            </w:r>
          </w:p>
        </w:tc>
        <w:tc>
          <w:tcPr>
            <w:tcW w:type="pct" w:w="7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无按租户/模型/应用的 token 用量与成本归集，月账单事后才发现超支</w:t>
            </w:r>
          </w:p>
        </w:tc>
      </w:tr>
      <w:tr>
        <w:trPr>
          <w:cantSplit/>
        </w:trPr>
        <w:tc>
          <w:tcPr>
            <w:tcW w:type="pct" w:w="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供应商故障无兜底</w:t>
            </w:r>
          </w:p>
        </w:tc>
        <w:tc>
          <w:tcPr>
            <w:tcW w:type="pct" w:w="7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单一供应商宕机/限流时业务直接报错，无 fallback、无熔断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模型切换成本高</w:t>
            </w:r>
          </w:p>
        </w:tc>
        <w:tc>
          <w:tcPr>
            <w:tcW w:type="pct" w:w="7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各业务绑定单一供应商 SDK，换模型/换供应商需改代码回归</w:t>
            </w:r>
          </w:p>
        </w:tc>
      </w:tr>
      <w:tr>
        <w:trPr>
          <w:cantSplit/>
        </w:trPr>
        <w:tc>
          <w:tcPr>
            <w:tcW w:type="pct" w:w="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缺少内容合规卡点</w:t>
            </w:r>
          </w:p>
        </w:tc>
        <w:tc>
          <w:tcPr>
            <w:tcW w:type="pct" w:w="7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Prompt/输出内容缺少统一的安全审计、PII 检测、注入防护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观测与排障困难</w:t>
            </w:r>
          </w:p>
        </w:tc>
        <w:tc>
          <w:tcPr>
            <w:tcW w:type="pct" w:w="7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日志分散、无 trace 贯穿、无延迟分解（TTFB/生成阶段）数据</w:t>
            </w:r>
          </w:p>
        </w:tc>
      </w:tr>
    </w:tbl>
    <w:p>
      <w:pPr>
        <w:spacing w:after="120" w:line="312"/>
      </w:pPr>
    </w:p>
    <w:p>
      <w:pPr>
        <w:pStyle w:val="Heading2"/>
        <w:spacing w:after="180" w:before="320" w:line="312"/>
        <w:jc w:val="left"/>
      </w:pPr>
      <w:bookmarkStart w:id="100004" w:name="_Toc100004"/>
      <w:r>
        <w:rPr>
          <w:rFonts w:ascii="Arial" w:eastAsia="SimHei"/>
          <w:b/>
          <w:bCs/>
          <w:color w:val="1B4A66"/>
          <w:sz w:val="30"/>
          <w:szCs w:val="30"/>
        </w:rPr>
        <w:t xml:space="preserve">1.3 目标</w:t>
      </w:r>
      <w:bookmarkEnd w:id="100004"/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建设公司级统一 LLM 网关 </w:t>
      </w:r>
      <w:r>
        <w:rPr>
          <w:rFonts w:ascii="Times New Roman" w:eastAsia="SimSun"/>
          <w:b/>
          <w:bCs/>
          <w:sz w:val="24"/>
          <w:szCs w:val="24"/>
        </w:rPr>
        <w:t xml:space="preserve">LGW（LLM Gateway）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，实现：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1. </w:t>
      </w:r>
      <w:r>
        <w:rPr>
          <w:rFonts w:ascii="Times New Roman" w:eastAsia="SimSun"/>
          <w:b/>
          <w:bCs/>
          <w:sz w:val="24"/>
          <w:szCs w:val="24"/>
        </w:rPr>
        <w:t xml:space="preserve">统一接入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：对内提供 OpenAI 兼容协议的单一端点，屏蔽上游供应商差异；一次接入，多模型可用。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2. </w:t>
      </w:r>
      <w:r>
        <w:rPr>
          <w:rFonts w:ascii="Times New Roman" w:eastAsia="SimSun"/>
          <w:b/>
          <w:bCs/>
          <w:sz w:val="24"/>
          <w:szCs w:val="24"/>
        </w:rPr>
        <w:t xml:space="preserve">统一治理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：虚拟 API Key、多维度限流（RPM/TPM/并发/预算）、模型权限、成本核算与预算告警。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3. </w:t>
      </w:r>
      <w:r>
        <w:rPr>
          <w:rFonts w:ascii="Times New Roman" w:eastAsia="SimSun"/>
          <w:b/>
          <w:bCs/>
          <w:sz w:val="24"/>
          <w:szCs w:val="24"/>
        </w:rPr>
        <w:t xml:space="preserve">高可靠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：智能路由、失败重试、跨供应商 fallback、熔断降级、多可用区部署；网关自身可用性 99.95%。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4. </w:t>
      </w:r>
      <w:r>
        <w:rPr>
          <w:rFonts w:ascii="Times New Roman" w:eastAsia="SimSun"/>
          <w:b/>
          <w:bCs/>
          <w:sz w:val="24"/>
          <w:szCs w:val="24"/>
        </w:rPr>
        <w:t xml:space="preserve">可观测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：全量请求级日志（延迟分解、token、成本、缓存、重试）、指标大盘、链路追踪、成本看板。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5. </w:t>
      </w:r>
      <w:r>
        <w:rPr>
          <w:rFonts w:ascii="Times New Roman" w:eastAsia="SimSun"/>
          <w:b/>
          <w:bCs/>
          <w:sz w:val="24"/>
          <w:szCs w:val="24"/>
        </w:rPr>
        <w:t xml:space="preserve">安全合规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：上游密钥集中托管与代理、内容安全 Guardrails（PII/注入/敏感词）、审计日志、数据不出境约束路由。</w:t>
      </w:r>
    </w:p>
    <w:p>
      <w:pPr>
        <w:pStyle w:val="Heading2"/>
        <w:spacing w:after="180" w:before="320" w:line="312"/>
        <w:jc w:val="left"/>
      </w:pPr>
      <w:bookmarkStart w:id="100005" w:name="_Toc100005"/>
      <w:r>
        <w:rPr>
          <w:rFonts w:ascii="Arial" w:eastAsia="SimHei"/>
          <w:b/>
          <w:bCs/>
          <w:color w:val="1B4A66"/>
          <w:sz w:val="30"/>
          <w:szCs w:val="30"/>
        </w:rPr>
        <w:t xml:space="preserve">1.4 非目标（本期不做）</w:t>
      </w:r>
      <w:bookmarkEnd w:id="100005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不做业务层编排与 Agent 运行时（LangGraph、工作流编排等在网关之上构建）；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不做模型训练/微调/评测平台（仅预留评测流量录制能力）；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一期不做跨多云的多集群联邦（架构预留）；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不做 RAG 知识库、向量数据库等数据层产品。</w:t>
      </w:r>
    </w:p>
    <w:p>
      <w:pPr>
        <w:pStyle w:val="Heading2"/>
        <w:spacing w:after="180" w:before="320" w:line="312"/>
        <w:jc w:val="left"/>
      </w:pPr>
      <w:bookmarkStart w:id="100006" w:name="_Toc100006"/>
      <w:r>
        <w:rPr>
          <w:rFonts w:ascii="Arial" w:eastAsia="SimHei"/>
          <w:b/>
          <w:bCs/>
          <w:color w:val="1B4A66"/>
          <w:sz w:val="30"/>
          <w:szCs w:val="30"/>
        </w:rPr>
        <w:t xml:space="preserve">1.5 成功指标（上线后 3 个月）</w:t>
      </w:r>
      <w:bookmarkEnd w:id="100006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3：建设目标与量化指标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7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接入业务方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≥ 10 个业务/团队，≥ 80% 新 LLM 流量经网关</w:t>
            </w:r>
          </w:p>
        </w:tc>
      </w:tr>
      <w:tr>
        <w:trPr>
          <w:cantSplit/>
        </w:trPr>
        <w:tc>
          <w:tcPr>
            <w:tcW w:type="pct" w:w="2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网关可用性</w:t>
            </w:r>
          </w:p>
        </w:tc>
        <w:tc>
          <w:tcPr>
            <w:tcW w:type="pct" w:w="7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≥ 99.95%（不含上游供应商故障）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网关附加延迟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非流式 P99 ≤ 15ms；流式首字节附加 P99 ≤ 10ms</w:t>
            </w:r>
          </w:p>
        </w:tc>
      </w:tr>
      <w:tr>
        <w:trPr>
          <w:cantSplit/>
        </w:trPr>
        <w:tc>
          <w:tcPr>
            <w:tcW w:type="pct" w:w="2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成本可视化覆盖率</w:t>
            </w:r>
          </w:p>
        </w:tc>
        <w:tc>
          <w:tcPr>
            <w:tcW w:type="pct" w:w="7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100% 请求级成本归集，误差（vs 供应商账单）≤ 3%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上游故障恢复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供应商级故障自动 fallback 生效时间 ≤ 30s</w:t>
            </w:r>
          </w:p>
        </w:tc>
      </w:tr>
      <w:tr>
        <w:trPr>
          <w:cantSplit/>
        </w:trPr>
        <w:tc>
          <w:tcPr>
            <w:tcW w:type="pct" w:w="2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精确缓存命中率</w:t>
            </w:r>
          </w:p>
        </w:tc>
        <w:tc>
          <w:tcPr>
            <w:tcW w:type="pct" w:w="7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幂等型业务 ≥ 30%</w:t>
            </w:r>
          </w:p>
        </w:tc>
      </w:tr>
    </w:tbl>
    <w:p>
      <w:pPr>
        <w:spacing w:after="120" w:line="312"/>
      </w:pPr>
    </w:p>
    <w:p>
      <w:pPr>
        <w:pStyle w:val="Heading1"/>
        <w:spacing w:after="240" w:before="400" w:line="312"/>
        <w:jc w:val="center"/>
      </w:pPr>
      <w:bookmarkStart w:id="100007" w:name="_Toc100007"/>
      <w:r>
        <w:rPr>
          <w:rFonts w:ascii="Arial" w:eastAsia="SimHei"/>
          <w:b/>
          <w:bCs/>
          <w:color w:val="13324A"/>
          <w:sz w:val="32"/>
          <w:szCs w:val="32"/>
        </w:rPr>
        <w:t xml:space="preserve">2. 业界方案调研与借鉴要点</w:t>
      </w:r>
      <w:bookmarkEnd w:id="100007"/>
    </w:p>
    <w:p>
      <w:pPr>
        <w:pStyle w:val="Heading2"/>
        <w:spacing w:after="180" w:before="320" w:line="312"/>
        <w:jc w:val="left"/>
      </w:pPr>
      <w:bookmarkStart w:id="100008" w:name="_Toc100008"/>
      <w:r>
        <w:rPr>
          <w:rFonts w:ascii="Arial" w:eastAsia="SimHei"/>
          <w:b/>
          <w:bCs/>
          <w:color w:val="1B4A66"/>
          <w:sz w:val="30"/>
          <w:szCs w:val="30"/>
        </w:rPr>
        <w:t xml:space="preserve">2.1 主流产品全景</w:t>
      </w:r>
      <w:bookmarkEnd w:id="100008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4：业界主流 LLM 网关产品对比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1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pct" w:w="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pct" w:w="2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  <w:tc>
          <w:tcPr>
            <w:tcW w:type="pct" w:w="2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pct" w:w="2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生产适用性评价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LiteLLM Proxy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开源自托管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Python（FastAPI）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200+ provider 统一 API、虚拟 Key、预算/限流（Redis 共享计数）、成本跟踪 DB、路由重试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开源事实标准，企业采用最多；Python 数据面在流式高并发下吞吐与内存开销偏高，深度二开成本高</w:t>
            </w:r>
          </w:p>
        </w:tc>
      </w:tr>
      <w:tr>
        <w:trPr>
          <w:cantSplit/>
        </w:trPr>
        <w:tc>
          <w:tcPr>
            <w:tcW w:type="pct" w:w="1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Portkey Gateway</w:t>
            </w:r>
          </w:p>
        </w:tc>
        <w:tc>
          <w:tcPr>
            <w:tcW w:type="pct" w:w="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商业云 + 开源网关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config 驱动（fallback/loadbalance/cache/guardrails 可编排）、语义缓存、confidential 模式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商业化最完整；config 编排思想值得借鉴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Kong AI Gateway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开源（企业版增强）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Kong（Lua/OpenResty）+ AI 插件集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ai-proxy、ai-prompt-guard、ai-semantic-cache、ai-rate-limiting（</w:t>
            </w: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按 token 计量限流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）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适合已有 Kong API 平台的团队；AI 插件体系完整</w:t>
            </w:r>
          </w:p>
        </w:tc>
      </w:tr>
      <w:tr>
        <w:trPr>
          <w:cantSplit/>
        </w:trPr>
        <w:tc>
          <w:tcPr>
            <w:tcW w:type="pct" w:w="1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Higress AI 网关</w:t>
            </w:r>
          </w:p>
        </w:tc>
        <w:tc>
          <w:tcPr>
            <w:tcW w:type="pct" w:w="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开源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Envoy 数据面 + Go/WASM 插件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Token 吞吐保护型限流、消费者配额、多 Key 均衡、语义缓存、灰度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国内云原生体系代表；插件架构与"保护后端式"限流值得借鉴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Cloudflare AI Gateway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托管 SaaS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边缘网络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缓存、限流、分析、fallback、实时 spend limit、跨供应商统一账单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无需运维；数据出境与合规是国内企业主要障碍</w:t>
            </w:r>
          </w:p>
        </w:tc>
      </w:tr>
      <w:tr>
        <w:trPr>
          <w:cantSplit/>
        </w:trPr>
        <w:tc>
          <w:tcPr>
            <w:tcW w:type="pct" w:w="1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OpenRouter</w:t>
            </w:r>
          </w:p>
        </w:tc>
        <w:tc>
          <w:tcPr>
            <w:tcW w:type="pct" w:w="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托管聚合路由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数百模型统一 API、按价格/延迟/权重路由、provider fallback、credit 统一结算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路由与成本优化思路最佳参考；业务上是模型聚合商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Envoy AI Gateway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开源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Envoy Gateway（Go 控制面，Gateway API 扩展：AIGatewayRoute/AIServiceBackend）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K8s 声明式 AI 路由、extproc token 限流/用量上报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K8s 原生声明式控制面范本（CNCF 项目）</w:t>
            </w:r>
          </w:p>
        </w:tc>
      </w:tr>
      <w:tr>
        <w:trPr>
          <w:cantSplit/>
        </w:trPr>
        <w:tc>
          <w:tcPr>
            <w:tcW w:type="pct" w:w="1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Vercel AI Gateway</w:t>
            </w:r>
          </w:p>
        </w:tc>
        <w:tc>
          <w:tcPr>
            <w:tcW w:type="pct" w:w="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托管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边缘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统一端点、边缘缓存、简单统一计价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边缘缓存与极简定价思路可参考</w:t>
            </w:r>
          </w:p>
        </w:tc>
      </w:tr>
    </w:tbl>
    <w:p>
      <w:pPr>
        <w:spacing w:after="120" w:line="312"/>
      </w:pPr>
    </w:p>
    <w:p>
      <w:pPr>
        <w:pStyle w:val="Heading2"/>
        <w:spacing w:after="180" w:before="320" w:line="312"/>
        <w:jc w:val="left"/>
      </w:pPr>
      <w:bookmarkStart w:id="100009" w:name="_Toc100009"/>
      <w:r>
        <w:rPr>
          <w:rFonts w:ascii="Arial" w:eastAsia="SimHei"/>
          <w:b/>
          <w:bCs/>
          <w:color w:val="1B4A66"/>
          <w:sz w:val="30"/>
          <w:szCs w:val="30"/>
        </w:rPr>
        <w:t xml:space="preserve">2.2 各产品要点与借鉴结论</w:t>
      </w:r>
      <w:bookmarkEnd w:id="100009"/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1. </w:t>
      </w:r>
      <w:r>
        <w:rPr>
          <w:rFonts w:ascii="Times New Roman" w:eastAsia="SimSun"/>
          <w:b/>
          <w:bCs/>
          <w:sz w:val="24"/>
          <w:szCs w:val="24"/>
        </w:rPr>
        <w:t xml:space="preserve">LiteLLM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——虚拟 Key + 预算 + spend 跟踪是其在企业侧流行的核心，而非模型适配本身。生产部署三要点值得直接采纳：Redis 集中共享限流计数与路由状态（多副本一致）；数据库持久化 spend 账本；配置与 DB schema 的模型目录/价格表设计。其痛点：Python 数据面在高并发流式场景资源开销大，社区版控制台与数据面耦合。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2. </w:t>
      </w:r>
      <w:r>
        <w:rPr>
          <w:rFonts w:ascii="Times New Roman" w:eastAsia="SimSun"/>
          <w:b/>
          <w:bCs/>
          <w:sz w:val="24"/>
          <w:szCs w:val="24"/>
        </w:rPr>
        <w:t xml:space="preserve">Portkey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——以 </w:t>
      </w:r>
      <w:r>
        <w:rPr>
          <w:rFonts w:ascii="Times New Roman" w:eastAsia="SimSun"/>
          <w:b/>
          <w:bCs/>
          <w:sz w:val="24"/>
          <w:szCs w:val="24"/>
        </w:rPr>
        <w:t xml:space="preserve">config 为一等公民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（fallbacks、on_status_codes、cache、guardrails 均可配置化编排），治理动作全部声明化，运营友好；语义缓存与精确缓存分级。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3. </w:t>
      </w:r>
      <w:r>
        <w:rPr>
          <w:rFonts w:ascii="Times New Roman" w:eastAsia="SimSun"/>
          <w:b/>
          <w:bCs/>
          <w:sz w:val="24"/>
          <w:szCs w:val="24"/>
        </w:rPr>
        <w:t xml:space="preserve">Kong AI Gateway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——限流按 </w:t>
      </w:r>
      <w:r>
        <w:rPr>
          <w:rFonts w:ascii="Times New Roman" w:eastAsia="SimSun"/>
          <w:b/>
          <w:bCs/>
          <w:sz w:val="24"/>
          <w:szCs w:val="24"/>
        </w:rPr>
        <w:t xml:space="preserve">token 消耗量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而非仅请求数，符合 LLM 成本结构；插件化（ai-proxy、ai-prompt-guard、ai-semantic-cache、ai-rate-limiting-advanced）分层清晰。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4. </w:t>
      </w:r>
      <w:r>
        <w:rPr>
          <w:rFonts w:ascii="Times New Roman" w:eastAsia="SimSun"/>
          <w:b/>
          <w:bCs/>
          <w:sz w:val="24"/>
          <w:szCs w:val="24"/>
        </w:rPr>
        <w:t xml:space="preserve">Higress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——「Token 吞吐保护型限流」（面向后端保护）与「消费者精确配额」（面向租户治理）</w:t>
      </w:r>
      <w:r>
        <w:rPr>
          <w:rFonts w:ascii="Times New Roman" w:eastAsia="SimSun"/>
          <w:b/>
          <w:bCs/>
          <w:sz w:val="24"/>
          <w:szCs w:val="24"/>
        </w:rPr>
        <w:t xml:space="preserve">双视角限流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；多 API Key 均衡应对上游单账号限速；其已知短板是 token 统计依赖响应完成（后置），高频流量下限流存在滞后——本方案以 </w:t>
      </w:r>
      <w:r>
        <w:rPr>
          <w:rFonts w:ascii="Times New Roman" w:eastAsia="SimSun"/>
          <w:b/>
          <w:bCs/>
          <w:sz w:val="24"/>
          <w:szCs w:val="24"/>
        </w:rPr>
        <w:t xml:space="preserve">TPM 预扣 + 响应后校正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解决（见 5.3）。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5. </w:t>
      </w:r>
      <w:r>
        <w:rPr>
          <w:rFonts w:ascii="Times New Roman" w:eastAsia="SimSun"/>
          <w:b/>
          <w:bCs/>
          <w:sz w:val="24"/>
          <w:szCs w:val="24"/>
        </w:rPr>
        <w:t xml:space="preserve">Cloudflare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——实时 spend limit（超预算立即熔断）与跨供应商统一账单体验是成本治理标杆；托管形态数据合规不适合国内主力场景。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6. </w:t>
      </w:r>
      <w:r>
        <w:rPr>
          <w:rFonts w:ascii="Times New Roman" w:eastAsia="SimSun"/>
          <w:b/>
          <w:bCs/>
          <w:sz w:val="24"/>
          <w:szCs w:val="24"/>
        </w:rPr>
        <w:t xml:space="preserve">OpenRouter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——路由策略（价格优先/延迟优先/权重 + provider fallback）与统一 credit 结算是多供应商成本优化的最佳实践范本。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7. </w:t>
      </w:r>
      <w:r>
        <w:rPr>
          <w:rFonts w:ascii="Times New Roman" w:eastAsia="SimSun"/>
          <w:b/>
          <w:bCs/>
          <w:sz w:val="24"/>
          <w:szCs w:val="24"/>
        </w:rPr>
        <w:t xml:space="preserve">Envoy AI Gateway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——用 K8s Gateway API 声明式管理 AI 路由（AIGatewayRoute → AIServiceBackend），控制面/数据面彻底分离；本方案控制面的配置模型设计借鉴其声明式思想，但自研 Admin API + Console 以支持非 K8s 运维人员。</w:t>
      </w:r>
    </w:p>
    <w:p>
      <w:pPr>
        <w:pStyle w:val="Heading2"/>
        <w:spacing w:after="180" w:before="320" w:line="312"/>
        <w:jc w:val="left"/>
      </w:pPr>
      <w:bookmarkStart w:id="100010" w:name="_Toc100010"/>
      <w:r>
        <w:rPr>
          <w:rFonts w:ascii="Arial" w:eastAsia="SimHei"/>
          <w:b/>
          <w:bCs/>
          <w:color w:val="1B4A66"/>
          <w:sz w:val="30"/>
          <w:szCs w:val="30"/>
        </w:rPr>
        <w:t xml:space="preserve">2.3 业界最佳实践提炼（本方案直接采纳）</w:t>
      </w:r>
      <w:bookmarkEnd w:id="100010"/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1. </w:t>
      </w:r>
      <w:r>
        <w:rPr>
          <w:rFonts w:ascii="Times New Roman" w:eastAsia="SimSun"/>
          <w:b/>
          <w:bCs/>
          <w:sz w:val="24"/>
          <w:szCs w:val="24"/>
        </w:rPr>
        <w:t xml:space="preserve">OpenAI 兼容协议为事实标准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：对内 API 一律 OpenAI 格式，同时原生透传 Anthropic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/v1/messages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风格端点（Agent 框架常用），双协议入口。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2. </w:t>
      </w:r>
      <w:r>
        <w:rPr>
          <w:rFonts w:ascii="Times New Roman" w:eastAsia="SimSun"/>
          <w:b/>
          <w:bCs/>
          <w:sz w:val="24"/>
          <w:szCs w:val="24"/>
        </w:rPr>
        <w:t xml:space="preserve">虚拟 API Key + 上游密钥代理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：业务永远拿不到上游供应商真实密钥，密钥只在网关侧集中托管（KMS 加密）。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3. </w:t>
      </w:r>
      <w:r>
        <w:rPr>
          <w:rFonts w:ascii="Times New Roman" w:eastAsia="SimSun"/>
          <w:b/>
          <w:bCs/>
          <w:sz w:val="24"/>
          <w:szCs w:val="24"/>
        </w:rPr>
        <w:t xml:space="preserve">用量以 provider 返回的 usage 为准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（精确），本地 tokenizer 估算仅做兜底（误差 ±5%）。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4. </w:t>
      </w:r>
      <w:r>
        <w:rPr>
          <w:rFonts w:ascii="Times New Roman" w:eastAsia="SimSun"/>
          <w:b/>
          <w:bCs/>
          <w:sz w:val="24"/>
          <w:szCs w:val="24"/>
        </w:rPr>
        <w:t xml:space="preserve">TPM 限流必须预扣 + 校正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：请求前按 max_tokens 预估预扣，响应后按实际 usage 多退少补，否则存在超卖/滞后（Higress 社区已知问题）。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5. </w:t>
      </w:r>
      <w:r>
        <w:rPr>
          <w:rFonts w:ascii="Times New Roman" w:eastAsia="SimSun"/>
          <w:b/>
          <w:bCs/>
          <w:sz w:val="24"/>
          <w:szCs w:val="24"/>
        </w:rPr>
        <w:t xml:space="preserve">限流多维度叠加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：Key 级 → 租户级 → 供应商账号池级（保护上游），分别服务治理与稳定性两个目的。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6. </w:t>
      </w:r>
      <w:r>
        <w:rPr>
          <w:rFonts w:ascii="Times New Roman" w:eastAsia="SimSun"/>
          <w:b/>
          <w:bCs/>
          <w:sz w:val="24"/>
          <w:szCs w:val="24"/>
        </w:rPr>
        <w:t xml:space="preserve">重试/切换由错误分类驱动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：429/5xx/超时可重试可切换；4xx 参数类错误直接透传不重试；</w:t>
      </w:r>
      <w:r>
        <w:rPr>
          <w:rFonts w:ascii="Times New Roman" w:eastAsia="SimSun"/>
          <w:b/>
          <w:bCs/>
          <w:sz w:val="24"/>
          <w:szCs w:val="24"/>
        </w:rPr>
        <w:t xml:space="preserve">流式请求一旦发出首字节即不可整体重试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（见 5.5）。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7. </w:t>
      </w:r>
      <w:r>
        <w:rPr>
          <w:rFonts w:ascii="Times New Roman" w:eastAsia="SimSun"/>
          <w:b/>
          <w:bCs/>
          <w:sz w:val="24"/>
          <w:szCs w:val="24"/>
        </w:rPr>
        <w:t xml:space="preserve">流式零缓冲透传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：网关不做全文缓冲，chunk 即收即转，保证端到端 TTFB；usage 统计依赖流末 usage 帧。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8. </w:t>
      </w:r>
      <w:r>
        <w:rPr>
          <w:rFonts w:ascii="Times New Roman" w:eastAsia="SimSun"/>
          <w:b/>
          <w:bCs/>
          <w:sz w:val="24"/>
          <w:szCs w:val="24"/>
        </w:rPr>
        <w:t xml:space="preserve">观测全旁路异步化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：日志/计量走内存队列 + Kafka 异步落库，绝不在请求主链路上同步写重存储。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9. </w:t>
      </w:r>
      <w:r>
        <w:rPr>
          <w:rFonts w:ascii="Times New Roman" w:eastAsia="SimSun"/>
          <w:b/>
          <w:bCs/>
          <w:sz w:val="24"/>
          <w:szCs w:val="24"/>
        </w:rPr>
        <w:t xml:space="preserve">精确缓存默认开、语义缓存默认关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：语义缓存有业务正确性风险（相似≠相同），仅对白名单租户与场景开启，阈值从 0.95 起调。</w:t>
      </w:r>
    </w:p>
    <w:p>
      <w:pPr>
        <w:spacing w:line="312"/>
        <w:ind w:left="480" w:hanging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10. </w:t>
      </w:r>
      <w:r>
        <w:rPr>
          <w:rFonts w:ascii="Times New Roman" w:eastAsia="SimSun"/>
          <w:b/>
          <w:bCs/>
          <w:sz w:val="24"/>
          <w:szCs w:val="24"/>
        </w:rPr>
        <w:t xml:space="preserve">Guardrails 起步用「观察模式」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：前置轻规则（&lt;5ms）同步执行，重模型检测异步旁路告警；跑一周看误报率再切阻断模式（业界通行做法）。</w:t>
      </w:r>
    </w:p>
    <w:p>
      <w:pPr>
        <w:pStyle w:val="Heading2"/>
        <w:spacing w:after="180" w:before="320" w:line="312"/>
        <w:jc w:val="left"/>
      </w:pPr>
      <w:bookmarkStart w:id="100011" w:name="_Toc100011"/>
      <w:r>
        <w:rPr>
          <w:rFonts w:ascii="Arial" w:eastAsia="SimHei"/>
          <w:b/>
          <w:bCs/>
          <w:color w:val="1B4A66"/>
          <w:sz w:val="30"/>
          <w:szCs w:val="30"/>
        </w:rPr>
        <w:t xml:space="preserve">2.4 借鉴矩阵</w:t>
      </w:r>
      <w:bookmarkEnd w:id="100011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5：LGW 模块与借鉴对象映射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LGW 模块</w:t>
            </w:r>
          </w:p>
        </w:tc>
        <w:tc>
          <w:tcPr>
            <w:tcW w:type="pct" w:w="31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主要借鉴对象</w:t>
            </w:r>
          </w:p>
        </w:tc>
        <w:tc>
          <w:tcPr>
            <w:tcW w:type="pct" w:w="4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借鉴点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虚拟 Key/预算/账本</w:t>
            </w:r>
          </w:p>
        </w:tc>
        <w:tc>
          <w:tcPr>
            <w:tcW w:type="pct" w:w="3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LiteLLM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Key 结构、spend 表、预算触顶熔断</w:t>
            </w:r>
          </w:p>
        </w:tc>
      </w:tr>
      <w:tr>
        <w:trPr>
          <w:cantSplit/>
        </w:trPr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限流（双视角）</w:t>
            </w:r>
          </w:p>
        </w:tc>
        <w:tc>
          <w:tcPr>
            <w:tcW w:type="pct" w:w="3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Kong + Higress</w:t>
            </w:r>
          </w:p>
        </w:tc>
        <w:tc>
          <w:tcPr>
            <w:tcW w:type="pct" w:w="4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按 token 计量限流；后端保护 + 租户配额双视角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TPM 预扣校正</w:t>
            </w:r>
          </w:p>
        </w:tc>
        <w:tc>
          <w:tcPr>
            <w:tcW w:type="pct" w:w="3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本方案设计（解决后置统计滞后）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预扣-校正算法</w:t>
            </w:r>
          </w:p>
        </w:tc>
      </w:tr>
      <w:tr>
        <w:trPr>
          <w:cantSplit/>
        </w:trPr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路由/fallback/成本优先</w:t>
            </w:r>
          </w:p>
        </w:tc>
        <w:tc>
          <w:tcPr>
            <w:tcW w:type="pct" w:w="3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OpenRouter + Portkey</w:t>
            </w:r>
          </w:p>
        </w:tc>
        <w:tc>
          <w:tcPr>
            <w:tcW w:type="pct" w:w="4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策略路由、fallback 链、config 化治理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插件化管道</w:t>
            </w:r>
          </w:p>
        </w:tc>
        <w:tc>
          <w:tcPr>
            <w:tcW w:type="pct" w:w="3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Kong/Higress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中间件插件接口、热插拔</w:t>
            </w:r>
          </w:p>
        </w:tc>
      </w:tr>
      <w:tr>
        <w:trPr>
          <w:cantSplit/>
        </w:trPr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控制面/数据面分离</w:t>
            </w:r>
          </w:p>
        </w:tc>
        <w:tc>
          <w:tcPr>
            <w:tcW w:type="pct" w:w="3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Envoy AI Gateway</w:t>
            </w:r>
          </w:p>
        </w:tc>
        <w:tc>
          <w:tcPr>
            <w:tcW w:type="pct" w:w="4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声明式配置、快照热更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Guardrails 分级</w:t>
            </w:r>
          </w:p>
        </w:tc>
        <w:tc>
          <w:tcPr>
            <w:tcW w:type="pct" w:w="3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Portkey/TrueFoundry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Validate/Mutate/Log 三模式</w:t>
            </w:r>
          </w:p>
        </w:tc>
      </w:tr>
      <w:tr>
        <w:trPr>
          <w:cantSplit/>
        </w:trPr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成本治理体验</w:t>
            </w:r>
          </w:p>
        </w:tc>
        <w:tc>
          <w:tcPr>
            <w:tcW w:type="pct" w:w="3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Cloudflare</w:t>
            </w:r>
          </w:p>
        </w:tc>
        <w:tc>
          <w:tcPr>
            <w:tcW w:type="pct" w:w="4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实时 spend limit、统一账单视角</w:t>
            </w:r>
          </w:p>
        </w:tc>
      </w:tr>
    </w:tbl>
    <w:p>
      <w:pPr>
        <w:spacing w:after="120" w:line="312"/>
      </w:pPr>
    </w:p>
    <w:p>
      <w:pPr>
        <w:pStyle w:val="Heading1"/>
        <w:spacing w:after="240" w:before="400" w:line="312"/>
        <w:jc w:val="center"/>
      </w:pPr>
      <w:bookmarkStart w:id="100012" w:name="_Toc100012"/>
      <w:r>
        <w:rPr>
          <w:rFonts w:ascii="Arial" w:eastAsia="SimHei"/>
          <w:b/>
          <w:bCs/>
          <w:color w:val="13324A"/>
          <w:sz w:val="32"/>
          <w:szCs w:val="32"/>
        </w:rPr>
        <w:t xml:space="preserve">3. 候选方案对比与选型结论</w:t>
      </w:r>
      <w:bookmarkEnd w:id="100012"/>
    </w:p>
    <w:p>
      <w:pPr>
        <w:pStyle w:val="Heading2"/>
        <w:spacing w:after="180" w:before="320" w:line="312"/>
        <w:jc w:val="left"/>
      </w:pPr>
      <w:bookmarkStart w:id="100013" w:name="_Toc100013"/>
      <w:r>
        <w:rPr>
          <w:rFonts w:ascii="Arial" w:eastAsia="SimHei"/>
          <w:b/>
          <w:bCs/>
          <w:color w:val="1B4A66"/>
          <w:sz w:val="30"/>
          <w:szCs w:val="30"/>
        </w:rPr>
        <w:t xml:space="preserve">3.1 候选方案</w:t>
      </w:r>
      <w:bookmarkEnd w:id="100013"/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方案 A：纯托管服务（Cloudflare AI Gateway / Portkey Cloud）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优点：零运维、功能完整、上手最快。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缺点：Prompt 数据出境（合规红线）、按量/席位计费成本高、无法深度定制内网私有模型（vLLM）接入策略、供应商锁定。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结论：</w:t>
      </w:r>
      <w:r>
        <w:rPr>
          <w:rFonts w:ascii="Times New Roman" w:eastAsia="SimSun"/>
          <w:b/>
          <w:bCs/>
          <w:sz w:val="24"/>
          <w:szCs w:val="24"/>
        </w:rPr>
        <w:t xml:space="preserve">不满足合规与私有模型要求，排除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（可作为海外业务子域的可选项）。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方案 B：开源开箱自托管（LiteLLM Proxy 为主选，Kong/Higress 备选）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优点：生态最成熟（200+ provider 适配现成）、社区活跃、企业采用广泛，2~4 周可上线。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缺点：Python 数据面在高并发流式场景吞吐与内存开销大（长连接场景单副本承载低）；深度定制（内部 Guardrails、私有协议、成本模型与内部计费系统对接）需改核心代码，长期维护 fork 成本高；生产部署仍需自建 Redis/DB/可观测全套。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结论：</w:t>
      </w:r>
      <w:r>
        <w:rPr>
          <w:rFonts w:ascii="Times New Roman" w:eastAsia="SimSun"/>
          <w:b/>
          <w:bCs/>
          <w:sz w:val="24"/>
          <w:szCs w:val="24"/>
        </w:rPr>
        <w:t xml:space="preserve">适合 ≤5 人团队或纯验证期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方案 C：自研数据面网关（Go）+ 开源生态存储组件（推荐）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控制面自研（Admin API + Console + 配置发布），数据面 Go 自研（协程模型天然适配万级长连接流式转发），存储与消息复用成熟开源（PostgreSQL/Redis/Kafka/ClickHouse）。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优点：性能与资源效率（目标单副本承载 3k 并发流式连接）；治理深度可控（内预算/内部计费对接/内容合规卡点/私有模型纳管）；长期演进自由（Agent 网关、多模态、多集群）。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缺点：初期研发投入大（一期约 8 周，团队 6~8 人）；provider 适配需自建（可参考 LiteLLM 的适配映射表，工作量集中在 Top 8 供应商）。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结论：</w:t>
      </w:r>
      <w:r>
        <w:rPr>
          <w:rFonts w:ascii="Times New Roman" w:eastAsia="SimSun"/>
          <w:b/>
          <w:bCs/>
          <w:sz w:val="24"/>
          <w:szCs w:val="24"/>
        </w:rPr>
        <w:t xml:space="preserve">推荐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。数据面设计完全兼容 OpenAI 协议与 LiteLLM 的核心数据语义，保留「先 LiteLLM 后自研」的平滑迁移路径。</w:t>
      </w:r>
    </w:p>
    <w:p>
      <w:pPr>
        <w:pStyle w:val="Heading2"/>
        <w:spacing w:after="180" w:before="320" w:line="312"/>
        <w:jc w:val="left"/>
      </w:pPr>
      <w:bookmarkStart w:id="100014" w:name="_Toc100014"/>
      <w:r>
        <w:rPr>
          <w:rFonts w:ascii="Arial" w:eastAsia="SimHei"/>
          <w:b/>
          <w:bCs/>
          <w:color w:val="1B4A66"/>
          <w:sz w:val="30"/>
          <w:szCs w:val="30"/>
        </w:rPr>
        <w:t xml:space="preserve">3.2 决策矩阵（评分 1–5，权重合计 100%）</w:t>
      </w:r>
      <w:bookmarkEnd w:id="100014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6：候选方案决策矩阵（加权评分）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9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pct" w:w="11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A 托管</w:t>
            </w:r>
          </w:p>
        </w:tc>
        <w:tc>
          <w:tcPr>
            <w:tcW w:type="pct" w:w="1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B LiteLLM</w:t>
            </w:r>
          </w:p>
        </w:tc>
        <w:tc>
          <w:tcPr>
            <w:tcW w:type="pct" w:w="1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C 自研 Go</w:t>
            </w:r>
          </w:p>
        </w:tc>
        <w:tc>
          <w:tcPr>
            <w:tcW w:type="pct" w:w="3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功能满足度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 可完全覆盖私有化诉求</w:t>
            </w:r>
          </w:p>
        </w:tc>
      </w:tr>
      <w:tr>
        <w:trPr>
          <w:cantSplit/>
        </w:trPr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性能与扩展性</w:t>
            </w:r>
          </w:p>
        </w:tc>
        <w:tc>
          <w:tcPr>
            <w:tcW w:type="pct" w:w="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pct" w:w="1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长连接流式场景 Go 优势明显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数据合规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A 数据出境直接出局</w:t>
            </w:r>
          </w:p>
        </w:tc>
      </w:tr>
      <w:tr>
        <w:trPr>
          <w:cantSplit/>
        </w:trPr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工程投入</w:t>
            </w:r>
          </w:p>
        </w:tc>
        <w:tc>
          <w:tcPr>
            <w:tcW w:type="pct" w:w="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pct" w:w="1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 一期 8 周 + 6~8 人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运维复杂度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B/C 均需自运维全套存储</w:t>
            </w:r>
          </w:p>
        </w:tc>
      </w:tr>
      <w:tr>
        <w:trPr>
          <w:cantSplit/>
        </w:trPr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长期可控性</w:t>
            </w:r>
          </w:p>
        </w:tc>
        <w:tc>
          <w:tcPr>
            <w:tcW w:type="pct" w:w="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pct" w:w="1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深度定制与内部系统对接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生态与社区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provider 适配 C 需自建</w:t>
            </w:r>
          </w:p>
        </w:tc>
      </w:tr>
      <w:tr>
        <w:trPr>
          <w:cantSplit/>
        </w:trPr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加权总分</w:t>
            </w:r>
          </w:p>
        </w:tc>
        <w:tc>
          <w:tcPr>
            <w:tcW w:type="pct" w:w="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3.45</w:t>
            </w:r>
          </w:p>
        </w:tc>
        <w:tc>
          <w:tcPr>
            <w:tcW w:type="pct" w:w="1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3.85</w:t>
            </w:r>
          </w:p>
        </w:tc>
        <w:tc>
          <w:tcPr>
            <w:tcW w:type="pct" w:w="1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4.55</w:t>
            </w:r>
          </w:p>
        </w:tc>
        <w:tc>
          <w:tcPr>
            <w:tcW w:type="pct" w:w="3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C 胜出</w:t>
            </w:r>
          </w:p>
        </w:tc>
      </w:tr>
    </w:tbl>
    <w:p>
      <w:pPr>
        <w:spacing w:after="120" w:line="312"/>
      </w:pPr>
    </w:p>
    <w:p>
      <w:pPr>
        <w:pStyle w:val="Heading2"/>
        <w:spacing w:after="180" w:before="320" w:line="312"/>
        <w:jc w:val="left"/>
      </w:pPr>
      <w:bookmarkStart w:id="100015" w:name="_Toc100015"/>
      <w:r>
        <w:rPr>
          <w:rFonts w:ascii="Arial" w:eastAsia="SimHei"/>
          <w:b/>
          <w:bCs/>
          <w:color w:val="1B4A66"/>
          <w:sz w:val="30"/>
          <w:szCs w:val="30"/>
        </w:rPr>
        <w:t xml:space="preserve">3.3 选型结论与风险对冲</w:t>
      </w:r>
      <w:bookmarkEnd w:id="100015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主路线：方案 C（自研 Go 数据面 + 自研控制面 + 开源存储生态）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，分两期交付（详见第 11 章）。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风险对冲（Phase 0 可选）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：若评审认为一期排期过紧，可在 M0+2 周内用 LiteLLM（4 副本 + Redis + PG）先行承接 1~2 个非核心业务验证治理模型与运营流程；LGW 一期上线后按端点灰度切流。两者共享 Redis/PG，成本可控。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兼容性承诺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：LGW 数据面对外 100% OpenAI 兼容（含 SSE 事件序列），内部数据模型（虚拟 Key/预算/spend）语义与 LiteLLM 对齐，迁移仅需替换 base_url 与换发 Key。</w:t>
      </w:r>
    </w:p>
    <w:p>
      <w:pPr>
        <w:pStyle w:val="Heading1"/>
        <w:spacing w:after="240" w:before="400" w:line="312"/>
        <w:jc w:val="center"/>
      </w:pPr>
      <w:bookmarkStart w:id="100016" w:name="_Toc100016"/>
      <w:r>
        <w:rPr>
          <w:rFonts w:ascii="Arial" w:eastAsia="SimHei"/>
          <w:b/>
          <w:bCs/>
          <w:color w:val="13324A"/>
          <w:sz w:val="32"/>
          <w:szCs w:val="32"/>
        </w:rPr>
        <w:t xml:space="preserve">4. 总体架构设计</w:t>
      </w:r>
      <w:bookmarkEnd w:id="100016"/>
    </w:p>
    <w:p>
      <w:pPr>
        <w:pStyle w:val="Heading2"/>
        <w:spacing w:after="180" w:before="320" w:line="312"/>
        <w:jc w:val="left"/>
      </w:pPr>
      <w:bookmarkStart w:id="100017" w:name="_Toc100017"/>
      <w:r>
        <w:rPr>
          <w:rFonts w:ascii="Arial" w:eastAsia="SimHei"/>
          <w:b/>
          <w:bCs/>
          <w:color w:val="1B4A66"/>
          <w:sz w:val="30"/>
          <w:szCs w:val="30"/>
        </w:rPr>
        <w:t xml:space="preserve">4.1 架构总览</w:t>
      </w:r>
      <w:bookmarkEnd w:id="100017"/>
    </w:p>
    <w:p>
      <w:pPr>
        <w:keepNext/>
        <w:spacing w:after="60" w:before="200" w:line="312"/>
        <w:jc w:val="center"/>
      </w:pPr>
      <w:r>
        <w:drawing>
          <wp:inline distT="0" distB="0" distL="0" distR="0">
            <wp:extent cx="5334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图 1：LGW 总体架构（控制面 / 数据面分离）</w:t>
      </w: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架构分为五层：</w:t>
      </w:r>
      <w:r>
        <w:rPr>
          <w:rFonts w:ascii="Times New Roman" w:eastAsia="SimSun"/>
          <w:b/>
          <w:bCs/>
          <w:sz w:val="24"/>
          <w:szCs w:val="24"/>
        </w:rPr>
        <w:t xml:space="preserve">客户端层 → 接入层 → 数据面（网关核心）→ 控制面 → 存储与上游层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数据面（lgw-gateway）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：无状态 Go 服务，多副本水平扩展；对内暴露 OpenAI 兼容端点与 Anthropic 兼容端点；核心是</w:t>
      </w:r>
      <w:r>
        <w:rPr>
          <w:rFonts w:ascii="Times New Roman" w:eastAsia="SimSun"/>
          <w:b/>
          <w:bCs/>
          <w:sz w:val="24"/>
          <w:szCs w:val="24"/>
        </w:rPr>
        <w:t xml:space="preserve">中间件管道 + Provider 适配器 + 流式中继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；观测数据异步旁路。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控制面（lgw-admin + lgw-console）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：Admin API（租户/Key/路由/限流/预算/价格管理）+ Web 控制台 + 配置发布器（配置快照版本化，经 Redis Pub/Sub 推送数据面热加载，数据面不直连 PG）。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异步消费（lgw-worker）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：消费 Kafka 日志/计量消息，批量写 ClickHouse 与 PG 账本，驱动预算告警与对账。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存储层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：PostgreSQL（元数据 + 账本）、Redis Cluster（限流计数/熔断状态/精确缓存/热配置快照）、Kafka（日志缓冲管道）、ClickHouse（请求明细与聚合分析）、（可选）向量检索服务（语义缓存）。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上游层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：各云供应商 API、自托管 vLLM/KServe 集群；上游真实密钥仅存在于网关的密钥管理系统（KMS 加密）中。</w:t>
      </w:r>
    </w:p>
    <w:p>
      <w:pPr>
        <w:pStyle w:val="Heading2"/>
        <w:spacing w:after="180" w:before="320" w:line="312"/>
        <w:jc w:val="left"/>
      </w:pPr>
      <w:bookmarkStart w:id="100018" w:name="_Toc100018"/>
      <w:r>
        <w:rPr>
          <w:rFonts w:ascii="Arial" w:eastAsia="SimHei"/>
          <w:b/>
          <w:bCs/>
          <w:color w:val="1B4A66"/>
          <w:sz w:val="30"/>
          <w:szCs w:val="30"/>
        </w:rPr>
        <w:t xml:space="preserve">4.2 关键设计原则</w:t>
      </w:r>
      <w:bookmarkEnd w:id="100018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7：总体架构关键设计原则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落地方式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数据面无状态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所有状态（限流计数、熔断、配额）入 Redis；配置为只读快照，版本化热加载</w:t>
            </w:r>
          </w:p>
        </w:tc>
      </w:tr>
      <w:tr>
        <w:trPr>
          <w:cantSplit/>
        </w:trPr>
        <w:tc>
          <w:tcPr>
            <w:tcW w:type="pct" w:w="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主链路最小开销</w:t>
            </w:r>
          </w:p>
        </w:tc>
        <w:tc>
          <w:tcPr>
            <w:tcW w:type="pct" w:w="7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请求主链路同步依赖只有 Redis（≤2 次 RTT）；鉴权策略本地 LRU 缓存 30s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观测全旁路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日志/计量先入进程内存批量缓冲 → Kafka → 异步落库；Kafka 不可用时本地 WAL 兜底</w:t>
            </w:r>
          </w:p>
        </w:tc>
      </w:tr>
      <w:tr>
        <w:trPr>
          <w:cantSplit/>
        </w:trPr>
        <w:tc>
          <w:tcPr>
            <w:tcW w:type="pct" w:w="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协议兼容优先</w:t>
            </w:r>
          </w:p>
        </w:tc>
        <w:tc>
          <w:tcPr>
            <w:tcW w:type="pct" w:w="7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对外 OpenAI 兼容为第一契约（含错误结构与 SSE 事件序列），保证业务零成本迁移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配置声明式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一切治理动作（路由/限流/预算/Guardrails）为数据（DB 中的策略），不是代码</w:t>
            </w:r>
          </w:p>
        </w:tc>
      </w:tr>
      <w:tr>
        <w:trPr>
          <w:cantSplit/>
        </w:trPr>
        <w:tc>
          <w:tcPr>
            <w:tcW w:type="pct" w:w="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失败可预期</w:t>
            </w:r>
          </w:p>
        </w:tc>
        <w:tc>
          <w:tcPr>
            <w:tcW w:type="pct" w:w="7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每个依赖都有降级行为定义（Redis 挂 → 本地令牌桶宽松限流；PG 挂 → 冻结配置运行）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流式零缓冲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SSE chunk 即收即转（Flusher 逐 chunk），端到端 TTFB 不受网关影响</w:t>
            </w:r>
          </w:p>
        </w:tc>
      </w:tr>
    </w:tbl>
    <w:p>
      <w:pPr>
        <w:spacing w:after="120" w:line="312"/>
      </w:pPr>
    </w:p>
    <w:p>
      <w:pPr>
        <w:pStyle w:val="Heading2"/>
        <w:spacing w:after="180" w:before="320" w:line="312"/>
        <w:jc w:val="left"/>
      </w:pPr>
      <w:bookmarkStart w:id="100019" w:name="_Toc100019"/>
      <w:r>
        <w:rPr>
          <w:rFonts w:ascii="Arial" w:eastAsia="SimHei"/>
          <w:b/>
          <w:bCs/>
          <w:color w:val="1B4A66"/>
          <w:sz w:val="30"/>
          <w:szCs w:val="30"/>
        </w:rPr>
        <w:t xml:space="preserve">4.3 技术栈</w:t>
      </w:r>
      <w:bookmarkEnd w:id="100019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8：技术栈选型清单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5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数据面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Go 1.24 + net/http（SO_REUSEPORT 多副本监听）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长连接流式友好；pprof 常驻</w:t>
            </w:r>
          </w:p>
        </w:tc>
      </w:tr>
      <w:tr>
        <w:trPr>
          <w:cantSplit/>
        </w:trPr>
        <w:tc>
          <w:tcPr>
            <w:tcW w:type="pct" w:w="1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控制面 Admin API</w:t>
            </w:r>
          </w:p>
        </w:tc>
        <w:tc>
          <w:tcPr>
            <w:tcW w:type="pct" w:w="5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Go + sqlc/pgx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与数据面同仓库 MonoRepo，模块隔离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控制台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React + TypeScript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复用内部前端组件库</w:t>
            </w:r>
          </w:p>
        </w:tc>
      </w:tr>
      <w:tr>
        <w:trPr>
          <w:cantSplit/>
        </w:trPr>
        <w:tc>
          <w:tcPr>
            <w:tcW w:type="pct" w:w="1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元数据/账本</w:t>
            </w:r>
          </w:p>
        </w:tc>
        <w:tc>
          <w:tcPr>
            <w:tcW w:type="pct" w:w="5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PostgreSQL 16（主从 + Patroni 自动切换）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账本表分区按月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限流/缓存/状态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Redis 7.2 Cluster（3 分片 × 2 副本）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Lua 原子脚本</w:t>
            </w:r>
          </w:p>
        </w:tc>
      </w:tr>
      <w:tr>
        <w:trPr>
          <w:cantSplit/>
        </w:trPr>
        <w:tc>
          <w:tcPr>
            <w:tcW w:type="pct" w:w="1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日志管道</w:t>
            </w:r>
          </w:p>
        </w:tc>
        <w:tc>
          <w:tcPr>
            <w:tcW w:type="pct" w:w="5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Kafka 3.x（3 节点，LZ4）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topic: lgw.request_log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分析库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ClickHouse 24.x（2 分片 × 2 副本）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明细 + 物化视图聚合</w:t>
            </w:r>
          </w:p>
        </w:tc>
      </w:tr>
      <w:tr>
        <w:trPr>
          <w:cantSplit/>
        </w:trPr>
        <w:tc>
          <w:tcPr>
            <w:tcW w:type="pct" w:w="1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观测</w:t>
            </w:r>
          </w:p>
        </w:tc>
        <w:tc>
          <w:tcPr>
            <w:tcW w:type="pct" w:w="5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OpenTelemetry SDK + Prometheus + Grafana + 内部日志平台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trace 贯穿网关与上游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部署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Kubernetes + ArgoCD（GitOps）+ Helm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HPA 按自定义指标（活跃流数）</w:t>
            </w:r>
          </w:p>
        </w:tc>
      </w:tr>
      <w:tr>
        <w:trPr>
          <w:cantSplit/>
        </w:trPr>
        <w:tc>
          <w:tcPr>
            <w:tcW w:type="pct" w:w="1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CI</w:t>
            </w:r>
          </w:p>
        </w:tc>
        <w:tc>
          <w:tcPr>
            <w:tcW w:type="pct" w:w="5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GitLab CI + testcontainers（PG/Redis/Kafka 集成测试）+ mock provider 矩阵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金丝雀自动回滚</w:t>
            </w:r>
          </w:p>
        </w:tc>
      </w:tr>
    </w:tbl>
    <w:p>
      <w:pPr>
        <w:spacing w:after="120" w:line="312"/>
      </w:pPr>
    </w:p>
    <w:p>
      <w:pPr>
        <w:pStyle w:val="Heading2"/>
        <w:spacing w:after="180" w:before="320" w:line="312"/>
        <w:jc w:val="left"/>
      </w:pPr>
      <w:bookmarkStart w:id="100020" w:name="_Toc100020"/>
      <w:r>
        <w:rPr>
          <w:rFonts w:ascii="Arial" w:eastAsia="SimHei"/>
          <w:b/>
          <w:bCs/>
          <w:color w:val="1B4A66"/>
          <w:sz w:val="30"/>
          <w:szCs w:val="30"/>
        </w:rPr>
        <w:t xml:space="preserve">4.4 请求处理管道（数据面内部）</w:t>
      </w:r>
      <w:bookmarkEnd w:id="100020"/>
    </w:p>
    <w:p>
      <w:pPr>
        <w:keepNext/>
        <w:spacing w:after="60" w:before="200" w:line="312"/>
        <w:jc w:val="center"/>
      </w:pPr>
      <w:r>
        <w:drawing>
          <wp:inline distT="0" distB="0" distL="0" distR="0">
            <wp:extent cx="4572000" cy="554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图 2：请求处理管道（三阶段主链路与旁路）</w:t>
      </w:r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请求 → [AccessLog] → [AuthKey 虚拟密钥认证] → [Policy 本地策略匹配]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→ [RateLimit 并发/RPM/TPM 预扣] → [Budget 预算校验] → [ModelACL 模型权限]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→ [Guardrail-Pre 前置内容安全(轻规则)] → [Cache 精确缓存查询]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→ [Router 路由决策] → [Retry/Fallback 循环]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→ [ProviderAdapter 请求转换] → [上游调用(TLS/超时/账号池)]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→ [StreamRelay 流式中继 / 非流式转发]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→ [UsageMeter usage 计量 + TPM 校正] → [Guardrail-Post 后置检测(异步)]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→ [EmitLog/Kafka 旁路发射] → 响应完成</w:t>
      </w: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管道为洋葱模型（Go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func(http.Handler) http.Handler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），每级中间件可按路由/租户配置启停；Guardrail-Post、EmitLog 为异步旁路，不阻塞响应。</w:t>
      </w:r>
    </w:p>
    <w:p>
      <w:pPr>
        <w:pStyle w:val="Heading1"/>
        <w:spacing w:after="240" w:before="400" w:line="312"/>
        <w:jc w:val="center"/>
      </w:pPr>
      <w:bookmarkStart w:id="100021" w:name="_Toc100021"/>
      <w:r>
        <w:rPr>
          <w:rFonts w:ascii="Arial" w:eastAsia="SimHei"/>
          <w:b/>
          <w:bCs/>
          <w:color w:val="13324A"/>
          <w:sz w:val="32"/>
          <w:szCs w:val="32"/>
        </w:rPr>
        <w:t xml:space="preserve">5. 核心功能详细设计</w:t>
      </w:r>
      <w:bookmarkEnd w:id="100021"/>
    </w:p>
    <w:p>
      <w:pPr>
        <w:pStyle w:val="Heading2"/>
        <w:spacing w:after="180" w:before="320" w:line="312"/>
        <w:jc w:val="left"/>
      </w:pPr>
      <w:bookmarkStart w:id="100022" w:name="_Toc100022"/>
      <w:r>
        <w:rPr>
          <w:rFonts w:ascii="Arial" w:eastAsia="SimHei"/>
          <w:b/>
          <w:bCs/>
          <w:color w:val="1B4A66"/>
          <w:sz w:val="30"/>
          <w:szCs w:val="30"/>
        </w:rPr>
        <w:t xml:space="preserve">5.1 统一 API 与协议适配</w:t>
      </w:r>
      <w:bookmarkEnd w:id="100022"/>
    </w:p>
    <w:p>
      <w:pPr>
        <w:pStyle w:val="Heading3"/>
        <w:spacing w:after="140" w:before="260" w:line="312"/>
        <w:jc w:val="left"/>
      </w:pPr>
      <w:bookmarkStart w:id="100023" w:name="_Toc100023"/>
      <w:r>
        <w:rPr>
          <w:rFonts w:ascii="Arial" w:eastAsia="SimHei"/>
          <w:b/>
          <w:bCs/>
          <w:color w:val="2B5A75"/>
          <w:sz w:val="26"/>
          <w:szCs w:val="26"/>
        </w:rPr>
        <w:t xml:space="preserve">5.1.1 对外端点</w:t>
      </w:r>
      <w:bookmarkEnd w:id="100023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9：对外 API 端点清单（一期）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51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/v1/chat/completions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5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OpenAI 兼容；支持 stream、tools/function calling、response_format</w:t>
            </w:r>
          </w:p>
        </w:tc>
      </w:tr>
      <w:tr>
        <w:trPr>
          <w:cantSplit/>
        </w:trPr>
        <w:tc>
          <w:tcPr>
            <w:tcW w:type="pct" w:w="4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/v1/completions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5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OpenAI 兼容（遗留业务）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/v1/embeddings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5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OpenAI 兼容</w:t>
            </w:r>
          </w:p>
        </w:tc>
      </w:tr>
      <w:tr>
        <w:trPr>
          <w:cantSplit/>
        </w:trPr>
        <w:tc>
          <w:tcPr>
            <w:tcW w:type="pct" w:w="4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/v1/rerank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5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兼容 Jina/Cohere 风格（检索场景）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/v1/messages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5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Anthropic 兼容（Claude Code/Agent 框架直连）</w:t>
            </w:r>
          </w:p>
        </w:tc>
      </w:tr>
      <w:tr>
        <w:trPr>
          <w:cantSplit/>
        </w:trPr>
        <w:tc>
          <w:tcPr>
            <w:tcW w:type="pct" w:w="4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/v1/models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5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返回</w:t>
            </w: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当前 Key 有权限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的逻辑模型列表（过滤后）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/v1/images/generations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/v1/audio/transcriptions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5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二期：多模态</w:t>
            </w:r>
          </w:p>
        </w:tc>
      </w:tr>
      <w:tr>
        <w:trPr>
          <w:cantSplit/>
        </w:trPr>
        <w:tc>
          <w:tcPr>
            <w:tcW w:type="pct" w:w="4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/healthz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/readyz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/metrics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5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探针与指标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/admin/v1/*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5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控制面 API（独立服务、独立鉴权）</w:t>
            </w:r>
          </w:p>
        </w:tc>
      </w:tr>
    </w:tbl>
    <w:p>
      <w:pPr>
        <w:spacing w:after="120" w:line="312"/>
      </w:pP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契约要点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请求头：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Authorization: Bearer lgw-xxx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（虚拟 Key）；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X-Request-Id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（缺省自动生成并回填）；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X-Lgw-Metadata: base64(json)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（业务自定义归因字段，透传至日志，如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{"app":"code-assistant","feature":"review"}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）；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X-Lgw-No-Cache: true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（缓存旁路）。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响应头：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X-Lgw-Request-Id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、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X-Lgw-Upstream-Model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（实际命中模型）、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X-Lgw-Cache: HIT/MISS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、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X-Lgw-Retry-Count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未知字段透传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：对请求体中网关不认识的 JSON 字段，默认透传至上游（保证新特性先跑通），策略可按 provider 关闭白名单模式。</w:t>
      </w:r>
    </w:p>
    <w:p>
      <w:pPr>
        <w:pStyle w:val="Heading3"/>
        <w:spacing w:after="140" w:before="260" w:line="312"/>
        <w:jc w:val="left"/>
      </w:pPr>
      <w:bookmarkStart w:id="100024" w:name="_Toc100024"/>
      <w:r>
        <w:rPr>
          <w:rFonts w:ascii="Arial" w:eastAsia="SimHei"/>
          <w:b/>
          <w:bCs/>
          <w:color w:val="2B5A75"/>
          <w:sz w:val="26"/>
          <w:szCs w:val="26"/>
        </w:rPr>
        <w:t xml:space="preserve">5.1.2 内部中间表示（IR）</w:t>
      </w:r>
      <w:bookmarkEnd w:id="100024"/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入向将 OpenAI/Anthropic 两种入口协议规范化为内部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ChatRequest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IR；出向由各 ProviderAdapter 将 IR 序列化为上游协议、将上游响应/流还原为入口协议的事件序列。</w:t>
      </w:r>
      <w:r>
        <w:rPr>
          <w:rFonts w:ascii="Times New Roman" w:eastAsia="SimSun"/>
          <w:b/>
          <w:bCs/>
          <w:sz w:val="24"/>
          <w:szCs w:val="24"/>
        </w:rPr>
        <w:t xml:space="preserve">不做全文缓冲的流式转换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（逐事件状态机转换，内存占用 O(1)）。</w:t>
      </w:r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type ChatRequest struct {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Model       string            // 逻辑模型名（路由前）→上游物理模型（路由后）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Messages    []Message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Tools       []Tool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Stream      bool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MaxTokens   *int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Temperature *float64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Metadata    map[string]any    // 透传字段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type ProviderAdapter interface {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Name() string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BuildRequest(ir *ChatRequest, acc *ProviderAccount) (*http.Request, error)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ParseStreamChunk(chunk []byte, st *StreamState) ([]SSEEvent, error) // 增量事件转换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ExtractUsage(st *StreamState) *Usage                               // 流末/非流式 usage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NormalizeError(errResp []byte, code int) *GatewayError             // 错误归一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}</w:t>
      </w:r>
    </w:p>
    <w:p>
      <w:pPr>
        <w:pStyle w:val="Heading3"/>
        <w:spacing w:after="140" w:before="260" w:line="312"/>
        <w:jc w:val="left"/>
      </w:pPr>
      <w:bookmarkStart w:id="100025" w:name="_Toc100025"/>
      <w:r>
        <w:rPr>
          <w:rFonts w:ascii="Arial" w:eastAsia="SimHei"/>
          <w:b/>
          <w:bCs/>
          <w:color w:val="2B5A75"/>
          <w:sz w:val="26"/>
          <w:szCs w:val="26"/>
        </w:rPr>
        <w:t xml:space="preserve">5.1.3 统一错误规范</w:t>
      </w:r>
      <w:bookmarkEnd w:id="100025"/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错误体结构与 OpenAI 对齐，附加网关上下文；错误码分段：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401xx 鉴权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、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403xx 权限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、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429xx 限流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、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400xx 参数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、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503xx 上游/熔断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、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500xx 内部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。</w:t>
      </w:r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{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"error": {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"type": "rate_limit_error",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"code": 42901,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"message": "TPM limit exceeded for key k-1234 (limit=60000, window=60s)",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"param": null,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"request_id": "lgw-8f3a...",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"upstream": null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}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}</w:t>
      </w: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关键错误码：40101 Key 无效 / 40102 Key 已吊销 / 40103 IP 不在白名单；40301 模型无权限；42901 并发超限（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Retry-After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）/ 42902 RPM / 42903 TPM / 42904 预算耗尽；50301 上游全部熔断 / 50302 上游超时（重试耗尽）/ 50303 上游 5xx / 50304 流式中断不可恢复。</w:t>
      </w:r>
    </w:p>
    <w:p>
      <w:pPr>
        <w:pStyle w:val="Heading2"/>
        <w:spacing w:after="180" w:before="320" w:line="312"/>
        <w:jc w:val="left"/>
      </w:pPr>
      <w:bookmarkStart w:id="100026" w:name="_Toc100026"/>
      <w:r>
        <w:rPr>
          <w:rFonts w:ascii="Arial" w:eastAsia="SimHei"/>
          <w:b/>
          <w:bCs/>
          <w:color w:val="1B4A66"/>
          <w:sz w:val="30"/>
          <w:szCs w:val="30"/>
        </w:rPr>
        <w:t xml:space="preserve">5.2 虚拟 API Key 与租户体系</w:t>
      </w:r>
      <w:bookmarkEnd w:id="100026"/>
    </w:p>
    <w:p>
      <w:pPr>
        <w:pStyle w:val="Heading3"/>
        <w:spacing w:after="140" w:before="260" w:line="312"/>
        <w:jc w:val="left"/>
      </w:pPr>
      <w:bookmarkStart w:id="100027" w:name="_Toc100027"/>
      <w:r>
        <w:rPr>
          <w:rFonts w:ascii="Arial" w:eastAsia="SimHei"/>
          <w:b/>
          <w:bCs/>
          <w:color w:val="2B5A75"/>
          <w:sz w:val="26"/>
          <w:szCs w:val="26"/>
        </w:rPr>
        <w:t xml:space="preserve">5.2.1 层级模型</w:t>
      </w:r>
      <w:bookmarkEnd w:id="100027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Organization（公司）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└── Tenant（业务线/租户，如 code-assistant）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├── Team（可选二级归因）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│   └── VirtualKey（应用级/个人级，最小授权单元）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└── VirtualKey</w:t>
      </w: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Key 作用域（全部可选、叠加生效）：模型白名单、Provider 白名单、IP/CIDR 白名单、TTL（过期自动失效）、并发/RPM/TPM 限额、日/月预算上限、仅缓存可读（离线分析场景）。</w:t>
      </w:r>
    </w:p>
    <w:p>
      <w:pPr>
        <w:pStyle w:val="Heading3"/>
        <w:spacing w:after="140" w:before="260" w:line="312"/>
        <w:jc w:val="left"/>
      </w:pPr>
      <w:bookmarkStart w:id="100028" w:name="_Toc100028"/>
      <w:r>
        <w:rPr>
          <w:rFonts w:ascii="Arial" w:eastAsia="SimHei"/>
          <w:b/>
          <w:bCs/>
          <w:color w:val="2B5A75"/>
          <w:sz w:val="26"/>
          <w:szCs w:val="26"/>
        </w:rPr>
        <w:t xml:space="preserve">5.2.2 Key 生成与存储</w:t>
      </w:r>
      <w:bookmarkEnd w:id="100028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格式：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lgw-&lt;env&gt;&lt;4位租户码&gt;-&lt;32字节 CSPRNG base62&gt;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，例：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lgw-p7a3k9-xxxx...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；携带 2 字节 CRC 校验前缀位，格式错误可在本地直接拒绝（不打 Redis）。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存储：</w:t>
      </w:r>
      <w:r>
        <w:rPr>
          <w:rFonts w:ascii="Times New Roman" w:eastAsia="SimSun"/>
          <w:b/>
          <w:bCs/>
          <w:sz w:val="24"/>
          <w:szCs w:val="24"/>
        </w:rPr>
        <w:t xml:space="preserve">仅存 SHA-256( pepper ‖ key )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（pepper 由 KMS 托管，进程启动注入，不落盘）；DB 泄漏无法反推 Key。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分发：创建时一次性明文展示（前端展示后端不返回），支持 Webhook 通知 Key 创建/吊销事件。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轮换：Key 支持双活窗口（新 Key 生效、旧 Key 宽限 7 天只读告警），避免硬切换事故。</w:t>
      </w:r>
    </w:p>
    <w:p>
      <w:pPr>
        <w:pStyle w:val="Heading3"/>
        <w:spacing w:after="140" w:before="260" w:line="312"/>
        <w:jc w:val="left"/>
      </w:pPr>
      <w:bookmarkStart w:id="100029" w:name="_Toc100029"/>
      <w:r>
        <w:rPr>
          <w:rFonts w:ascii="Arial" w:eastAsia="SimHei"/>
          <w:b/>
          <w:bCs/>
          <w:color w:val="2B5A75"/>
          <w:sz w:val="26"/>
          <w:szCs w:val="26"/>
        </w:rPr>
        <w:t xml:space="preserve">5.2.3 校验路径（性能关键）</w:t>
      </w:r>
      <w:bookmarkEnd w:id="100029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Key 到达 → 本地 LRU(≤10万条, hash→策略摘要, TTL 30s)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→ miss: Redis GET key:policy:{sha256}（进程启动时预热全量活跃 Key）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→ 仍 miss: 视为无效（40101），计数告警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→ 吊销事件经 Redis Pub/Sub 广播，本地缓存 1s 内主动失效</w:t>
      </w:r>
    </w:p>
    <w:p>
      <w:pPr>
        <w:pStyle w:val="Heading2"/>
        <w:spacing w:after="180" w:before="320" w:line="312"/>
        <w:jc w:val="left"/>
      </w:pPr>
      <w:bookmarkStart w:id="100030" w:name="_Toc100030"/>
      <w:r>
        <w:rPr>
          <w:rFonts w:ascii="Arial" w:eastAsia="SimHei"/>
          <w:b/>
          <w:bCs/>
          <w:color w:val="1B4A66"/>
          <w:sz w:val="30"/>
          <w:szCs w:val="30"/>
        </w:rPr>
        <w:t xml:space="preserve">5.3 限流与配额（四层）</w:t>
      </w:r>
      <w:bookmarkEnd w:id="100030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10：四层限流与配额体系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pct" w:w="41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算法</w:t>
            </w:r>
          </w:p>
        </w:tc>
        <w:tc>
          <w:tcPr>
            <w:tcW w:type="pct" w:w="2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L1 并发（Concurrent）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保护网关与上游长连接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本地 inflight gauge + Redis SETNX 计数（1s 心跳衰减）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Redis 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INCR/DECR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 + 本地</w:t>
            </w:r>
          </w:p>
        </w:tc>
      </w:tr>
      <w:tr>
        <w:trPr>
          <w:cantSplit/>
        </w:trPr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L2 RPM</w:t>
            </w:r>
          </w:p>
        </w:tc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稳态速率</w:t>
            </w:r>
          </w:p>
        </w:tc>
        <w:tc>
          <w:tcPr>
            <w:tcW w:type="pct" w:w="4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滑动窗口（Redis ZSET，1 分钟粒度，原子 Lua）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L3 TPM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成本速率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预扣-校正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（见下）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</w:tr>
      <w:tr>
        <w:trPr>
          <w:cantSplit/>
        </w:trPr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L4 预算（Budget）</w:t>
            </w:r>
          </w:p>
        </w:tc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财务硬顶</w:t>
            </w:r>
          </w:p>
        </w:tc>
        <w:tc>
          <w:tcPr>
            <w:tcW w:type="pct" w:w="4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Redis 日累计余额（金额）+ PG 日终对账</w:t>
            </w:r>
          </w:p>
        </w:tc>
        <w:tc>
          <w:tcPr>
            <w:tcW w:type="pct" w:w="2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Redis + PG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（L5 上游保护）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保护上游账号池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供应商账号级 RPM/并发冷却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Redis（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acc:{provider}:{id}:cool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）</w:t>
            </w:r>
          </w:p>
        </w:tc>
      </w:tr>
    </w:tbl>
    <w:p>
      <w:pPr>
        <w:spacing w:after="120" w:line="312"/>
      </w:pPr>
    </w:p>
    <w:p>
      <w:pPr>
        <w:pStyle w:val="Heading3"/>
        <w:spacing w:after="140" w:before="260" w:line="312"/>
        <w:jc w:val="left"/>
      </w:pPr>
      <w:bookmarkStart w:id="100031" w:name="_Toc100031"/>
      <w:r>
        <w:rPr>
          <w:rFonts w:ascii="Arial" w:eastAsia="SimHei"/>
          <w:b/>
          <w:bCs/>
          <w:color w:val="2B5A75"/>
          <w:sz w:val="26"/>
          <w:szCs w:val="26"/>
        </w:rPr>
        <w:t xml:space="preserve">TPM 预扣-校正算法（核心创新点，解决后置统计滞后）</w:t>
      </w:r>
      <w:bookmarkEnd w:id="100031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预估 tokens_est = tokenize(messages, tools) + max_tokens 上限截断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预扣:  INCRBY rl:tpm:{key}:{window} tokens_est   （Lua 原子，若超限→拒绝 42903）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响应后: 实际 usage = prompt_tokens + completion_tokens（provider 返回）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校正:  INCRBY rl:tpm:{key}:{window} (usage - tokens_est)   （负值即回退额度）</w:t>
      </w: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窗口对齐固定 60s（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window = floor(now/60)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），跨窗口自然重置；预算同理（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budget:{key}:{yyyymm}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金额预扣/校正）。校正动作在旁路异步执行，失败进本地 WAL 重试，保证最终一致。</w:t>
      </w:r>
    </w:p>
    <w:p>
      <w:pPr>
        <w:pStyle w:val="Heading3"/>
        <w:spacing w:after="140" w:before="260" w:line="312"/>
        <w:jc w:val="left"/>
      </w:pPr>
      <w:bookmarkStart w:id="100032" w:name="_Toc100032"/>
      <w:r>
        <w:rPr>
          <w:rFonts w:ascii="Arial" w:eastAsia="SimHei"/>
          <w:b/>
          <w:bCs/>
          <w:color w:val="2B5A75"/>
          <w:sz w:val="26"/>
          <w:szCs w:val="26"/>
        </w:rPr>
        <w:t xml:space="preserve">Lua 脚本（RPM+TPM+预算三合一原子校验）</w:t>
      </w:r>
      <w:bookmarkEnd w:id="100032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-- KEYS: rpm:{key}:{win}  tpm:{key}:{win}  budget:{key}:{day}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-- ARGV: rpm_limit, tpm_limit, est_tokens, day, cost_est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local rpm = redis.call('GET', KEYS[1]) or 0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if tonumber(rpm) &gt;= tonumber(ARGV[1]) then return {0, 'RPM'} end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local tpm = redis.call('GET', KEYS[2]) or 0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if tonumber(tpm) + tonumber(ARGV[3]) &gt; tonumber(ARGV[2]) then return {0, 'TPM'} end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local budget = redis.call('GET', KEYS[3]) or 0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-- budget 为已花费金额(USD*1e6 整数避免浮点)，cost_est 为预扣金额*1e6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if tonumber(budget) + tonumber(ARGV[5]) &gt; tonumber(ARGV[4]) then return {0, 'BUDGET'} end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redis.call('INCRBY', KEYS[2], ARGV[3])                     -- TPM 预扣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redis.call('INCRBYFLOAT', KEYS[3], ARGV[5] / 1e6)          -- 预算预扣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redis.call('INCR', KEYS[1])                                -- RPM 计数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redis.call('EXPIRE', KEYS[1], 90); redis.call('EXPIRE', KEYS[2], 120)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redis.call('EXPIRE', KEYS[3], 172800)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return {1, ''}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Redis 故障降级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：连接池熔断后切本地令牌桶（容量=限额/副本数×2，即整体放宽约 2 倍），只限 RPM/并发、放弃 TPM/预算精度，同时打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lgw_ratelimit_degraded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告警——</w:t>
      </w:r>
      <w:r>
        <w:rPr>
          <w:rFonts w:ascii="Times New Roman" w:eastAsia="SimSun"/>
          <w:b/>
          <w:bCs/>
          <w:sz w:val="24"/>
          <w:szCs w:val="24"/>
        </w:rPr>
        <w:t xml:space="preserve">限流可松不可死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，预算事后由账本对账补扣。</w:t>
      </w:r>
    </w:p>
    <w:p>
      <w:pPr>
        <w:pStyle w:val="Heading2"/>
        <w:spacing w:after="180" w:before="320" w:line="312"/>
        <w:jc w:val="left"/>
      </w:pPr>
      <w:bookmarkStart w:id="100033" w:name="_Toc100033"/>
      <w:r>
        <w:rPr>
          <w:rFonts w:ascii="Arial" w:eastAsia="SimHei"/>
          <w:b/>
          <w:bCs/>
          <w:color w:val="1B4A66"/>
          <w:sz w:val="30"/>
          <w:szCs w:val="30"/>
        </w:rPr>
        <w:t xml:space="preserve">5.4 模型路由</w:t>
      </w:r>
      <w:bookmarkEnd w:id="100033"/>
    </w:p>
    <w:p>
      <w:pPr>
        <w:pStyle w:val="Heading3"/>
        <w:spacing w:after="140" w:before="260" w:line="312"/>
        <w:jc w:val="left"/>
      </w:pPr>
      <w:bookmarkStart w:id="100034" w:name="_Toc100034"/>
      <w:r>
        <w:rPr>
          <w:rFonts w:ascii="Arial" w:eastAsia="SimHei"/>
          <w:b/>
          <w:bCs/>
          <w:color w:val="2B5A75"/>
          <w:sz w:val="26"/>
          <w:szCs w:val="26"/>
        </w:rPr>
        <w:t xml:space="preserve">5.4.1 数据模型</w:t>
      </w:r>
      <w:bookmarkEnd w:id="100034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逻辑模型(LogicalModel) "gpt-4o-class"        ← 业务请求里的 model 名（别名）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└─ Route（路由策略：strategy=weighted|priority|cost|latency|geo）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├─ Target: azure-openai/gpt-4o        weight 60  priority 1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├─ Target: openai/gpt-4o-2024-11-20   weight 20  priority 1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└─ Target: bedrock/claude-sonnet       weight 20  priority 2（fallback）</w:t>
      </w:r>
    </w:p>
    <w:p>
      <w:pPr>
        <w:pStyle w:val="Heading3"/>
        <w:spacing w:after="140" w:before="260" w:line="312"/>
        <w:jc w:val="left"/>
      </w:pPr>
      <w:bookmarkStart w:id="100035" w:name="_Toc100035"/>
      <w:r>
        <w:rPr>
          <w:rFonts w:ascii="Arial" w:eastAsia="SimHei"/>
          <w:b/>
          <w:bCs/>
          <w:color w:val="2B5A75"/>
          <w:sz w:val="26"/>
          <w:szCs w:val="26"/>
        </w:rPr>
        <w:t xml:space="preserve">5.4.2 路由策略</w:t>
      </w:r>
      <w:bookmarkEnd w:id="100035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11：路由策略与适用场景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pct" w:w="6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pct" w:w="1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weighted（默认）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同 priority 内按权重轮询（平滑加权）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多供应商分摊</w:t>
            </w:r>
          </w:p>
        </w:tc>
      </w:tr>
      <w:tr>
        <w:trPr>
          <w:cantSplit/>
        </w:trPr>
        <w:tc>
          <w:tcPr>
            <w:tcW w:type="pct" w:w="2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priority+fallback</w:t>
            </w:r>
          </w:p>
        </w:tc>
        <w:tc>
          <w:tcPr>
            <w:tcW w:type="pct" w:w="6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先打 P1，失败按链降级 P2/P3</w:t>
            </w:r>
          </w:p>
        </w:tc>
        <w:tc>
          <w:tcPr>
            <w:tcW w:type="pct" w:w="1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可用性优先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cost-aware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预算消耗 &gt;80% 时自动切低价 target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成本治理</w:t>
            </w:r>
          </w:p>
        </w:tc>
      </w:tr>
      <w:tr>
        <w:trPr>
          <w:cantSplit/>
        </w:trPr>
        <w:tc>
          <w:tcPr>
            <w:tcW w:type="pct" w:w="2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latency-aware</w:t>
            </w:r>
          </w:p>
        </w:tc>
        <w:tc>
          <w:tcPr>
            <w:tcW w:type="pct" w:w="6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按 target 近 5 分钟 EWMA(TTFB) 软加权（延迟越低权重越高）</w:t>
            </w:r>
          </w:p>
        </w:tc>
        <w:tc>
          <w:tcPr>
            <w:tcW w:type="pct" w:w="1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时延敏感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geo/compliance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按租户数据驻留标签只允许命中合规区域 provider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合规硬约束</w:t>
            </w:r>
          </w:p>
        </w:tc>
      </w:tr>
    </w:tbl>
    <w:p>
      <w:pPr>
        <w:spacing w:after="120" w:line="312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策略可组合（geo 为硬过滤前置，其余为软策略）；</w:t>
      </w:r>
      <w:r>
        <w:rPr>
          <w:rFonts w:ascii="Times New Roman" w:eastAsia="SimSun"/>
          <w:b/>
          <w:bCs/>
          <w:sz w:val="24"/>
          <w:szCs w:val="24"/>
        </w:rPr>
        <w:t xml:space="preserve">每次请求记录实际命中 target，响应头透出 `X-Lgw-Upstream-Model`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。</w:t>
      </w:r>
    </w:p>
    <w:p>
      <w:pPr>
        <w:pStyle w:val="Heading3"/>
        <w:spacing w:after="140" w:before="260" w:line="312"/>
        <w:jc w:val="left"/>
      </w:pPr>
      <w:bookmarkStart w:id="100036" w:name="_Toc100036"/>
      <w:r>
        <w:rPr>
          <w:rFonts w:ascii="Arial" w:eastAsia="SimHei"/>
          <w:b/>
          <w:bCs/>
          <w:color w:val="2B5A75"/>
          <w:sz w:val="26"/>
          <w:szCs w:val="26"/>
        </w:rPr>
        <w:t xml:space="preserve">5.4.3 灰度发布路由</w:t>
      </w:r>
      <w:bookmarkEnd w:id="100036"/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新模型/新供应商上线：按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hash(key_id) % 100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分桶，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canary_buckets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配置 5 → 25 → 50 → 100；灰度桶内对比旧目标的延迟/成本/错误率（日志即对比数据），达标后全量。</w:t>
      </w:r>
    </w:p>
    <w:p>
      <w:pPr>
        <w:pStyle w:val="Heading2"/>
        <w:spacing w:after="180" w:before="320" w:line="312"/>
        <w:jc w:val="left"/>
      </w:pPr>
      <w:bookmarkStart w:id="100037" w:name="_Toc100037"/>
      <w:r>
        <w:rPr>
          <w:rFonts w:ascii="Arial" w:eastAsia="SimHei"/>
          <w:b/>
          <w:bCs/>
          <w:color w:val="1B4A66"/>
          <w:sz w:val="30"/>
          <w:szCs w:val="30"/>
        </w:rPr>
        <w:t xml:space="preserve">5.5 重试、超时、熔断与降级</w:t>
      </w:r>
      <w:bookmarkEnd w:id="100037"/>
    </w:p>
    <w:p>
      <w:pPr>
        <w:pStyle w:val="Heading3"/>
        <w:spacing w:after="140" w:before="260" w:line="312"/>
        <w:jc w:val="left"/>
      </w:pPr>
      <w:bookmarkStart w:id="100038" w:name="_Toc100038"/>
      <w:r>
        <w:rPr>
          <w:rFonts w:ascii="Arial" w:eastAsia="SimHei"/>
          <w:b/>
          <w:bCs/>
          <w:color w:val="2B5A75"/>
          <w:sz w:val="26"/>
          <w:szCs w:val="26"/>
        </w:rPr>
        <w:t xml:space="preserve">5.5.1 错误分类（驱动一切自动容错）</w:t>
      </w:r>
      <w:bookmarkEnd w:id="100038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12：上游错误分类与重试决策矩阵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9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上游错误</w:t>
            </w:r>
          </w:p>
        </w:tc>
        <w:tc>
          <w:tcPr>
            <w:tcW w:type="pct" w:w="11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pct" w:w="1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重试</w:t>
            </w:r>
          </w:p>
        </w:tc>
        <w:tc>
          <w:tcPr>
            <w:tcW w:type="pct" w:w="1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换 Provider</w:t>
            </w:r>
          </w:p>
        </w:tc>
        <w:tc>
          <w:tcPr>
            <w:tcW w:type="pct" w:w="1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换账号</w:t>
            </w:r>
          </w:p>
        </w:tc>
        <w:tc>
          <w:tcPr>
            <w:tcW w:type="pct" w:w="21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透传给业务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rate_limited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✅（尊重 Retry-After）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✅（账号冷却 60s）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重试耗尽后 42903</w:t>
            </w:r>
          </w:p>
        </w:tc>
      </w:tr>
      <w:tr>
        <w:trPr>
          <w:cantSplit/>
        </w:trPr>
        <w:tc>
          <w:tcPr>
            <w:tcW w:type="pct" w:w="1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5xx / 网络错误 / 连接重置</w:t>
            </w:r>
          </w:p>
        </w:tc>
        <w:tc>
          <w:tcPr>
            <w:tcW w:type="pct" w:w="1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upstream_error</w:t>
            </w:r>
          </w:p>
        </w:tc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50303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超时（TTFB 超时）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✅（1 次）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50302</w:t>
            </w:r>
          </w:p>
        </w:tc>
      </w:tr>
      <w:tr>
        <w:trPr>
          <w:cantSplit/>
        </w:trPr>
        <w:tc>
          <w:tcPr>
            <w:tcW w:type="pct" w:w="1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400/404/413/422</w:t>
            </w:r>
          </w:p>
        </w:tc>
        <w:tc>
          <w:tcPr>
            <w:tcW w:type="pct" w:w="1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bad_request</w:t>
            </w:r>
          </w:p>
        </w:tc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❌（同模型重试无意义）</w:t>
            </w:r>
          </w:p>
        </w:tc>
        <w:tc>
          <w:tcPr>
            <w:tcW w:type="pct" w:w="1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原样透传（附 request_id）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401/403（上游密钥）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credential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✅（账号禁用+告警）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50301</w:t>
            </w:r>
          </w:p>
        </w:tc>
      </w:tr>
      <w:tr>
        <w:trPr>
          <w:cantSplit/>
        </w:trPr>
        <w:tc>
          <w:tcPr>
            <w:tcW w:type="pct" w:w="1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内容策略拒绝（policy）</w:t>
            </w:r>
          </w:p>
        </w:tc>
        <w:tc>
          <w:tcPr>
            <w:tcW w:type="pct" w:w="1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content_policy</w:t>
            </w:r>
          </w:p>
        </w:tc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透传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流式已发首字节后中断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stream_broken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50304（</w:t>
            </w: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不可恢复，见下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）</w:t>
            </w:r>
          </w:p>
        </w:tc>
      </w:tr>
    </w:tbl>
    <w:p>
      <w:pPr>
        <w:spacing w:after="120" w:line="312"/>
      </w:pP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流式重试约束（关键设计）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：仅当</w:t>
      </w:r>
      <w:r>
        <w:rPr>
          <w:rFonts w:ascii="Times New Roman" w:eastAsia="SimSun"/>
          <w:b/>
          <w:bCs/>
          <w:sz w:val="24"/>
          <w:szCs w:val="24"/>
        </w:rPr>
        <w:t xml:space="preserve">尚未向客户端发出任何字节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时可整体重试（此时对业务无感知）；一旦首字节已发出，重试会造成内容重复/错乱，只能向客户端发送 SSE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error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事件并断流（错误码 50304）。重试循环在 TTFB 之前完成，代价可控。</w:t>
      </w:r>
    </w:p>
    <w:p>
      <w:pPr>
        <w:pStyle w:val="Heading3"/>
        <w:spacing w:after="140" w:before="260" w:line="312"/>
        <w:jc w:val="left"/>
      </w:pPr>
      <w:bookmarkStart w:id="100039" w:name="_Toc100039"/>
      <w:r>
        <w:rPr>
          <w:rFonts w:ascii="Arial" w:eastAsia="SimHei"/>
          <w:b/>
          <w:bCs/>
          <w:color w:val="2B5A75"/>
          <w:sz w:val="26"/>
          <w:szCs w:val="26"/>
        </w:rPr>
        <w:t xml:space="preserve">5.5.2 重试参数</w:t>
      </w:r>
      <w:bookmarkEnd w:id="100039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最多 2 次重试（共 3 次尝试）；指数退避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200ms, 800ms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+ 全抖动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[0, 400ms)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；429 场景优先尊重上游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Retry-After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（上限 5s，超过则直接降级换 target）。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每次重试重新走熔断检查与账号选择；重试计数体现在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X-Lgw-Retry-Count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与日志。</w:t>
      </w:r>
    </w:p>
    <w:p>
      <w:pPr>
        <w:pStyle w:val="Heading3"/>
        <w:spacing w:after="140" w:before="260" w:line="312"/>
        <w:jc w:val="left"/>
      </w:pPr>
      <w:bookmarkStart w:id="100040" w:name="_Toc100040"/>
      <w:r>
        <w:rPr>
          <w:rFonts w:ascii="Arial" w:eastAsia="SimHei"/>
          <w:b/>
          <w:bCs/>
          <w:color w:val="2B5A75"/>
          <w:sz w:val="26"/>
          <w:szCs w:val="26"/>
        </w:rPr>
        <w:t xml:space="preserve">5.5.3 超时矩阵（按路由可配，默认值）</w:t>
      </w:r>
      <w:bookmarkEnd w:id="100040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13：超时参数矩阵（默认值，可按模型覆盖）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2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pct" w:w="5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连接上游</w:t>
            </w:r>
          </w:p>
        </w:tc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3s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含 DNS/TCP</w:t>
            </w:r>
          </w:p>
        </w:tc>
      </w:tr>
      <w:tr>
        <w:trPr>
          <w:cantSplit/>
        </w:trPr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TLS 握手</w:t>
            </w:r>
          </w:p>
        </w:tc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3s</w:t>
            </w:r>
          </w:p>
        </w:tc>
        <w:tc>
          <w:tcPr>
            <w:tcW w:type="pct" w:w="5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连接池预热规避冷握手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TTFB</w:t>
            </w:r>
          </w:p>
        </w:tc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30s（推理类 60s）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供应商排队不可控，防挂死</w:t>
            </w:r>
          </w:p>
        </w:tc>
      </w:tr>
      <w:tr>
        <w:trPr>
          <w:cantSplit/>
        </w:trPr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流式 chunk 间空闲</w:t>
            </w:r>
          </w:p>
        </w:tc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pct" w:w="5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读超时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请求总时长</w:t>
            </w:r>
          </w:p>
        </w:tc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300s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硬顶（防无限生成）</w:t>
            </w:r>
          </w:p>
        </w:tc>
      </w:tr>
      <w:tr>
        <w:trPr>
          <w:cantSplit/>
        </w:trPr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客户端断开</w:t>
            </w:r>
          </w:p>
        </w:tc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立即 cancel 上游</w:t>
            </w:r>
          </w:p>
        </w:tc>
        <w:tc>
          <w:tcPr>
            <w:tcW w:type="pct" w:w="5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可配 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finish_for_billing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（默认 false）</w:t>
            </w:r>
          </w:p>
        </w:tc>
      </w:tr>
    </w:tbl>
    <w:p>
      <w:pPr>
        <w:spacing w:after="120" w:line="312"/>
      </w:pPr>
    </w:p>
    <w:p>
      <w:pPr>
        <w:pStyle w:val="Heading3"/>
        <w:spacing w:after="140" w:before="260" w:line="312"/>
        <w:jc w:val="left"/>
      </w:pPr>
      <w:bookmarkStart w:id="100041" w:name="_Toc100041"/>
      <w:r>
        <w:rPr>
          <w:rFonts w:ascii="Arial" w:eastAsia="SimHei"/>
          <w:b/>
          <w:bCs/>
          <w:color w:val="2B5A75"/>
          <w:sz w:val="26"/>
          <w:szCs w:val="26"/>
        </w:rPr>
        <w:t xml:space="preserve">5.5.4 熔断器（provider×model 维度）</w:t>
      </w:r>
      <w:bookmarkEnd w:id="100041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滑动窗口 60s、样本 ≥ 20 且错误率 ≥ 50%（或连续超时 10 次）→ </w:t>
      </w:r>
      <w:r>
        <w:rPr>
          <w:rFonts w:ascii="Times New Roman" w:eastAsia="SimSun"/>
          <w:b/>
          <w:bCs/>
          <w:sz w:val="24"/>
          <w:szCs w:val="24"/>
        </w:rPr>
        <w:t xml:space="preserve">open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30s → </w:t>
      </w:r>
      <w:r>
        <w:rPr>
          <w:rFonts w:ascii="Times New Roman" w:eastAsia="SimSun"/>
          <w:b/>
          <w:bCs/>
          <w:sz w:val="24"/>
          <w:szCs w:val="24"/>
        </w:rPr>
        <w:t xml:space="preserve">half-open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放行 2 个探测请求 → 全成功转 </w:t>
      </w:r>
      <w:r>
        <w:rPr>
          <w:rFonts w:ascii="Times New Roman" w:eastAsia="SimSun"/>
          <w:b/>
          <w:bCs/>
          <w:sz w:val="24"/>
          <w:szCs w:val="24"/>
        </w:rPr>
        <w:t xml:space="preserve">closed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状态存 Redis（全副本共享），半开令牌用 Lua 抢占防止探测风暴。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全 target 熔断时：返回 50301 并触发告警；若租户配置了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degraded_model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（本地 vLLM 小模型），非关键流量（日志标记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degradable=true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的 Key）自动降级承接。</w:t>
      </w:r>
    </w:p>
    <w:p>
      <w:pPr>
        <w:pStyle w:val="Heading2"/>
        <w:spacing w:after="180" w:before="320" w:line="312"/>
        <w:jc w:val="left"/>
      </w:pPr>
      <w:bookmarkStart w:id="100042" w:name="_Toc100042"/>
      <w:r>
        <w:rPr>
          <w:rFonts w:ascii="Arial" w:eastAsia="SimHei"/>
          <w:b/>
          <w:bCs/>
          <w:color w:val="1B4A66"/>
          <w:sz w:val="30"/>
          <w:szCs w:val="30"/>
        </w:rPr>
        <w:t xml:space="preserve">5.6 流式（SSE）处理</w:t>
      </w:r>
      <w:bookmarkEnd w:id="100042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零缓冲中继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http.Flusher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逐 chunk 刷出，不拼接全文；chunk 转发开销 P99 &lt; 1ms。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usage 提取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：OpenAI 流式开启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stream_options.include_usage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（网关注入，对业务透明）；Anthropic 取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message_delta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的 usage；均缺失时流结束后本地 tokenizer 估算并标记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usage_estimated=true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心跳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：上游静默超 20s 注释帧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: keep-alive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（SSE 合法注释，不影响客户端解析），防中间层空闲断连。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断连语义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：客户端断开 → context 取消 → 上游请求 cancel（连接归还池）；上游断流 → 见 5.5.1 stream_broken 处理。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兼容性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Content-Type: text/event-stream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、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X-Accel-Buffering: no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、禁用中间代理 gzip（防 chunk 粘连）；e2e 测试矩阵覆盖 OpenAI/Anthropic/Vercel AI SDK/OpenAI Python SDK 四类客户端的 SSE 解析。</w:t>
      </w:r>
    </w:p>
    <w:p>
      <w:pPr>
        <w:pStyle w:val="Heading2"/>
        <w:spacing w:after="180" w:before="320" w:line="312"/>
        <w:jc w:val="left"/>
      </w:pPr>
      <w:bookmarkStart w:id="100043" w:name="_Toc100043"/>
      <w:r>
        <w:rPr>
          <w:rFonts w:ascii="Arial" w:eastAsia="SimHei"/>
          <w:b/>
          <w:bCs/>
          <w:color w:val="1B4A66"/>
          <w:sz w:val="30"/>
          <w:szCs w:val="30"/>
        </w:rPr>
        <w:t xml:space="preserve">5.7 Token 计量与成本核算</w:t>
      </w:r>
      <w:bookmarkEnd w:id="100043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usage = provider 返回（优先，精确）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↑ 缺失 → 本地 tiktoken/各家 tokenizer 估算（±5%，标记 estimated）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cost = prompt_tokens × price.input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+ completion_tokens × price.output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+ cache_read_tokens × price.cache_read        （OpenAI/Anthropic 缓存计价不同，价格表分列）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+ cache_creation_tokens × price.cache_write   （Anthropic 5m/1h 双档）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+ reasoning_tokens × price.output             （o 系列/DeepSeek-R1 思维链按输出价）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金额单位：内部统一微美元(µUSD)整数存储，避免浮点误差；对外展示换算。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价格表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price_rates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按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(provider, model, 生效时间)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版本化；价格变更走 Admin 审批流 + 自动校验（新价与旧价偏差 &gt;30% 需人工确认）；每周运营核对官方价格页。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账本（spend_ledger）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：Redis 实时余额（预扣-校正，供预算判断）+ Kafka 异步 → PG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spend_ledger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（append-only，按月分区）+ ClickHouse 明细；日终 worker 汇总 vs 供应商账单（API 拉取用量）对账，偏差 &gt; 3% 告警并冻结价格表变更。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归因维度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：tenant / team / key / 逻辑模型 / 实际 provider / 业务 metadata（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X-Lgw-Metadata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）→ 成本看板任意下钻。</w:t>
      </w:r>
    </w:p>
    <w:p>
      <w:pPr>
        <w:pStyle w:val="Heading2"/>
        <w:spacing w:after="180" w:before="320" w:line="312"/>
        <w:jc w:val="left"/>
      </w:pPr>
      <w:bookmarkStart w:id="100044" w:name="_Toc100044"/>
      <w:r>
        <w:rPr>
          <w:rFonts w:ascii="Arial" w:eastAsia="SimHei"/>
          <w:b/>
          <w:bCs/>
          <w:color w:val="1B4A66"/>
          <w:sz w:val="30"/>
          <w:szCs w:val="30"/>
        </w:rPr>
        <w:t xml:space="preserve">5.8 缓存</w:t>
      </w:r>
      <w:bookmarkEnd w:id="100044"/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L1 精确缓存（默认开，幂等请求命中）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Key：规范化请求体（剥离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stream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/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temperature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等采样字段按策略保留 model+messages+tools，序列化规范化）→ SHA-256。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值：完整响应（非流式）或 SSE chunk 序列（流式，回放按原 chunk 间隔的 80% 加速回放，体验近似）。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TTL：按模型/租户配置（默认 chat 1h、embeddings 24h）；容量：Redis 独立 DB + LRU 淘汰，单值 ≤ 256KB（超出不全缓存，仅缓存前缀策略可配）。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一致性：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X-Lgw-No-Cache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旁路；语义相同但采样参数不同 → 默认视为不同请求。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L2 语义缓存（可选模块，默认关，白名单租户开）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请求 embedding（BGE-M3 或供应商 embedding 接口）→ 向量库（一期 Redis 8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VECTORSET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/pgvector，二期可换 Milvus）→ top1 相似度 ≥ 阈值（默认 0.95）→ 命中返回（响应头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X-Lgw-Cache: SEMANTIC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约束：仅对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cache_scope=semantic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显式声明的路由开启（FAQ/固定话术场景）；阈值与 embedding 模型记录在案可审计；命中数据仍写入日志（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cache=semantic_hit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）供业务复核正确性。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风险控制：生产开启前用真实流量离线回放评估误命中率（相似但语义不同→应 &lt;0.5% 方可开启）。</w:t>
      </w:r>
    </w:p>
    <w:p>
      <w:pPr>
        <w:pStyle w:val="Heading2"/>
        <w:spacing w:after="180" w:before="320" w:line="312"/>
        <w:jc w:val="left"/>
      </w:pPr>
      <w:bookmarkStart w:id="100045" w:name="_Toc100045"/>
      <w:r>
        <w:rPr>
          <w:rFonts w:ascii="Arial" w:eastAsia="SimHei"/>
          <w:b/>
          <w:bCs/>
          <w:color w:val="1B4A66"/>
          <w:sz w:val="30"/>
          <w:szCs w:val="30"/>
        </w:rPr>
        <w:t xml:space="preserve">5.9 内容安全与合规（Guardrails）</w:t>
      </w:r>
      <w:bookmarkEnd w:id="100045"/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执行位置分级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（借鉴 Portkey/TrueFoundry 的 Validate/Mutate/Log 三模式）：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3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检测项</w:t>
            </w:r>
          </w:p>
        </w:tc>
        <w:tc>
          <w:tcPr>
            <w:tcW w:type="pct" w:w="3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模式默认值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Pre（同步，&lt;5ms）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敏感词/黑名单（AC 自动机）、Prompt 注入规则特征（指令词+分隔符模式）、长度/结构校验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纯 Go 规则引擎，规则集热更新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Log（观察一周后按租户切 Block/Mute）</w:t>
            </w:r>
          </w:p>
        </w:tc>
      </w:tr>
      <w:tr>
        <w:trPr>
          <w:cantSplit/>
        </w:trPr>
        <w:tc>
          <w:tcPr>
            <w:tcW w:type="pct" w:w="1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Pre（同步，可配）</w:t>
            </w:r>
          </w:p>
        </w:tc>
        <w:tc>
          <w:tcPr>
            <w:tcW w:type="pct" w:w="3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PII 检测与脱敏（手机号/身份证/银行卡/邮箱，正则+NER 轻模型）</w:t>
            </w:r>
          </w:p>
        </w:tc>
        <w:tc>
          <w:tcPr>
            <w:tcW w:type="pct" w:w="3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Mute 模式：脱敏替换 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{{PHONE_1}}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 后放行</w:t>
            </w:r>
          </w:p>
        </w:tc>
        <w:tc>
          <w:tcPr>
            <w:tcW w:type="pct" w:w="2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Mute（重点租户）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Post（异步旁路）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输出毒性/合规分类、输出 PII、注入回显检测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轻分类模型（本地部署，如小 BERT/LlamaGuard 蒸馏版），异步批处理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Log + 告警（命中即工单）</w:t>
            </w:r>
          </w:p>
        </w:tc>
      </w:tr>
    </w:tbl>
    <w:p>
      <w:pPr>
        <w:spacing w:after="120" w:line="312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策略与规则集按租户配置（Admin），规则变更走快照热更。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响应被 Pre 拦截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时返回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40005 content_policy_violation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（附命中的规则编号，不附原文）。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日志脱敏与采样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：请求/响应明文默认</w:t>
      </w:r>
      <w:r>
        <w:rPr>
          <w:rFonts w:ascii="Times New Roman" w:eastAsia="SimSun"/>
          <w:b/>
          <w:bCs/>
          <w:sz w:val="24"/>
          <w:szCs w:val="24"/>
        </w:rPr>
        <w:t xml:space="preserve">不落盘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；租户开启「内容留痕」后 KMS 信封加密存储、查看走审批 + 双人复核、保留 90 天；其余仅存摘要（长度/哈希/规则命中）。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数据驻留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：租户打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data_region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标签，路由层硬约束（见 5.4.2 geo/compliance）；默认策略「中国大陆租户仅允许境内 provider + 自托管」。</w:t>
      </w:r>
    </w:p>
    <w:p>
      <w:pPr>
        <w:pStyle w:val="Heading2"/>
        <w:spacing w:after="180" w:before="320" w:line="312"/>
        <w:jc w:val="left"/>
      </w:pPr>
      <w:bookmarkStart w:id="100046" w:name="_Toc100046"/>
      <w:r>
        <w:rPr>
          <w:rFonts w:ascii="Arial" w:eastAsia="SimHei"/>
          <w:b/>
          <w:bCs/>
          <w:color w:val="1B4A66"/>
          <w:sz w:val="30"/>
          <w:szCs w:val="30"/>
        </w:rPr>
        <w:t xml:space="preserve">5.10 上游供应商适配与账号池</w:t>
      </w:r>
      <w:bookmarkEnd w:id="100046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一期适配清单（优先级序）：OpenAI、Azure OpenAI、Anthropic（Bedrock 通道）、DeepSeek、通义千问（DashScope 兼容模式）、智谱、Gemini、自托管 vLLM（OpenAI 协议）；二期：Bedrock 原生 SigV4、Ollama、月之暗面、MiniMax、KServe、多模态（图像/语音）。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账号池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：每 provider 支持多账号（多 Org/多 Key），按账号权重轮询；账号 429 → 账号级冷却 60s（Redis）；账号连续鉴权失败 → 自动禁用 + P0 告警。这是应对 OpenAI 单 Org RPM 上限的标准做法（OpenRouter 同思路）。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健康检查：被动（线上请求结果实时反馈熔断器）+ 主动（每 60s 低成本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/models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探活，结果仅作路由参考不作熔断依据）。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出网安全：网关 Pod 走专用 egress NAT（固定出口 IP），上游供应商白名单（防火墙策略），杜绝密钥侧信道外带。</w:t>
      </w:r>
    </w:p>
    <w:p>
      <w:pPr>
        <w:pStyle w:val="Heading1"/>
        <w:spacing w:after="240" w:before="400" w:line="312"/>
        <w:jc w:val="center"/>
      </w:pPr>
      <w:bookmarkStart w:id="100047" w:name="_Toc100047"/>
      <w:r>
        <w:rPr>
          <w:rFonts w:ascii="Arial" w:eastAsia="SimHei"/>
          <w:b/>
          <w:bCs/>
          <w:color w:val="13324A"/>
          <w:sz w:val="32"/>
          <w:szCs w:val="32"/>
        </w:rPr>
        <w:t xml:space="preserve">6. 数据与存储设计</w:t>
      </w:r>
      <w:bookmarkEnd w:id="100047"/>
    </w:p>
    <w:p>
      <w:pPr>
        <w:pStyle w:val="Heading2"/>
        <w:spacing w:after="180" w:before="320" w:line="312"/>
        <w:jc w:val="left"/>
      </w:pPr>
      <w:bookmarkStart w:id="100048" w:name="_Toc100048"/>
      <w:r>
        <w:rPr>
          <w:rFonts w:ascii="Arial" w:eastAsia="SimHei"/>
          <w:b/>
          <w:bCs/>
          <w:color w:val="1B4A66"/>
          <w:sz w:val="30"/>
          <w:szCs w:val="30"/>
        </w:rPr>
        <w:t xml:space="preserve">6.1 PostgreSQL（元数据 + 账本，核心 DDL）</w:t>
      </w:r>
      <w:bookmarkEnd w:id="100048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-- 租户与密钥体系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TABLE tenants (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id            BIGSERIAL PRIMARY KEY,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org_id        BIGINT NOT NULL,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name          TEXT NOT NULL UNIQUE,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data_region   TEXT NOT NULL DEFAULT 'CN',          -- 路由合规硬约束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settings      JSONB NOT NULL DEFAULT '{}',         -- guardrails/缓存/日志留痕策略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created_at    TIMESTAMPTZ NOT NULL DEFAULT now()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);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TABLE api_keys (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id            BIGSERIAL PRIMARY KEY,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tenant_id     BIGINT NOT NULL REFERENCES tenants(id),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team_id       BIGINT,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name          TEXT NOT NULL,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key_hash      CHAR(64) NOT NULL UNIQUE,            -- sha256(pepper||key)，明文永不落库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key_prefix    CHAR(12) NOT NULL,                   -- 展示用前缀 lgw-p7a3k9xx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status        SMALLINT NOT NULL DEFAULT 1,         -- 1 active 2 revoked 3 expired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model_allowlist TEXT[], provider_allowlist TEXT[],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ip_allowlist  CIDR[],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max_concurrency INT, rpm_limit INT, tpm_limit INT,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daily_budget_usd NUMERIC(12,4), monthly_budget_usd NUMERIC(12,4),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budget_hard_stop BOOLEAN NOT NULL DEFAULT true,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expires_at    TIMESTAMPTZ,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rotated_from  BIGINT,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created_at    TIMESTAMPTZ NOT NULL DEFAULT now()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);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-- 模型目录 / 路由 / 供应商账号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TABLE providers (id BIGSERIAL PRIMARY KEY, name TEXT UNIQUE, base_url TEXT,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auth_type TEXT, settings JSONB);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TABLE provider_accounts (id BIGSERIAL PRIMARY KEY, provider_id BIGINT REFERENCES providers(id),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name TEXT, credential_enc BYTEA NOT NULL,            -- KMS 信封加密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weight INT DEFAULT 100, status SMALLINT DEFAULT 1,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rpm_quota INT, concurrency_quota INT);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TABLE logical_models (id BIGSERIAL PRIMARY KEY, name TEXT UNIQUE,     -- gpt-4o-class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modality TEXT DEFAULT 'chat', notes TEXT);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TABLE routes (id BIGSERIAL PRIMARY KEY, logical_model TEXT NOT NULL,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strategy TEXT NOT NULL DEFAULT 'weighted',           -- weighted|priority|cost|latency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params JSONB DEFAULT '{}', enabled BOOLEAN DEFAULT true);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TABLE route_targets (id BIGSERIAL PRIMARY KEY, route_id BIGINT REFERENCES routes(id),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provider_id BIGINT, model_name TEXT NOT NULL,        -- 上游物理模型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weight INT DEFAULT 100, priority SMALLINT DEFAULT 1,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canary_buckets SMALLINT[] DEFAULT '{1..100}');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-- 价格与账本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TABLE price_rates (id BIGSERIAL PRIMARY KEY,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provider TEXT NOT NULL, model TEXT NOT NULL,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input_price NUMERIC(12,6), output_price NUMERIC(12,6),      -- USD / 1M tokens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cache_read_price NUMERIC(12,6), cache_write_price NUMERIC(12,6),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effective_from TIMESTAMPTZ NOT NULL,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              approved_by TEXT, created_at TIMESTAMPTZ DEFAULT now());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-- 查询恒取 effective_from &lt;= now() 的最新版本，价格可回溯重放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TABLE spend_ledger (                          -- append-only，按月分区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id            BIGSERIAL,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ts            TIMESTAMPTZ NOT NULL,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request_id    TEXT NOT NULL,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tenant_id     BIGINT NOT NULL, key_id BIGINT NOT NULL, team_id BIGINT,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logical_model TEXT, provider TEXT, upstream_model TEXT,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input_tokens INT, output_tokens INT, cache_read_tokens INT, cache_write_tokens INT,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cost_usd      NUMERIC(14,8) NOT NULL,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usage_source  TEXT,                              -- provider|estimated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PRIMARY KEY (id, ts)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) PARTITION BY RANGE (ts);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-- 审计（管理操作全审计）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TABLE audit_logs (id BIGSERIAL PRIMARY KEY, ts TIMESTAMPTZ DEFAULT now(),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actor TEXT, action TEXT, resource TEXT, before JSONB, after JSONB, request_ip INET);</w:t>
      </w:r>
    </w:p>
    <w:p>
      <w:pPr>
        <w:pStyle w:val="Heading2"/>
        <w:spacing w:after="180" w:before="320" w:line="312"/>
        <w:jc w:val="left"/>
      </w:pPr>
      <w:bookmarkStart w:id="100049" w:name="_Toc100049"/>
      <w:r>
        <w:rPr>
          <w:rFonts w:ascii="Arial" w:eastAsia="SimHei"/>
          <w:b/>
          <w:bCs/>
          <w:color w:val="1B4A66"/>
          <w:sz w:val="30"/>
          <w:szCs w:val="30"/>
        </w:rPr>
        <w:t xml:space="preserve">6.2 Redis Key 设计</w:t>
      </w:r>
      <w:bookmarkEnd w:id="100049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14：Redis Key 设计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pct" w:w="21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1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pct" w:w="1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key:policy:{sha256}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string(json)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永久（吊销广播删）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Key→策略缓存</w:t>
            </w:r>
          </w:p>
        </w:tc>
      </w:tr>
      <w:tr>
        <w:trPr>
          <w:cantSplit/>
        </w:trPr>
        <w:tc>
          <w:tcPr>
            <w:tcW w:type="pct" w:w="4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rl:rpm:{key_id}:{win}</w:t>
            </w:r>
          </w:p>
        </w:tc>
        <w:tc>
          <w:tcPr>
            <w:tcW w:type="pct" w:w="2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string(int)</w:t>
            </w:r>
          </w:p>
        </w:tc>
        <w:tc>
          <w:tcPr>
            <w:tcW w:type="pct" w:w="2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90s</w:t>
            </w:r>
          </w:p>
        </w:tc>
        <w:tc>
          <w:tcPr>
            <w:tcW w:type="pct" w:w="1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RPM 滑窗计数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rl:tpm:{key_id}:{win}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string(int)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TPM 预扣/校正</w:t>
            </w:r>
          </w:p>
        </w:tc>
      </w:tr>
      <w:tr>
        <w:trPr>
          <w:cantSplit/>
        </w:trPr>
        <w:tc>
          <w:tcPr>
            <w:tcW w:type="pct" w:w="4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rl:conc:{key_id}</w:t>
            </w:r>
          </w:p>
        </w:tc>
        <w:tc>
          <w:tcPr>
            <w:tcW w:type="pct" w:w="2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string(int)</w:t>
            </w:r>
          </w:p>
        </w:tc>
        <w:tc>
          <w:tcPr>
            <w:tcW w:type="pct" w:w="2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心跳衰减</w:t>
            </w:r>
          </w:p>
        </w:tc>
        <w:tc>
          <w:tcPr>
            <w:tcW w:type="pct" w:w="1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并发在途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budget:{key_id}:{yyyymmdd}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string(µUSD)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48h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日预算实时余额</w:t>
            </w:r>
          </w:p>
        </w:tc>
      </w:tr>
      <w:tr>
        <w:trPr>
          <w:cantSplit/>
        </w:trPr>
        <w:tc>
          <w:tcPr>
            <w:tcW w:type="pct" w:w="4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cb:{provider}:{model}</w:t>
            </w:r>
          </w:p>
        </w:tc>
        <w:tc>
          <w:tcPr>
            <w:tcW w:type="pct" w:w="2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pct" w:w="2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  <w:tc>
          <w:tcPr>
            <w:tcW w:type="pct" w:w="1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熔断状态共享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acc:cool:{provider}:{account_id}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账号冷却</w:t>
            </w:r>
          </w:p>
        </w:tc>
      </w:tr>
      <w:tr>
        <w:trPr>
          <w:cantSplit/>
        </w:trPr>
        <w:tc>
          <w:tcPr>
            <w:tcW w:type="pct" w:w="4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cfg:version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cfg:snapshot:{v}</w:t>
            </w:r>
          </w:p>
        </w:tc>
        <w:tc>
          <w:tcPr>
            <w:tcW w:type="pct" w:w="2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pct" w:w="2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保留 5 版</w:t>
            </w:r>
          </w:p>
        </w:tc>
        <w:tc>
          <w:tcPr>
            <w:tcW w:type="pct" w:w="1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配置快照热更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cache:exact:{sha256}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string(sse 序列化)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按租户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L1 精确缓存</w:t>
            </w:r>
          </w:p>
        </w:tc>
      </w:tr>
    </w:tbl>
    <w:p>
      <w:pPr>
        <w:spacing w:after="120" w:line="312"/>
      </w:pPr>
    </w:p>
    <w:p>
      <w:pPr>
        <w:pStyle w:val="Heading2"/>
        <w:spacing w:after="180" w:before="320" w:line="312"/>
        <w:jc w:val="left"/>
      </w:pPr>
      <w:bookmarkStart w:id="100050" w:name="_Toc100050"/>
      <w:r>
        <w:rPr>
          <w:rFonts w:ascii="Arial" w:eastAsia="SimHei"/>
          <w:b/>
          <w:bCs/>
          <w:color w:val="1B4A66"/>
          <w:sz w:val="30"/>
          <w:szCs w:val="30"/>
        </w:rPr>
        <w:t xml:space="preserve">6.3 ClickHouse（请求明细，核心 DDL）</w:t>
      </w:r>
      <w:bookmarkEnd w:id="100050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TABLE request_logs (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ts            DateTime64(3) CODEC(Delta, ZSTD),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request_id    String,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tenant_id     UInt32, key_id UInt32, team_id UInt32,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endpoint      LowCardinality(String),            -- chat/embeddings/messages...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logical_model LowCardinality(String),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provider      LowCardinality(String), upstream_model LowCardinality(String),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status        UInt16, gateway_error_code UInt32,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upstream_error_class LowCardinality(String),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stream        UInt8, cache_hit LowCardinality(UInt8),  -- 0 miss 1 exact 2 semantic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retry_count   UInt8,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ttfb_ms       UInt32, total_ms UInt32,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upstream_ms   UInt32, gateway_overhead_ms UInt32,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input_tokens  UInt32, output_tokens UInt32,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cache_read_tokens UInt32, cost_usd_us UInt64,     -- µUSD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guardrail_hits Array(String),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request_meta  Map(LowCardinality(String), String) -- X-Lgw-Metadata 归因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) ENGINE = MergeTree PARTITION BY toYYYYMM(ts)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ORDER BY (tenant_id, ts) TTL ts + INTERVAL 90 DAY;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-- 日汇总物化视图（成本看板直查）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CREATE MATERIALIZED VIEW daily_spend AS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SELECT toDate(ts) d, tenant_id, logical_model, provider,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sum(cost_usd_us)/1e6 cost_usd, sum(input_tokens), sum(output_tokens),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count() reqs, countIf(cache_hit&gt;0) cache_hits,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quantile(0.95)(ttfb_ms) p95_ttfb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FROM request_logs GROUP BY d, tenant_id, logical_model, provider;</w:t>
      </w:r>
    </w:p>
    <w:p>
      <w:pPr>
        <w:pStyle w:val="Heading2"/>
        <w:spacing w:after="180" w:before="320" w:line="312"/>
        <w:jc w:val="left"/>
      </w:pPr>
      <w:bookmarkStart w:id="100051" w:name="_Toc100051"/>
      <w:r>
        <w:rPr>
          <w:rFonts w:ascii="Arial" w:eastAsia="SimHei"/>
          <w:b/>
          <w:bCs/>
          <w:color w:val="1B4A66"/>
          <w:sz w:val="30"/>
          <w:szCs w:val="30"/>
        </w:rPr>
        <w:t xml:space="preserve">6.4 日志数据流</w:t>
      </w:r>
      <w:bookmarkEnd w:id="100051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网关进程内存批量缓冲(≤1000条/50ms) → Kafka(lgw.request_log, 12分区, LZ4)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→ lgw-worker 消费批量(500条/批) → ClickHouse(明细) + PG(账本,仅计费字段)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Kafka 故障: 进程本地 WAL(磁盘,容量2h) 兜底,恢复后补投,丢弃计数告警</w:t>
      </w:r>
    </w:p>
    <w:p>
      <w:pPr>
        <w:pStyle w:val="Heading2"/>
        <w:spacing w:after="180" w:before="320" w:line="312"/>
        <w:jc w:val="left"/>
      </w:pPr>
      <w:bookmarkStart w:id="100052" w:name="_Toc100052"/>
      <w:r>
        <w:rPr>
          <w:rFonts w:ascii="Arial" w:eastAsia="SimHei"/>
          <w:b/>
          <w:bCs/>
          <w:color w:val="1B4A66"/>
          <w:sz w:val="30"/>
          <w:szCs w:val="30"/>
        </w:rPr>
        <w:t xml:space="preserve">6.5 数据保留与归档</w:t>
      </w:r>
      <w:bookmarkEnd w:id="100052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15：数据保留与归档策略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热</w:t>
            </w:r>
          </w:p>
        </w:tc>
        <w:tc>
          <w:tcPr>
            <w:tcW w:type="pct" w:w="3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冷/归档</w:t>
            </w:r>
          </w:p>
        </w:tc>
        <w:tc>
          <w:tcPr>
            <w:tcW w:type="pct" w:w="2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销毁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ClickHouse 明细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90 天（SSD）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90–360 天（对象存储分层）</w:t>
            </w:r>
          </w:p>
        </w:tc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360 天后 TTL 删除</w:t>
            </w:r>
          </w:p>
        </w:tc>
      </w:tr>
      <w:tr>
        <w:trPr>
          <w:cantSplit/>
        </w:trPr>
        <w:tc>
          <w:tcPr>
            <w:tcW w:type="pct" w:w="22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PG spend_ledger</w:t>
            </w:r>
          </w:p>
        </w:tc>
        <w:tc>
          <w:tcPr>
            <w:tcW w:type="pct" w:w="2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12 个月分区在线</w:t>
            </w:r>
          </w:p>
        </w:tc>
        <w:tc>
          <w:tcPr>
            <w:tcW w:type="pct" w:w="3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12 个月后导出 Parquet 归档</w:t>
            </w:r>
          </w:p>
        </w:tc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7 年（财务合规）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内容留痕（加密）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90 天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不归档</w:t>
            </w:r>
          </w:p>
        </w:tc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90 天物理删除</w:t>
            </w:r>
          </w:p>
        </w:tc>
      </w:tr>
      <w:tr>
        <w:trPr>
          <w:cantSplit/>
        </w:trPr>
        <w:tc>
          <w:tcPr>
            <w:tcW w:type="pct" w:w="22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pct" w:w="2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按前述 TTL</w:t>
            </w:r>
          </w:p>
        </w:tc>
      </w:tr>
    </w:tbl>
    <w:p>
      <w:pPr>
        <w:spacing w:after="120" w:line="312"/>
      </w:pPr>
    </w:p>
    <w:p>
      <w:pPr>
        <w:pStyle w:val="Heading1"/>
        <w:spacing w:after="240" w:before="400" w:line="312"/>
        <w:jc w:val="center"/>
      </w:pPr>
      <w:bookmarkStart w:id="100053" w:name="_Toc100053"/>
      <w:r>
        <w:rPr>
          <w:rFonts w:ascii="Arial" w:eastAsia="SimHei"/>
          <w:b/>
          <w:bCs/>
          <w:color w:val="13324A"/>
          <w:sz w:val="32"/>
          <w:szCs w:val="32"/>
        </w:rPr>
        <w:t xml:space="preserve">7. 可观测性设计</w:t>
      </w:r>
      <w:bookmarkEnd w:id="100053"/>
    </w:p>
    <w:p>
      <w:pPr>
        <w:pStyle w:val="Heading2"/>
        <w:spacing w:after="180" w:before="320" w:line="312"/>
        <w:jc w:val="left"/>
      </w:pPr>
      <w:bookmarkStart w:id="100054" w:name="_Toc100054"/>
      <w:r>
        <w:rPr>
          <w:rFonts w:ascii="Arial" w:eastAsia="SimHei"/>
          <w:b/>
          <w:bCs/>
          <w:color w:val="1B4A66"/>
          <w:sz w:val="30"/>
          <w:szCs w:val="30"/>
        </w:rPr>
        <w:t xml:space="preserve">7.1 指标（Prometheus 命名）</w:t>
      </w:r>
      <w:bookmarkEnd w:id="100054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16：核心指标清单（Prometheus）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41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lgw_requests_total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counter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tenant,endpoint,logical_model,provider,status,cache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流量/成功率</w:t>
            </w:r>
          </w:p>
        </w:tc>
      </w:tr>
      <w:tr>
        <w:trPr>
          <w:cantSplit/>
        </w:trPr>
        <w:tc>
          <w:tcPr>
            <w:tcW w:type="pct" w:w="2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lgw_request_duration_seconds</w:t>
            </w:r>
          </w:p>
        </w:tc>
        <w:tc>
          <w:tcPr>
            <w:tcW w:type="pct" w:w="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histogram</w:t>
            </w:r>
          </w:p>
        </w:tc>
        <w:tc>
          <w:tcPr>
            <w:tcW w:type="pct" w:w="4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provider,logical_model,stream</w:t>
            </w:r>
          </w:p>
        </w:tc>
        <w:tc>
          <w:tcPr>
            <w:tcW w:type="pct" w:w="2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总延迟（含上游）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lgw_ttfb_seconds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histogram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provider,logical_model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核心体验指标</w:t>
            </w:r>
          </w:p>
        </w:tc>
      </w:tr>
      <w:tr>
        <w:trPr>
          <w:cantSplit/>
        </w:trPr>
        <w:tc>
          <w:tcPr>
            <w:tcW w:type="pct" w:w="2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lgw_gateway_overhead_seconds</w:t>
            </w:r>
          </w:p>
        </w:tc>
        <w:tc>
          <w:tcPr>
            <w:tcW w:type="pct" w:w="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histogram</w:t>
            </w:r>
          </w:p>
        </w:tc>
        <w:tc>
          <w:tcPr>
            <w:tcW w:type="pct" w:w="4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2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网关自身开销（总时长−上游）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lgw_tokens_total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counter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direction(in/out),provider,model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token 吞吐</w:t>
            </w:r>
          </w:p>
        </w:tc>
      </w:tr>
      <w:tr>
        <w:trPr>
          <w:cantSplit/>
        </w:trPr>
        <w:tc>
          <w:tcPr>
            <w:tcW w:type="pct" w:w="2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lgw_cost_usd_total</w:t>
            </w:r>
          </w:p>
        </w:tc>
        <w:tc>
          <w:tcPr>
            <w:tcW w:type="pct" w:w="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counter</w:t>
            </w:r>
          </w:p>
        </w:tc>
        <w:tc>
          <w:tcPr>
            <w:tcW w:type="pct" w:w="4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tenant,provider,logical_model</w:t>
            </w:r>
          </w:p>
        </w:tc>
        <w:tc>
          <w:tcPr>
            <w:tcW w:type="pct" w:w="2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成本速率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lgw_retry_total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counter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provider,error_class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重试压力</w:t>
            </w:r>
          </w:p>
        </w:tc>
      </w:tr>
      <w:tr>
        <w:trPr>
          <w:cantSplit/>
        </w:trPr>
        <w:tc>
          <w:tcPr>
            <w:tcW w:type="pct" w:w="2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lgw_circuit_state</w:t>
            </w:r>
          </w:p>
        </w:tc>
        <w:tc>
          <w:tcPr>
            <w:tcW w:type="pct" w:w="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gauge</w:t>
            </w:r>
          </w:p>
        </w:tc>
        <w:tc>
          <w:tcPr>
            <w:tcW w:type="pct" w:w="4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provider,model</w:t>
            </w:r>
          </w:p>
        </w:tc>
        <w:tc>
          <w:tcPr>
            <w:tcW w:type="pct" w:w="2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熔断可视化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lgw_stream_active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gauge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活跃流数（HPA 依据）</w:t>
            </w:r>
          </w:p>
        </w:tc>
      </w:tr>
      <w:tr>
        <w:trPr>
          <w:cantSplit/>
        </w:trPr>
        <w:tc>
          <w:tcPr>
            <w:tcW w:type="pct" w:w="2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lgw_cache_hits_total</w:t>
            </w:r>
          </w:p>
        </w:tc>
        <w:tc>
          <w:tcPr>
            <w:tcW w:type="pct" w:w="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counter</w:t>
            </w:r>
          </w:p>
        </w:tc>
        <w:tc>
          <w:tcPr>
            <w:tcW w:type="pct" w:w="4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type(exact/semantic),model</w:t>
            </w:r>
          </w:p>
        </w:tc>
        <w:tc>
          <w:tcPr>
            <w:tcW w:type="pct" w:w="2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缓存收益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lgw_ratelimit_rejected_total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counter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layer(rpm/tpm/conc/budget),tenant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限流命中</w:t>
            </w:r>
          </w:p>
        </w:tc>
      </w:tr>
      <w:tr>
        <w:trPr>
          <w:cantSplit/>
        </w:trPr>
        <w:tc>
          <w:tcPr>
            <w:tcW w:type="pct" w:w="2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lgw_guardrail_hits_total</w:t>
            </w:r>
          </w:p>
        </w:tc>
        <w:tc>
          <w:tcPr>
            <w:tcW w:type="pct" w:w="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counter</w:t>
            </w:r>
          </w:p>
        </w:tc>
        <w:tc>
          <w:tcPr>
            <w:tcW w:type="pct" w:w="4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rule,tenant,phase(pre/post)</w:t>
            </w:r>
          </w:p>
        </w:tc>
        <w:tc>
          <w:tcPr>
            <w:tcW w:type="pct" w:w="2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安全态势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lgw_upstream_errors_total</w:t>
            </w:r>
          </w:p>
        </w:tc>
        <w:tc>
          <w:tcPr>
            <w:tcW w:type="pct" w:w="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counter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provider,error_class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供应商健康</w:t>
            </w:r>
          </w:p>
        </w:tc>
      </w:tr>
      <w:tr>
        <w:trPr>
          <w:cantSplit/>
        </w:trPr>
        <w:tc>
          <w:tcPr>
            <w:tcW w:type="pct" w:w="2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lgw_kafka_lag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lgw_wal_pending</w:t>
            </w:r>
          </w:p>
        </w:tc>
        <w:tc>
          <w:tcPr>
            <w:tcW w:type="pct" w:w="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gauge</w:t>
            </w:r>
          </w:p>
        </w:tc>
        <w:tc>
          <w:tcPr>
            <w:tcW w:type="pct" w:w="4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2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观测管道健康</w:t>
            </w:r>
          </w:p>
        </w:tc>
      </w:tr>
    </w:tbl>
    <w:p>
      <w:pPr>
        <w:spacing w:after="120" w:line="312"/>
      </w:pPr>
    </w:p>
    <w:p>
      <w:pPr>
        <w:pStyle w:val="Heading2"/>
        <w:spacing w:after="180" w:before="320" w:line="312"/>
        <w:jc w:val="left"/>
      </w:pPr>
      <w:bookmarkStart w:id="100055" w:name="_Toc100055"/>
      <w:r>
        <w:rPr>
          <w:rFonts w:ascii="Arial" w:eastAsia="SimHei"/>
          <w:b/>
          <w:bCs/>
          <w:color w:val="1B4A66"/>
          <w:sz w:val="30"/>
          <w:szCs w:val="30"/>
        </w:rPr>
        <w:t xml:space="preserve">7.2 日志（JSON 结构化，一行一请求）</w:t>
      </w:r>
      <w:bookmarkEnd w:id="100055"/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字段即 6.3 ClickHouse schema +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request_id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（贯穿）+ 可选脱敏摘要。异常请求（5xx/熔断/重试）100% 落盘，正常流式按 1% 采样全字段 + 100% 落计量字段（明细 CH 中正常请求也是全量一行，采样只针对「内容摘要」类高敏字段）。</w:t>
      </w:r>
    </w:p>
    <w:p>
      <w:pPr>
        <w:pStyle w:val="Heading2"/>
        <w:spacing w:after="180" w:before="320" w:line="312"/>
        <w:jc w:val="left"/>
      </w:pPr>
      <w:bookmarkStart w:id="100056" w:name="_Toc100056"/>
      <w:r>
        <w:rPr>
          <w:rFonts w:ascii="Arial" w:eastAsia="SimHei"/>
          <w:b/>
          <w:bCs/>
          <w:color w:val="1B4A66"/>
          <w:sz w:val="30"/>
          <w:szCs w:val="30"/>
        </w:rPr>
        <w:t xml:space="preserve">7.3 链路追踪（OpenTelemetry）</w:t>
      </w:r>
      <w:bookmarkEnd w:id="100056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网关为 root span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lgw.request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，属性：endpoint、logical_model、provider、retry_count、cache_hit；上游调用子 span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lgw.upstream.call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（含握手/首字节/总时长阶段注释）。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接受并透传业务侧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traceparent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，业务侧可将网关 span 纳入自身 trace 树；trace 与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X-Lgw-Request-Id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双向关联（日志/CH 均存 request_id）。</w:t>
      </w:r>
    </w:p>
    <w:p>
      <w:pPr>
        <w:pStyle w:val="Heading2"/>
        <w:spacing w:after="180" w:before="320" w:line="312"/>
        <w:jc w:val="left"/>
      </w:pPr>
      <w:bookmarkStart w:id="100057" w:name="_Toc100057"/>
      <w:r>
        <w:rPr>
          <w:rFonts w:ascii="Arial" w:eastAsia="SimHei"/>
          <w:b/>
          <w:bCs/>
          <w:color w:val="1B4A66"/>
          <w:sz w:val="30"/>
          <w:szCs w:val="30"/>
        </w:rPr>
        <w:t xml:space="preserve">7.4 大盘与告警</w:t>
      </w:r>
      <w:bookmarkEnd w:id="100057"/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Grafana 四板：①流量与延迟（QPS/P95 TTFB/开销/流式占比）②成本（日/月支出、Top 租户、Top 模型、缓存节省）③供应商健康（错误率、熔断状态、账号池水位、账号冷却频率）④安全（guardrail 命中趋势、限流拒绝、Key 异常）。</w:t>
      </w:r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17：分级告警规则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命警规则</w:t>
            </w:r>
          </w:p>
        </w:tc>
        <w:tc>
          <w:tcPr>
            <w:tcW w:type="pct" w:w="4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阈值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网关 5xx 率（排除上游）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&gt;0.1% 持续 5m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网关可用性错误预算消耗</w:t>
            </w:r>
          </w:p>
        </w:tc>
        <w:tc>
          <w:tcPr>
            <w:tcW w:type="pct" w:w="4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&gt;50%（月）</w:t>
            </w:r>
          </w:p>
        </w:tc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单 provider 错误率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&gt;10% 持续 5m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4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熔断 open 持续</w:t>
            </w:r>
          </w:p>
        </w:tc>
        <w:tc>
          <w:tcPr>
            <w:tcW w:type="pct" w:w="4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&gt;60s</w:t>
            </w:r>
          </w:p>
        </w:tc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P95 TTFB（同比昨日）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+50% 持续 15m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pct" w:w="4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租户预算消耗</w:t>
            </w:r>
          </w:p>
        </w:tc>
        <w:tc>
          <w:tcPr>
            <w:tcW w:type="pct" w:w="4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80%（预警）/ 100%（硬停）</w:t>
            </w:r>
          </w:p>
        </w:tc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P2 / 工单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Kafka 消费延迟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&gt;5min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pct" w:w="4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Redis 降级模式运行中</w:t>
            </w:r>
          </w:p>
        </w:tc>
        <w:tc>
          <w:tcPr>
            <w:tcW w:type="pct" w:w="4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布尔</w:t>
            </w:r>
          </w:p>
        </w:tc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对账偏差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&gt;3%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line="312"/>
      </w:pPr>
    </w:p>
    <w:p>
      <w:pPr>
        <w:pStyle w:val="Heading1"/>
        <w:spacing w:after="240" w:before="400" w:line="312"/>
        <w:jc w:val="center"/>
      </w:pPr>
      <w:bookmarkStart w:id="100058" w:name="_Toc100058"/>
      <w:r>
        <w:rPr>
          <w:rFonts w:ascii="Arial" w:eastAsia="SimHei"/>
          <w:b/>
          <w:bCs/>
          <w:color w:val="13324A"/>
          <w:sz w:val="32"/>
          <w:szCs w:val="32"/>
        </w:rPr>
        <w:t xml:space="preserve">8. 高可用与性能设计</w:t>
      </w:r>
      <w:bookmarkEnd w:id="100058"/>
    </w:p>
    <w:p>
      <w:pPr>
        <w:pStyle w:val="Heading2"/>
        <w:spacing w:after="180" w:before="320" w:line="312"/>
        <w:jc w:val="left"/>
      </w:pPr>
      <w:bookmarkStart w:id="100059" w:name="_Toc100059"/>
      <w:r>
        <w:rPr>
          <w:rFonts w:ascii="Arial" w:eastAsia="SimHei"/>
          <w:b/>
          <w:bCs/>
          <w:color w:val="1B4A66"/>
          <w:sz w:val="30"/>
          <w:szCs w:val="30"/>
        </w:rPr>
        <w:t xml:space="preserve">8.1 部署架构</w:t>
      </w:r>
      <w:bookmarkEnd w:id="100059"/>
    </w:p>
    <w:p>
      <w:pPr>
        <w:keepNext/>
        <w:spacing w:after="60" w:before="200" w:line="312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图 3：双可用区部署拓扑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双可用区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对等部署：K8s 集群（或两个 NodePool 跨 AZ），lgw-gateway ≥ 6 副本（PDB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minAvailable: 50%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，反亲和跨 AZ）；入口经云 SLB → Ingress（NGINX，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proxy_buffering off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保证 SSE）。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控制面 lgw-admin 2 副本（无状态，写 PG）；lgw-worker 2 副本消费组。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基础设施：Redis Cluster 3 分片×2 副本（跨 AZ）、PG 主从 + Patroni（RPO≈0，自动切换 &lt;30s）、Kafka 3 节点（RF=3，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min.insync.replicas=2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）、ClickHouse 2 分片×2 副本。</w:t>
      </w:r>
    </w:p>
    <w:p>
      <w:pPr>
        <w:pStyle w:val="Heading2"/>
        <w:spacing w:after="180" w:before="320" w:line="312"/>
        <w:jc w:val="left"/>
      </w:pPr>
      <w:bookmarkStart w:id="100060" w:name="_Toc100060"/>
      <w:r>
        <w:rPr>
          <w:rFonts w:ascii="Arial" w:eastAsia="SimHei"/>
          <w:b/>
          <w:bCs/>
          <w:color w:val="1B4A66"/>
          <w:sz w:val="30"/>
          <w:szCs w:val="30"/>
        </w:rPr>
        <w:t xml:space="preserve">8.2 故障场景推演</w:t>
      </w:r>
      <w:bookmarkEnd w:id="100060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18：故障场景推演与应对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故障</w:t>
            </w:r>
          </w:p>
        </w:tc>
        <w:tc>
          <w:tcPr>
            <w:tcW w:type="pct" w:w="5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恢复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网关副本挂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SLB 摘除（readyz 探测 5s）；K8s 重建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无感</w:t>
            </w:r>
          </w:p>
        </w:tc>
      </w:tr>
      <w:tr>
        <w:trPr>
          <w:cantSplit/>
        </w:trPr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网关发布</w:t>
            </w:r>
          </w:p>
        </w:tc>
        <w:tc>
          <w:tcPr>
            <w:tcW w:type="pct" w:w="5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preStop：先摘流量（readyz 变 false）→ sleep 10s 排空 → SIGTERM 等待在途流完成（最长 60s，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terminationGracePeriodSeconds: 75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）</w:t>
            </w:r>
          </w:p>
        </w:tc>
        <w:tc>
          <w:tcPr>
            <w:tcW w:type="pct" w:w="2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优雅无损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Redis 失联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限流降级本地令牌桶（放宽容错 2 倍）、精确缓存停用、熔断转本地窗口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恢复后自动回切，期间告警 P0</w:t>
            </w:r>
          </w:p>
        </w:tc>
      </w:tr>
      <w:tr>
        <w:trPr>
          <w:cantSplit/>
        </w:trPr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PG 失联</w:t>
            </w:r>
          </w:p>
        </w:tc>
        <w:tc>
          <w:tcPr>
            <w:tcW w:type="pct" w:w="5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数据面</w:t>
            </w: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不直连 PG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（全部走配置快照）→ 零影响；控制面只读（Admin 拒写）</w:t>
            </w:r>
          </w:p>
        </w:tc>
        <w:tc>
          <w:tcPr>
            <w:tcW w:type="pct" w:w="2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Patroni 切换 &lt;30s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Kafka 失联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日志/计量转本地磁盘 WAL（容量 2h）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恢续补投，丢失计数对账补</w:t>
            </w:r>
          </w:p>
        </w:tc>
      </w:tr>
      <w:tr>
        <w:trPr>
          <w:cantSplit/>
        </w:trPr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单 Provider 故障</w:t>
            </w:r>
          </w:p>
        </w:tc>
        <w:tc>
          <w:tcPr>
            <w:tcW w:type="pct" w:w="5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熔断 + fallback 链自动切换（&lt;30s 生效）；可降级本地模型承接 degradable 流量</w:t>
            </w:r>
          </w:p>
        </w:tc>
        <w:tc>
          <w:tcPr>
            <w:tcW w:type="pct" w:w="2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人工确认后恢复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全 Provider 熔断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返回 50301，P0 告警，控制台一键切备用逻辑模型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应急预案</w:t>
            </w:r>
          </w:p>
        </w:tc>
      </w:tr>
      <w:tr>
        <w:trPr>
          <w:cantSplit/>
        </w:trPr>
        <w:tc>
          <w:tcPr>
            <w:tcW w:type="pct" w:w="1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流量洪峰</w:t>
            </w:r>
          </w:p>
        </w:tc>
        <w:tc>
          <w:tcPr>
            <w:tcW w:type="pct" w:w="5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HPA（活跃流数/CPU）扩容；上游侧 RPM 池排队（可选 token bucket 排队 5s）；超限 429 + Retry-After</w:t>
            </w:r>
          </w:p>
        </w:tc>
        <w:tc>
          <w:tcPr>
            <w:tcW w:type="pct" w:w="2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弹性</w:t>
            </w:r>
          </w:p>
        </w:tc>
      </w:tr>
    </w:tbl>
    <w:p>
      <w:pPr>
        <w:spacing w:after="120" w:line="312"/>
      </w:pPr>
    </w:p>
    <w:p>
      <w:pPr>
        <w:pStyle w:val="Heading2"/>
        <w:spacing w:after="180" w:before="320" w:line="312"/>
        <w:jc w:val="left"/>
      </w:pPr>
      <w:bookmarkStart w:id="100061" w:name="_Toc100061"/>
      <w:r>
        <w:rPr>
          <w:rFonts w:ascii="Arial" w:eastAsia="SimHei"/>
          <w:b/>
          <w:bCs/>
          <w:color w:val="1B4A66"/>
          <w:sz w:val="30"/>
          <w:szCs w:val="30"/>
        </w:rPr>
        <w:t xml:space="preserve">8.3 性能预算（单副本 4C8G，网关自身开销）</w:t>
      </w:r>
      <w:bookmarkEnd w:id="100061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19：性能目标与验证方式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pct" w:w="3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鉴权+限流+路由（主链路）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P99 &lt; 8ms（2×Redis RTT）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压测 mock Redis</w:t>
            </w:r>
          </w:p>
        </w:tc>
      </w:tr>
      <w:tr>
        <w:trPr>
          <w:cantSplit/>
        </w:trPr>
        <w:tc>
          <w:tcPr>
            <w:tcW w:type="pct" w:w="3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非流式端到端附加延迟</w:t>
            </w:r>
          </w:p>
        </w:tc>
        <w:tc>
          <w:tcPr>
            <w:tcW w:type="pct" w:w="3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P99 &lt; 15ms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全链路压测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流式首字节附加延迟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P99 &lt; 10ms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mock provider TTFB=0</w:t>
            </w:r>
          </w:p>
        </w:tc>
      </w:tr>
      <w:tr>
        <w:trPr>
          <w:cantSplit/>
        </w:trPr>
        <w:tc>
          <w:tcPr>
            <w:tcW w:type="pct" w:w="3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每 chunk 中继开销</w:t>
            </w:r>
          </w:p>
        </w:tc>
        <w:tc>
          <w:tcPr>
            <w:tcW w:type="pct" w:w="3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P99 &lt; 1ms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流式压测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并发流式连接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≥ 3,000/副本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长连接压测</w:t>
            </w:r>
          </w:p>
        </w:tc>
      </w:tr>
      <w:tr>
        <w:trPr>
          <w:cantSplit/>
        </w:trPr>
        <w:tc>
          <w:tcPr>
            <w:tcW w:type="pct" w:w="3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非流式 QPS（小请求）</w:t>
            </w:r>
          </w:p>
        </w:tc>
        <w:tc>
          <w:tcPr>
            <w:tcW w:type="pct" w:w="3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≥ 2,000/副本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k6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内存稳态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&lt; 1GB/副本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常态观测</w:t>
            </w:r>
          </w:p>
        </w:tc>
      </w:tr>
    </w:tbl>
    <w:p>
      <w:pPr>
        <w:spacing w:after="120" w:line="312"/>
      </w:pPr>
    </w:p>
    <w:p>
      <w:pPr>
        <w:pStyle w:val="Heading2"/>
        <w:spacing w:after="180" w:before="320" w:line="312"/>
        <w:jc w:val="left"/>
      </w:pPr>
      <w:bookmarkStart w:id="100062" w:name="_Toc100062"/>
      <w:r>
        <w:rPr>
          <w:rFonts w:ascii="Arial" w:eastAsia="SimHei"/>
          <w:b/>
          <w:bCs/>
          <w:color w:val="1B4A66"/>
          <w:sz w:val="30"/>
          <w:szCs w:val="30"/>
        </w:rPr>
        <w:t xml:space="preserve">8.4 容量规划（按日均 2 亿 token、峰值 5,000 QPS 假设）</w:t>
      </w:r>
      <w:bookmarkEnd w:id="100062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20：组件容量规划（按日均 2 亿 token 假设）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39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容量</w:t>
            </w:r>
          </w:p>
        </w:tc>
        <w:tc>
          <w:tcPr>
            <w:tcW w:type="pct" w:w="5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lgw-gateway</w:t>
            </w:r>
          </w:p>
        </w:tc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8 副本（4C8G）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峰值 5k QPS ÷ 0.7 单副本 2k × 安全系数；长流按 3k 并发/副本 × 8 = 2.4 万并发流</w:t>
            </w:r>
          </w:p>
        </w:tc>
      </w:tr>
      <w:tr>
        <w:trPr>
          <w:cantSplit/>
        </w:trPr>
        <w:tc>
          <w:tcPr>
            <w:tcW w:type="pct" w:w="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pct" w:w="3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 分片（8C16G）</w:t>
            </w:r>
          </w:p>
        </w:tc>
        <w:tc>
          <w:tcPr>
            <w:tcW w:type="pct" w:w="52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限流/缓存 ops 峰值 ~2 万 ops/s（含校正旁路），单分片余量 5 倍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Kafka</w:t>
            </w:r>
          </w:p>
        </w:tc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12 分区，峰值 30MB/s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5k QPS × ~600B/行 × 10</w:t>
            </w:r>
          </w:p>
        </w:tc>
      </w:tr>
      <w:tr>
        <w:trPr>
          <w:cantSplit/>
        </w:trPr>
        <w:tc>
          <w:tcPr>
            <w:tcW w:type="pct" w:w="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ClickHouse</w:t>
            </w:r>
          </w:p>
        </w:tc>
        <w:tc>
          <w:tcPr>
            <w:tcW w:type="pct" w:w="3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 分片，日增 ~2 亿行 ≈ 60GB/日（压缩后 ~8GB）</w:t>
            </w:r>
          </w:p>
        </w:tc>
        <w:tc>
          <w:tcPr>
            <w:tcW w:type="pct" w:w="52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90 天热数据 ~1TB（含副本 2TB，SSD）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lgw-worker</w:t>
            </w:r>
          </w:p>
        </w:tc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 副本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消费 3 万行/s/副本能力，余量 10 倍</w:t>
            </w:r>
          </w:p>
        </w:tc>
      </w:tr>
      <w:tr>
        <w:trPr>
          <w:cantSplit/>
        </w:trPr>
        <w:tc>
          <w:tcPr>
            <w:tcW w:type="pct" w:w="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egress 带宽</w:t>
            </w:r>
          </w:p>
        </w:tc>
        <w:tc>
          <w:tcPr>
            <w:tcW w:type="pct" w:w="3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2×1Gbps</w:t>
            </w:r>
          </w:p>
        </w:tc>
        <w:tc>
          <w:tcPr>
            <w:tcW w:type="pct" w:w="52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流式出向峰值 ~400Mbps</w:t>
            </w:r>
          </w:p>
        </w:tc>
      </w:tr>
    </w:tbl>
    <w:p>
      <w:pPr>
        <w:spacing w:after="120" w:line="312"/>
      </w:pPr>
    </w:p>
    <w:p>
      <w:pPr>
        <w:pStyle w:val="Heading2"/>
        <w:spacing w:after="180" w:before="320" w:line="312"/>
        <w:jc w:val="left"/>
      </w:pPr>
      <w:bookmarkStart w:id="100063" w:name="_Toc100063"/>
      <w:r>
        <w:rPr>
          <w:rFonts w:ascii="Arial" w:eastAsia="SimHei"/>
          <w:b/>
          <w:bCs/>
          <w:color w:val="1B4A66"/>
          <w:sz w:val="30"/>
          <w:szCs w:val="30"/>
        </w:rPr>
        <w:t xml:space="preserve">8.5 压测与验证方案</w:t>
      </w:r>
      <w:bookmarkEnd w:id="100063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Mock Provider 矩阵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：可控 TTFB/吞吐/错误率/断流时机/usage 缺失的自建 mock 服务，覆盖 16 类场景（429 抖动、慢握手、半开熔断、流中断等）。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工具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：k6（非流式 QPS）+ 自研长连接流式压测器（验证 chunk 完整性：客户端聚合后 hash 比对）。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混沌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：周期性注入 Redis 断连、Kafka 停写、上游 5xx 洪峰，验证降级行为符合 8.2 表。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SSE 客户端兼容矩阵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：openai-python、Vercel AI SDK、LangChain、curl/Wget 四类客户端回归。</w:t>
      </w:r>
    </w:p>
    <w:p>
      <w:pPr>
        <w:pStyle w:val="Heading1"/>
        <w:spacing w:after="240" w:before="400" w:line="312"/>
        <w:jc w:val="center"/>
      </w:pPr>
      <w:bookmarkStart w:id="100064" w:name="_Toc100064"/>
      <w:r>
        <w:rPr>
          <w:rFonts w:ascii="Arial" w:eastAsia="SimHei"/>
          <w:b/>
          <w:bCs/>
          <w:color w:val="13324A"/>
          <w:sz w:val="32"/>
          <w:szCs w:val="32"/>
        </w:rPr>
        <w:t xml:space="preserve">9. 安全与合规设计</w:t>
      </w:r>
      <w:bookmarkEnd w:id="100064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21：安全与合规设计要点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pct" w:w="8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密钥生命周期</w:t>
            </w:r>
          </w:p>
        </w:tc>
        <w:tc>
          <w:tcPr>
            <w:tcW w:type="pct" w:w="8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CSPRNG 生成 → 一次性分发 → SHA256+KMS pepper 存储 → 双活轮换 → 吊销广播（1s 全副本生效）→ 全操作审计</w:t>
            </w:r>
          </w:p>
        </w:tc>
      </w:tr>
      <w:tr>
        <w:trPr>
          <w:cantSplit/>
        </w:trPr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上游凭证</w:t>
            </w:r>
          </w:p>
        </w:tc>
        <w:tc>
          <w:tcPr>
            <w:tcW w:type="pct" w:w="8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KMS 信封加密存储（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credential_enc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），解密仅发生在数据面内存，禁止日志输出；定期轮换上游 Key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传输</w:t>
            </w:r>
          </w:p>
        </w:tc>
        <w:tc>
          <w:tcPr>
            <w:tcW w:type="pct" w:w="8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全链路 TLS1.3；内部服务间 mTLS（SPIFFE/服务网格可选）；HSTS</w:t>
            </w:r>
          </w:p>
        </w:tc>
      </w:tr>
      <w:tr>
        <w:trPr>
          <w:cantSplit/>
        </w:trPr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pct" w:w="8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数据面与管理面独立 Service/网络策略；出网仅 egress NAT 固定 IP + 供应商域名白名单；上游专线（可选 Azure ExpressRoute/OpenAI 专线）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应用</w:t>
            </w:r>
          </w:p>
        </w:tc>
        <w:tc>
          <w:tcPr>
            <w:tcW w:type="pct" w:w="8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管理面 RBAC（角色：超管/租户管理员/审计员只读）；Admin API 独立 OIDC 鉴权；CSP/输入长度上限（1MB 默认）</w:t>
            </w:r>
          </w:p>
        </w:tc>
      </w:tr>
      <w:tr>
        <w:trPr>
          <w:cantSplit/>
        </w:trPr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数据合规</w:t>
            </w:r>
          </w:p>
        </w:tc>
        <w:tc>
          <w:tcPr>
            <w:tcW w:type="pct" w:w="8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数据驻留路由（5.9）；内容留痕 KMS 加密 + 审批查看；日志脱敏分级；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X-Lgw-Metadata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 禁止包含 PII（文档约束+检测告警）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审计</w:t>
            </w:r>
          </w:p>
        </w:tc>
        <w:tc>
          <w:tcPr>
            <w:tcW w:type="pct" w:w="8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管理操作全量 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audit_logs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；账本 append-only；关键表开启 PG 审计扩展</w:t>
            </w:r>
          </w:p>
        </w:tc>
      </w:tr>
      <w:tr>
        <w:trPr>
          <w:cantSplit/>
        </w:trPr>
        <w:tc>
          <w:tcPr>
            <w:tcW w:type="pct" w:w="1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供应链</w:t>
            </w:r>
          </w:p>
        </w:tc>
        <w:tc>
          <w:tcPr>
            <w:tcW w:type="pct" w:w="8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Go 模块 hash 锁定、镜像签名（cosign）、依赖漏洞扫描（trivy）准入、季度渗透测试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防滥用</w:t>
            </w:r>
          </w:p>
        </w:tc>
        <w:tc>
          <w:tcPr>
            <w:tcW w:type="pct" w:w="8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单 Key 并发/RPM/TPM 硬顶；异常调用模式检测（同 Key 高频超长 prompt → 告警冻结）</w:t>
            </w:r>
          </w:p>
        </w:tc>
      </w:tr>
    </w:tbl>
    <w:p>
      <w:pPr>
        <w:spacing w:after="120" w:line="312"/>
      </w:pPr>
    </w:p>
    <w:p>
      <w:pPr>
        <w:pStyle w:val="Heading1"/>
        <w:spacing w:after="240" w:before="400" w:line="312"/>
        <w:jc w:val="center"/>
      </w:pPr>
      <w:bookmarkStart w:id="100065" w:name="_Toc100065"/>
      <w:r>
        <w:rPr>
          <w:rFonts w:ascii="Arial" w:eastAsia="SimHei"/>
          <w:b/>
          <w:bCs/>
          <w:color w:val="13324A"/>
          <w:sz w:val="32"/>
          <w:szCs w:val="32"/>
        </w:rPr>
        <w:t xml:space="preserve">10. 部署与运维方案</w:t>
      </w:r>
      <w:bookmarkEnd w:id="100065"/>
    </w:p>
    <w:p>
      <w:pPr>
        <w:pStyle w:val="Heading2"/>
        <w:spacing w:after="180" w:before="320" w:line="312"/>
        <w:jc w:val="left"/>
      </w:pPr>
      <w:bookmarkStart w:id="100066" w:name="_Toc100066"/>
      <w:r>
        <w:rPr>
          <w:rFonts w:ascii="Arial" w:eastAsia="SimHei"/>
          <w:b/>
          <w:bCs/>
          <w:color w:val="1B4A66"/>
          <w:sz w:val="30"/>
          <w:szCs w:val="30"/>
        </w:rPr>
        <w:t xml:space="preserve">10.1 K8s 部署要点（lgw-gateway）</w:t>
      </w:r>
      <w:bookmarkEnd w:id="100066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# 关键片段（完整 Helm Chart 见交付仓库）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spec: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replicas: 6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strategy: { rollingUpdate: { maxSurge: 1, maxUnavailable: 0 } }   # 零丢失滚动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template: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spec: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terminationGracePeriodSeconds: 75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topologySpreadConstraints: [{ topologyKey: topology.kubernetes.io/zone, ... }]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containers: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- name: lgw-gateway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readinessProbe: { httpGet: { path: /readyz }, periodSeconds: 5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livenessProbe:  { httpGet: { path: /healthz }, periodSeconds: 10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lifecycle: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  preStop: { exec: { command: ["sh","-c","curl -X POST /drain &amp;&amp; sleep 10"] }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resources: { requests: { cpu: "2", memory: "2Gi" }, limits: { cpu: "4", memory: "8Gi" }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  env: [{ name: LGW_CFG_SNAPSHOT, valueFrom: { configMapKeyRef: ... } }]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---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apiVersion: autoscaling/v2          # HPA 以活跃流数为主要信号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metrics: [{ pods: { metric: { name: lgw_stream_active }, target: { averageValue: "1500" } } }]</w:t>
      </w:r>
    </w:p>
    <w:p>
      <w:pPr>
        <w:pStyle w:val="Heading2"/>
        <w:spacing w:after="180" w:before="320" w:line="312"/>
        <w:jc w:val="left"/>
      </w:pPr>
      <w:bookmarkStart w:id="100067" w:name="_Toc100067"/>
      <w:r>
        <w:rPr>
          <w:rFonts w:ascii="Arial" w:eastAsia="SimHei"/>
          <w:b/>
          <w:bCs/>
          <w:color w:val="1B4A66"/>
          <w:sz w:val="30"/>
          <w:szCs w:val="30"/>
        </w:rPr>
        <w:t xml:space="preserve">10.2 配置管理与热更新</w:t>
      </w:r>
      <w:bookmarkEnd w:id="100067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配置即快照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：控制面将（路由+限流+策略+价格+规则集）编译为不可变 JSON 快照（带版本号与哈希）→ 写 Redis + PG 存档 → Pub/Sub 通知 → 数据面拉取新快照原子替换（原子指针切换，无锁热更）；数据面只依赖快照，</w:t>
      </w:r>
      <w:r>
        <w:rPr>
          <w:rFonts w:ascii="Times New Roman" w:eastAsia="SimSun"/>
          <w:b/>
          <w:bCs/>
          <w:sz w:val="24"/>
          <w:szCs w:val="24"/>
        </w:rPr>
        <w:t xml:space="preserve">不直连 PG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变更走 GitOps + 审批（Admin Console 提交 → 生成快照 → 灰度发布：先 1 副本观察 5 分钟指标 → 全量）；一键回滚=切回上一版本快照。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DB schema 迁移：goose 版本化、兼容迁移（先加后删、双写过渡一版）。</w:t>
      </w:r>
    </w:p>
    <w:p>
      <w:pPr>
        <w:pStyle w:val="Heading2"/>
        <w:spacing w:after="180" w:before="320" w:line="312"/>
        <w:jc w:val="left"/>
      </w:pPr>
      <w:bookmarkStart w:id="100068" w:name="_Toc100068"/>
      <w:r>
        <w:rPr>
          <w:rFonts w:ascii="Arial" w:eastAsia="SimHei"/>
          <w:b/>
          <w:bCs/>
          <w:color w:val="1B4A66"/>
          <w:sz w:val="30"/>
          <w:szCs w:val="30"/>
        </w:rPr>
        <w:t xml:space="preserve">10.3 CI/CD 与发布</w:t>
      </w:r>
      <w:bookmarkEnd w:id="100068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MR → 单测(覆盖率≥80%) → testcontainers 集成测试(PG/Redis/Kafka)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→ mock provider e2e 矩阵(含 SSE 兼容) → 镜像构建+签名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→ staging 全链路(含混沌) → 金丝雀: 1 副本影子流量 → 5% 租户桶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→ 指标门禁(错误率&lt;0.1%、P95 无劣化) 自动全量/回滚</w:t>
      </w:r>
    </w:p>
    <w:p>
      <w:pPr>
        <w:pStyle w:val="Heading2"/>
        <w:spacing w:after="180" w:before="320" w:line="312"/>
        <w:jc w:val="left"/>
      </w:pPr>
      <w:bookmarkStart w:id="100069" w:name="_Toc100069"/>
      <w:r>
        <w:rPr>
          <w:rFonts w:ascii="Arial" w:eastAsia="SimHei"/>
          <w:b/>
          <w:bCs/>
          <w:color w:val="1B4A66"/>
          <w:sz w:val="30"/>
          <w:szCs w:val="30"/>
        </w:rPr>
        <w:t xml:space="preserve">10.4 运维 SOP（摘要）</w:t>
      </w:r>
      <w:bookmarkEnd w:id="100069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新业务接入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：控制台建租户/Key（默认保守限流）→ 文档+SDK 包（OpenAI SDK 改 base_url 即用）→ 观察一周调参。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新供应商接入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：开发 Adapter（单测+协议兼容矩阵）→ 价格表录入审批 → 账号池配置 → 灰度桶 5% 验证 → 常态。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价格更新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：每周核对官方价格页 → 变更 PR（偏差&gt;30% 需双人审批）→ 快照发布；历史价格版本化可重放。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故障分级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：P0（网关不可用/Redis 降级/全上游熔断）15 分钟响应 runbook；P1（单 provider 故障/预算误杀）1 小时。</w:t>
      </w:r>
    </w:p>
    <w:p>
      <w:pPr>
        <w:pStyle w:val="Heading2"/>
        <w:spacing w:after="180" w:before="320" w:line="312"/>
        <w:jc w:val="left"/>
      </w:pPr>
      <w:bookmarkStart w:id="100070" w:name="_Toc100070"/>
      <w:r>
        <w:rPr>
          <w:rFonts w:ascii="Arial" w:eastAsia="SimHei"/>
          <w:b/>
          <w:bCs/>
          <w:color w:val="1B4A66"/>
          <w:sz w:val="30"/>
          <w:szCs w:val="30"/>
        </w:rPr>
        <w:t xml:space="preserve">10.5 SLI/SLO</w:t>
      </w:r>
      <w:bookmarkEnd w:id="100070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22：SLI / SLO 定义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1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SLI</w:t>
            </w:r>
          </w:p>
        </w:tc>
        <w:tc>
          <w:tcPr>
            <w:tcW w:type="pct" w:w="49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SLO</w:t>
            </w:r>
          </w:p>
        </w:tc>
      </w:tr>
      <w:tr>
        <w:trPr>
          <w:cantSplit/>
        </w:trPr>
        <w:tc>
          <w:tcPr>
            <w:tcW w:type="pct" w:w="5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网关可用性（非上游错误）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99.95%（月错误预算 21.9 min）</w:t>
            </w:r>
          </w:p>
        </w:tc>
      </w:tr>
      <w:tr>
        <w:trPr>
          <w:cantSplit/>
        </w:trPr>
        <w:tc>
          <w:tcPr>
            <w:tcW w:type="pct" w:w="5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请求成功率（排除上游 5xx/429）</w:t>
            </w:r>
          </w:p>
        </w:tc>
        <w:tc>
          <w:tcPr>
            <w:tcW w:type="pct" w:w="4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</w:tr>
      <w:tr>
        <w:trPr>
          <w:cantSplit/>
        </w:trPr>
        <w:tc>
          <w:tcPr>
            <w:tcW w:type="pct" w:w="5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主链路开销 P99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&lt; 8ms</w:t>
            </w:r>
          </w:p>
        </w:tc>
      </w:tr>
      <w:tr>
        <w:trPr>
          <w:cantSplit/>
        </w:trPr>
        <w:tc>
          <w:tcPr>
            <w:tcW w:type="pct" w:w="51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流式首字节附加 P99</w:t>
            </w:r>
          </w:p>
        </w:tc>
        <w:tc>
          <w:tcPr>
            <w:tcW w:type="pct" w:w="4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&lt; 10ms</w:t>
            </w:r>
          </w:p>
        </w:tc>
      </w:tr>
      <w:tr>
        <w:trPr>
          <w:cantSplit/>
        </w:trPr>
        <w:tc>
          <w:tcPr>
            <w:tcW w:type="pct" w:w="5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请求级成本归集完整率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≥ 99.99%（WAL 兜底）</w:t>
            </w:r>
          </w:p>
        </w:tc>
      </w:tr>
    </w:tbl>
    <w:p>
      <w:pPr>
        <w:spacing w:after="120" w:line="312"/>
      </w:pPr>
    </w:p>
    <w:p>
      <w:pPr>
        <w:pStyle w:val="Heading1"/>
        <w:spacing w:after="240" w:before="400" w:line="312"/>
        <w:jc w:val="center"/>
      </w:pPr>
      <w:bookmarkStart w:id="100071" w:name="_Toc100071"/>
      <w:r>
        <w:rPr>
          <w:rFonts w:ascii="Arial" w:eastAsia="SimHei"/>
          <w:b/>
          <w:bCs/>
          <w:color w:val="13324A"/>
          <w:sz w:val="32"/>
          <w:szCs w:val="32"/>
        </w:rPr>
        <w:t xml:space="preserve">11. 实施计划与里程碑</w:t>
      </w:r>
      <w:bookmarkEnd w:id="100071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23：实施里程碑计划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pct" w:w="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pct" w:w="4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pct" w:w="3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出口标准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M0 评审通过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T0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本方案评审、团队组建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评审签字</w:t>
            </w:r>
          </w:p>
        </w:tc>
      </w:tr>
      <w:tr>
        <w:trPr>
          <w:cantSplit/>
        </w:trPr>
        <w:tc>
          <w:tcPr>
            <w:tcW w:type="pct" w:w="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M1 MVP</w:t>
            </w:r>
          </w:p>
        </w:tc>
        <w:tc>
          <w:tcPr>
            <w:tcW w:type="pct" w:w="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T0+8 周</w:t>
            </w:r>
          </w:p>
        </w:tc>
        <w:tc>
          <w:tcPr>
            <w:tcW w:type="pct" w:w="4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数据面核心链路（鉴权/限流/路由/重试/流式/计量）、控制面 Admin API + 基础 Console、Top 5 Provider、Redis/PG/Kafka/CH 全套、指标大盘</w:t>
            </w:r>
          </w:p>
        </w:tc>
        <w:tc>
          <w:tcPr>
            <w:tcW w:type="pct" w:w="3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 个试点业务灰度 100%，错误率 &lt;0.1%，对账偏差 &lt;5%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M2 GA</w:t>
            </w:r>
          </w:p>
        </w:tc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T0+14 周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精确缓存、Guardrails（观察→阻断）、成本看板完整版、多 AZ 高可用演练、全 Provider 清单、压测与混沌全通过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可用性 99.95% 达标，全部业务迁移，旧直连通道关闭</w:t>
            </w:r>
          </w:p>
        </w:tc>
      </w:tr>
      <w:tr>
        <w:trPr>
          <w:cantSplit/>
        </w:trPr>
        <w:tc>
          <w:tcPr>
            <w:tcW w:type="pct" w:w="9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M3 演进</w:t>
            </w:r>
          </w:p>
        </w:tc>
        <w:tc>
          <w:tcPr>
            <w:tcW w:type="pct" w:w="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T0+6 月</w:t>
            </w:r>
          </w:p>
        </w:tc>
        <w:tc>
          <w:tcPr>
            <w:tcW w:type="pct" w:w="4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语义缓存（白名单租户）、多模态（图像/语音）、Agent 能力（session/token 上限治理）、多集群联邦与私有 GPU 池深度纳管</w:t>
            </w:r>
          </w:p>
        </w:tc>
        <w:tc>
          <w:tcPr>
            <w:tcW w:type="pct" w:w="38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按季度规划</w:t>
            </w:r>
          </w:p>
        </w:tc>
      </w:tr>
    </w:tbl>
    <w:p>
      <w:pPr>
        <w:spacing w:after="120" w:line="312"/>
      </w:pP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团队配置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：Go 后端 4（数据面 3 + 控制面 1）、前端 1、SRE 1（兼任）、安全/合规 0.5（评审制）、PM 0.5。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sz w:val="24"/>
          <w:szCs w:val="24"/>
        </w:rPr>
        <w:t xml:space="preserve">成本估算（自建，月度）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：8×(4C8G 网关) + 基础设施（Redis 3 分片 + PG + Kafka 3 节点 + CH 4 节点 + 存储 ~2TB）≈ 中等规模 K8s 集群资源 + 对象存储；相对月度 LLM token 支出的比例通常 &lt;5%，主要收益在治理与缓存节省（目标缓存+预算治理节省 ≥15% token 支出）。</w:t>
      </w:r>
    </w:p>
    <w:p>
      <w:pPr>
        <w:pStyle w:val="Heading1"/>
        <w:spacing w:after="240" w:before="400" w:line="312"/>
        <w:jc w:val="center"/>
      </w:pPr>
      <w:bookmarkStart w:id="100072" w:name="_Toc100072"/>
      <w:r>
        <w:rPr>
          <w:rFonts w:ascii="Arial" w:eastAsia="SimHei"/>
          <w:b/>
          <w:bCs/>
          <w:color w:val="13324A"/>
          <w:sz w:val="32"/>
          <w:szCs w:val="32"/>
        </w:rPr>
        <w:t xml:space="preserve">12. 风险评估与应对</w:t>
      </w:r>
      <w:bookmarkEnd w:id="100072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24：风险清单与应对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pct" w:w="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5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一期排期延后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Phase 0 LiteLLM 兜底承接（3.3 风险对冲）；MVP 裁剪语义缓存/Guardrails 阻断</w:t>
            </w:r>
          </w:p>
        </w:tc>
      </w:tr>
      <w:tr>
        <w:trPr>
          <w:cantSplit/>
        </w:trPr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Provider 适配长尾（鉴权/协议差异）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pct" w:w="5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适配层接口先稳定；Top 5 先行；长尾用透传模式过渡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限流误杀（TPM 预估偏大）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预估取 </w:t>
            </w:r>
            <w:r>
              <w:rPr>
                <w:rFonts w:ascii="Consolas" w:eastAsia="Microsoft YaHei"/>
                <w:b w:val="false"/>
                <w:bCs w:val="false"/>
                <w:sz w:val="20"/>
                <w:szCs w:val="20"/>
              </w:rPr>
              <w:t xml:space="preserve">min(tokenize(prompt)+max_tokens, tokenize(prompt)×2+1024)</w:t>
            </w: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 截断；观察期配置告警而非硬拒</w:t>
            </w:r>
          </w:p>
        </w:tc>
      </w:tr>
      <w:tr>
        <w:trPr>
          <w:cantSplit/>
        </w:trPr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语义缓存业务正确性投诉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pct" w:w="5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默认关、白名单+阈值 0.95、离线回放评估、命中标记可追溯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上游价格变动频繁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价格表版本化 + 周核对 + 自动对账告警</w:t>
            </w:r>
          </w:p>
        </w:tc>
      </w:tr>
      <w:tr>
        <w:trPr>
          <w:cantSplit/>
        </w:trPr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单点依赖 Redis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pct" w:w="5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集群化 + 本地降级模式（8.2）；限流可松不可死原则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内部合规对内容留痕的新要求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留痕链路（KMS+审批）M2 已内置，按租户开启即可</w:t>
            </w:r>
          </w:p>
        </w:tc>
      </w:tr>
      <w:tr>
        <w:trPr>
          <w:cantSplit/>
        </w:trPr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关键人员流动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pct" w:w="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pct" w:w="55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MonoRepo+文档+评审制；Adapter 接口测试即协议文档</w:t>
            </w:r>
          </w:p>
        </w:tc>
      </w:tr>
    </w:tbl>
    <w:p>
      <w:pPr>
        <w:spacing w:after="120" w:line="312"/>
      </w:pPr>
    </w:p>
    <w:p>
      <w:pPr>
        <w:pStyle w:val="Heading1"/>
        <w:spacing w:after="240" w:before="400" w:line="312"/>
        <w:jc w:val="center"/>
      </w:pPr>
      <w:bookmarkStart w:id="100073" w:name="_Toc100073"/>
      <w:r>
        <w:rPr>
          <w:rFonts w:ascii="Arial" w:eastAsia="SimHei"/>
          <w:b/>
          <w:bCs/>
          <w:color w:val="13324A"/>
          <w:sz w:val="32"/>
          <w:szCs w:val="32"/>
        </w:rPr>
        <w:t xml:space="preserve">附录</w:t>
      </w:r>
      <w:bookmarkEnd w:id="100073"/>
    </w:p>
    <w:p>
      <w:pPr>
        <w:pStyle w:val="Heading2"/>
        <w:spacing w:after="180" w:before="320" w:line="312"/>
        <w:jc w:val="left"/>
      </w:pPr>
      <w:bookmarkStart w:id="100074" w:name="_Toc100074"/>
      <w:r>
        <w:rPr>
          <w:rFonts w:ascii="Arial" w:eastAsia="SimHei"/>
          <w:b/>
          <w:bCs/>
          <w:color w:val="1B4A66"/>
          <w:sz w:val="30"/>
          <w:szCs w:val="30"/>
        </w:rPr>
        <w:t xml:space="preserve">附录 A：对外 API 摘要</w:t>
      </w:r>
      <w:bookmarkEnd w:id="100074"/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端点与请求头/响应头契约：见 5.1.1。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错误码表：40101/40102/40103（鉴权）、40301（模型权限）、40005（内容策略）、42901–42904（限流/预算）、50301–50304（上游/熔断/流中断）、50001（内部）。</w:t>
      </w: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sz w:val="24"/>
          <w:szCs w:val="24"/>
        </w:rPr>
        <w:t xml:space="preserve">迁移指引：OpenAI SDK 仅改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base_url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与 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api_key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；</w:t>
      </w:r>
      <w:r>
        <w:rPr>
          <w:rFonts w:ascii="Consolas" w:eastAsia="Microsoft YaHei"/>
          <w:b w:val="false"/>
          <w:bCs w:val="false"/>
          <w:sz w:val="24"/>
          <w:szCs w:val="24"/>
        </w:rPr>
        <w:t xml:space="preserve">model</w:t>
      </w:r>
      <w:r>
        <w:rPr>
          <w:rFonts w:ascii="Times New Roman" w:eastAsia="SimSun"/>
          <w:b w:val="false"/>
          <w:bCs w:val="false"/>
          <w:sz w:val="24"/>
          <w:szCs w:val="24"/>
        </w:rPr>
        <w:t xml:space="preserve"> 换逻辑模型名；SSE 事件序列与 OpenAI 完全一致。</w:t>
      </w:r>
    </w:p>
    <w:p>
      <w:pPr>
        <w:pStyle w:val="Heading2"/>
        <w:spacing w:after="180" w:before="320" w:line="312"/>
        <w:jc w:val="left"/>
      </w:pPr>
      <w:bookmarkStart w:id="100075" w:name="_Toc100075"/>
      <w:r>
        <w:rPr>
          <w:rFonts w:ascii="Arial" w:eastAsia="SimHei"/>
          <w:b/>
          <w:bCs/>
          <w:color w:val="1B4A66"/>
          <w:sz w:val="30"/>
          <w:szCs w:val="30"/>
        </w:rPr>
        <w:t xml:space="preserve">附录 B：配置快照示例（YAML 视图，实际为编译后 JSON）</w:t>
      </w:r>
      <w:bookmarkEnd w:id="100075"/>
    </w:p>
    <w:p>
      <w:pPr>
        <w:pBdr>
          <w:top w:val="single" w:color="C8DDE2" w:sz="4" w:space="4"/>
        </w:pBdr>
        <w:shd w:fill="EEF2F6" w:val="clear"/>
        <w:spacing w:after="0" w:before="12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snapshot_version: 2026.09.12-001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routes: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- logical_model: gpt-4o-class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strategy: weighted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targets: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- { provider: azure-openai, model: gpt-4o, weight: 60, priority: 1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- { provider: openai, model: gpt-4o-2024-11-20, weight: 20, priority: 1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- { provider: bedrock, model: claude-sonnet, weight: 20, priority: 2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- logical_model: qwen-plus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strategy: priority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targets: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- { provider: dashscope, model: qwen-plus, priority: 1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    - { provider: vllm-pool, model: Qwen2.5-72B, priority: 2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rate_limits: { default: { rpm: 600, tpm: 600000, concurrent: 50 }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budget_alerts: { warn_at_pct: 80, hard_stop: true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guardrails: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pre:  { sensitive_words: log, pii: mute, injection_rules: log }</w:t>
      </w:r>
    </w:p>
    <w:p>
      <w:pPr>
        <w:shd w:fill="EEF2F6" w:val="clear"/>
        <w:spacing w:after="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  post: { toxicity: log_and_alert }</w:t>
      </w:r>
    </w:p>
    <w:p>
      <w:pPr>
        <w:pBdr>
          <w:bottom w:val="single" w:color="C8DDE2" w:sz="4" w:space="4"/>
        </w:pBdr>
        <w:shd w:fill="EEF2F6" w:val="clear"/>
        <w:spacing w:after="120" w:before="0" w:line="312"/>
        <w:ind w:left="240" w:right="240"/>
      </w:pPr>
      <w:r>
        <w:rPr>
          <w:rFonts w:ascii="Consolas" w:eastAsia="Microsoft YaHei"/>
          <w:color w:val="2B3A49"/>
          <w:sz w:val="17"/>
          <w:szCs w:val="17"/>
        </w:rPr>
        <w:t xml:space="preserve">caching: { exact: { enabled: true, ttl: 3600 }, semantic: { enabled: false } }</w:t>
      </w:r>
    </w:p>
    <w:p>
      <w:pPr>
        <w:pStyle w:val="Heading2"/>
        <w:spacing w:after="180" w:before="320" w:line="312"/>
        <w:jc w:val="left"/>
      </w:pPr>
      <w:bookmarkStart w:id="100076" w:name="_Toc100076"/>
      <w:r>
        <w:rPr>
          <w:rFonts w:ascii="Arial" w:eastAsia="SimHei"/>
          <w:b/>
          <w:bCs/>
          <w:color w:val="1B4A66"/>
          <w:sz w:val="30"/>
          <w:szCs w:val="30"/>
        </w:rPr>
        <w:t xml:space="preserve">附录 C：借鉴产品与参考资料</w:t>
      </w:r>
      <w:bookmarkEnd w:id="100076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25：借鉴产品与参考资料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产品/资料</w:t>
            </w:r>
          </w:p>
        </w:tc>
        <w:tc>
          <w:tcPr>
            <w:tcW w:type="pct" w:w="5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LiteLLM 生产最佳实践 / 虚拟 Key / 预算与限流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docs.litellm.ai/docs/proxy/prod；docs.litellm.ai/docs/proxy/virtual_keys；docs.litellm.ai/docs/proxy/users</w:t>
            </w:r>
          </w:p>
        </w:tc>
      </w:tr>
      <w:tr>
        <w:trPr>
          <w:cantSplit/>
        </w:trPr>
        <w:tc>
          <w:tcPr>
            <w:tcW w:type="pct" w:w="4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Portkey AI Gateway（config 化治理/负载均衡/语义缓存）</w:t>
            </w:r>
          </w:p>
        </w:tc>
        <w:tc>
          <w:tcPr>
            <w:tcW w:type="pct" w:w="5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docs.portkey.ai/docs/product/ai-gateway；github.com/portkey-ai/gateway</w:t>
            </w:r>
          </w:p>
        </w:tc>
      </w:tr>
      <w:tr>
        <w:trPr>
          <w:cantSplit/>
        </w:trPr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Kong AI Gateway（插件集 / AI Rate Limiting Advanced）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developer.konghq.com（AI 插件文档）</w:t>
            </w:r>
          </w:p>
        </w:tc>
      </w:tr>
      <w:tr>
        <w:trPr>
          <w:cantSplit/>
        </w:trPr>
        <w:tc>
          <w:tcPr>
            <w:tcW w:type="pct" w:w="4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Higress AI 网关（Token 限流/多 Key 均衡/灰度）</w:t>
            </w:r>
          </w:p>
        </w:tc>
        <w:tc>
          <w:tcPr>
            <w:tcW w:type="pct" w:w="5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higress.ai</w:t>
            </w:r>
          </w:p>
        </w:tc>
      </w:tr>
      <w:tr>
        <w:trPr>
          <w:cantSplit/>
        </w:trPr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Cloudflare AI Gateway（实时 spend limit/统一账单）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developers.cloudflare.com/ai-gateway</w:t>
            </w:r>
          </w:p>
        </w:tc>
      </w:tr>
      <w:tr>
        <w:trPr>
          <w:cantSplit/>
        </w:trPr>
        <w:tc>
          <w:tcPr>
            <w:tcW w:type="pct" w:w="4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Envoy AI Gateway（Gateway API 声明式参考架构）</w:t>
            </w:r>
          </w:p>
        </w:tc>
        <w:tc>
          <w:tcPr>
            <w:tcW w:type="pct" w:w="5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aigateway.envoyproxy.io；github.com/envoyproxy/ai-gateway</w:t>
            </w:r>
          </w:p>
        </w:tc>
      </w:tr>
      <w:tr>
        <w:trPr>
          <w:cantSplit/>
        </w:trPr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OpenRouter（多供应商路由/计费）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openrouter.ai/docs</w:t>
            </w:r>
          </w:p>
        </w:tc>
      </w:tr>
      <w:tr>
        <w:trPr>
          <w:cantSplit/>
        </w:trPr>
        <w:tc>
          <w:tcPr>
            <w:tcW w:type="pct" w:w="47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Vercel AI Gateway（边缘缓存/统一计价）</w:t>
            </w:r>
          </w:p>
        </w:tc>
        <w:tc>
          <w:tcPr>
            <w:tcW w:type="pct" w:w="53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vercel.com/ai-gateway</w:t>
            </w:r>
          </w:p>
        </w:tc>
      </w:tr>
    </w:tbl>
    <w:p>
      <w:pPr>
        <w:spacing w:after="120" w:line="312"/>
      </w:pPr>
    </w:p>
    <w:p>
      <w:pPr>
        <w:pStyle w:val="Heading2"/>
        <w:spacing w:after="180" w:before="320" w:line="312"/>
        <w:jc w:val="left"/>
      </w:pPr>
      <w:bookmarkStart w:id="100077" w:name="_Toc100077"/>
      <w:r>
        <w:rPr>
          <w:rFonts w:ascii="Arial" w:eastAsia="SimHei"/>
          <w:b/>
          <w:bCs/>
          <w:color w:val="1B4A66"/>
          <w:sz w:val="30"/>
          <w:szCs w:val="30"/>
        </w:rPr>
        <w:t xml:space="preserve">附录 D：术语表</w:t>
      </w:r>
      <w:bookmarkEnd w:id="100077"/>
    </w:p>
    <w:p>
      <w:pPr>
        <w:keepNext/>
        <w:spacing w:after="80" w:before="200" w:line="312"/>
        <w:jc w:val="center"/>
      </w:pPr>
      <w:r>
        <w:rPr>
          <w:rFonts w:ascii="Arial" w:eastAsia="SimHei"/>
          <w:b/>
          <w:bCs/>
          <w:color w:val="4A5A6A"/>
          <w:sz w:val="20"/>
          <w:szCs w:val="20"/>
        </w:rPr>
        <w:t xml:space="preserve">表 26：术语表</w:t>
      </w:r>
    </w:p>
    <w:tbl>
      <w:tblPr>
        <w:tblW w:type="pct" w:w="100%"/>
        <w:tblBorders>
          <w:top w:val="single" w:color="9FB8C4" w:sz="12"/>
          <w:left w:val="none" w:color="FFFFFF" w:sz="0"/>
          <w:bottom w:val="single" w:color="9FB8C4" w:sz="12"/>
          <w:right w:val="none" w:color="FFFFFF" w:sz="0"/>
          <w:insideH w:val="single" w:color="C8DDE2" w:sz="4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pct" w:w="8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虚拟 Key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网关对内签发的访问凭证，与上游供应商密钥解耦</w:t>
            </w:r>
          </w:p>
        </w:tc>
      </w:tr>
      <w:tr>
        <w:trPr>
          <w:cantSplit/>
        </w:trPr>
        <w:tc>
          <w:tcPr>
            <w:tcW w:type="pct" w:w="1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逻辑模型</w:t>
            </w:r>
          </w:p>
        </w:tc>
        <w:tc>
          <w:tcPr>
            <w:tcW w:type="pct" w:w="8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对业务暴露的模型别名，映射到一个或多个上游物理模型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TTFB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Time To First Byte，流式首字节延迟</w:t>
            </w:r>
          </w:p>
        </w:tc>
      </w:tr>
      <w:tr>
        <w:trPr>
          <w:cantSplit/>
        </w:trPr>
        <w:tc>
          <w:tcPr>
            <w:tcW w:type="pct" w:w="1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TPM/RPM</w:t>
            </w:r>
          </w:p>
        </w:tc>
        <w:tc>
          <w:tcPr>
            <w:tcW w:type="pct" w:w="8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Tokens / Requests Per Minute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预扣-校正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请求前按预估 token 预扣限额、响应后按实际用量修正的限流算法</w:t>
            </w:r>
          </w:p>
        </w:tc>
      </w:tr>
      <w:tr>
        <w:trPr>
          <w:cantSplit/>
        </w:trPr>
        <w:tc>
          <w:tcPr>
            <w:tcW w:type="pct" w:w="14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Guardrails</w:t>
            </w:r>
          </w:p>
        </w:tc>
        <w:tc>
          <w:tcPr>
            <w:tcW w:type="pct" w:w="86%"/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网关层内容安全策略（PII/注入/敏感词等）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熔断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连续失败达到阈值后暂时摘除上游、周期探测恢复的稳定性机制</w:t>
            </w:r>
          </w:p>
        </w:tc>
      </w:tr>
    </w:tbl>
    <w:p>
      <w:pPr>
        <w:spacing w:after="120" w:line="312"/>
      </w:pP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Arial" w:eastAsia="SimHei"/>
        <w:color w:val="8A9AA8"/>
        <w:sz w:val="18"/>
        <w:szCs w:val="18"/>
      </w:rPr>
      <w:t xml:space="preserve">生产级 LLM 网关技术方案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00" w:line="312"/>
      <w:outlineLvl w:val="0"/>
    </w:pPr>
    <w:rPr>
      <w:rFonts w:ascii="Arial" w:eastAsia="SimHei"/>
      <w:b/>
      <w:bCs/>
      <w:color w:val="13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20" w:line="312"/>
      <w:outlineLvl w:val="1"/>
    </w:pPr>
    <w:rPr>
      <w:rFonts w:ascii="Arial" w:eastAsia="SimHei"/>
      <w:b/>
      <w:bCs/>
      <w:color w:val="1B4A6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60" w:line="312"/>
      <w:outlineLvl w:val="2"/>
    </w:pPr>
    <w:rPr>
      <w:rFonts w:ascii="Arial" w:eastAsia="SimHei"/>
      <w:b/>
      <w:bCs/>
      <w:color w:val="2B5A75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3dd51bd9d8770d7c3f085bd08fee421d948169d4.png"/><Relationship Id="rId11" Type="http://schemas.openxmlformats.org/officeDocument/2006/relationships/image" Target="media/bdb8d726cdc6c3cb06ec7b213cc0ab73e13d7fc4.png"/><Relationship Id="rId12" Type="http://schemas.openxmlformats.org/officeDocument/2006/relationships/image" Target="media/24c7bc70c92c7bf85c18a352c02b18829be0e22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2026-09-12T01:47:28.199Z</dcterms:created>
  <dcterms:modified xsi:type="dcterms:W3CDTF">2026-09-12T01:47:28.200Z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