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1" name="Picture 1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LARPERS / ROUTE2ZERO / PILOT PLAN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Team Larpers Pilot Plan</w:t>
      </w:r>
    </w:p>
    <w:p>
      <w:pPr>
        <w:keepNext/>
        <w:spacing w:before="0" w:after="100"/>
      </w:pPr>
      <w:r>
        <w:rPr>
          <w:rFonts w:ascii="Arial" w:hAnsi="Arial"/>
          <w:b w:val="0"/>
          <w:i w:val="0"/>
          <w:color w:val="0B2E59"/>
          <w:sz w:val="20"/>
        </w:rPr>
        <w:t>Route2Zero Six-Month City Pilot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9677"/>
      </w:tblGrid>
      <w:tr>
        <w:trPr>
          <w:tblHeader w:val="true"/>
        </w:trPr>
        <w:tc>
          <w:tcPr>
            <w:tcW w:type="dxa" w:w="9677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0B2E59"/>
                <w:sz w:val="18"/>
              </w:rPr>
              <w:t>City pilot question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Can Route2Zero produce a city-owned, evidence-backed e-jeepney Phase-1 portfolio whose climate, equity, infrastructure, operator, and uncertainty assumptions have been tested against real local evidence?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PURPOSE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8"/>
        </w:rPr>
        <w:t>Convert Route2Zero 2.1 from an evidence-based prototype into a locally validated planning workflow that cities can inspect, challenge, refresh, and own.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SCOPE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Target up to three partner LGUs, subject to city pairing and pilot agreement.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Validate a manageable corridor sample, one flagship corridor, and a broader Phase-1 shortlist.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Engage relevant operators/cooperatives, a utility or energy counterpart, and rider/community representatives where appropriate.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7"/>
        </w:rPr>
        <w:t>Test ML service estimates, climate assumptions, route geometry, equity evidence, charging evidence, operator readiness, policy scenarios, robustness, and portfolio constraints.</w:t>
      </w:r>
    </w:p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SIX-MONTH OUTCOME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944"/>
        <w:gridCol w:w="7733"/>
      </w:tblGrid>
      <w:tr>
        <w:trPr>
          <w:tblHeader w:val="true"/>
          <w:cantSplit/>
        </w:trPr>
        <w:tc>
          <w:tcPr>
            <w:tcW w:type="dxa" w:w="1944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Outcome area</w:t>
            </w:r>
          </w:p>
        </w:tc>
        <w:tc>
          <w:tcPr>
            <w:tcW w:type="dxa" w:w="7733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Deliverable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Decision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City-owned Phase-1 portfolio or shortlist with named next actions.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Evidence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Validated route cards, source registry, validation ledgers, and unresolved evidence owners.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Models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Calibrated service-intensity model, climate scenarios, model card, and evidence-confidence rules.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Operations</w:t>
            </w:r>
          </w:p>
        </w:tc>
        <w:tc>
          <w:tcPr>
            <w:tcW w:type="dxa" w:w="773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Scenario library, decision pack, refresh/retraining runbook, and reproducibility handover.</w:t>
            </w:r>
          </w:p>
        </w:tc>
      </w:tr>
    </w:tbl>
    <w:p>
      <w:pPr>
        <w:pStyle w:val="Heading1"/>
        <w:keepNext/>
        <w:spacing w:before="80" w:after="60"/>
      </w:pPr>
      <w:r>
        <w:rPr>
          <w:rFonts w:ascii="Arial" w:hAnsi="Arial"/>
          <w:b/>
          <w:i w:val="0"/>
          <w:color w:val="0B2E59"/>
          <w:sz w:val="23"/>
        </w:rPr>
        <w:t>PILOT PATHWAY</w:t>
      </w:r>
    </w:p>
    <w:tbl>
      <w:tblPr>
        <w:tblW w:type="dxa" w:w="9650"/>
        <w:jc w:val="center"/>
        <w:tblLayout w:type="fixed"/>
        <w:tblLook w:firstColumn="1" w:firstRow="1" w:lastColumn="0" w:lastRow="0" w:noHBand="0" w:noVBand="1" w:val="04A0"/>
        <w:tblInd w:w="40" w:type="dxa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PROTOTYPE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VALIDATE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CALIBRATE</w:t>
            </w:r>
          </w:p>
        </w:tc>
        <w:tc>
          <w:tcPr>
            <w:tcW w:type="dxa" w:w="1930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CO-DESIGN</w:t>
            </w:r>
          </w:p>
        </w:tc>
        <w:tc>
          <w:tcPr>
            <w:tcW w:type="dxa" w:w="1930"/>
            <w:shd w:fill="CFE2F3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00" w:type="dxa"/>
              <w:start w:w="40" w:type="dxa"/>
              <w:bottom w:w="10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B2E59"/>
                <w:sz w:val="15"/>
              </w:rPr>
              <w:t>HANDOVER</w:t>
            </w:r>
          </w:p>
        </w:tc>
      </w:tr>
    </w:tbl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2" name="Picture 2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SIX MONTHS / THREE EVIDENCE GATES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Six months, three evidence gates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037"/>
        <w:gridCol w:w="2045"/>
        <w:gridCol w:w="3960"/>
        <w:gridCol w:w="2635"/>
      </w:tblGrid>
      <w:tr>
        <w:trPr>
          <w:tblHeader w:val="true"/>
          <w:cantSplit/>
        </w:trPr>
        <w:tc>
          <w:tcPr>
            <w:tcW w:type="dxa" w:w="103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Timeline</w:t>
            </w:r>
          </w:p>
        </w:tc>
        <w:tc>
          <w:tcPr>
            <w:tcW w:type="dxa" w:w="20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Activity / Milestone</w:t>
            </w:r>
          </w:p>
        </w:tc>
        <w:tc>
          <w:tcPr>
            <w:tcW w:type="dxa" w:w="396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Core activity</w:t>
            </w:r>
          </w:p>
        </w:tc>
        <w:tc>
          <w:tcPr>
            <w:tcW w:type="dxa" w:w="263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Outcome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Baseline + model protocol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Confirm decision owners and route sample; freeze source registry/build; approve validation, ML evaluation, privacy, and climate protocols.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charter; baseline build; route sample; validation protocol; risk register.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refresh + ground truth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Extend the hackathon's 20-route OSM validation seed with field observation; validate geometry and service; collect operator, charging/depot, and local equity/accessibility evidence.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Expanded validation, operator, and charging ledgers; ground-truth sample; source refresh.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1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Evidence readiness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evidence plan and model-validation protocol; confirm minimum data coverage; resolve governance blockers.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evidence gate or documented corrective actions.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Model + route validation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Compare ML estimates with refreshed observations; recalculate metrics; review anomalies; tune geometry/evidence rules and equity variables.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Pilot model evaluation; model-card update; revised evidence grades; validated flagship case.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4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Climate, charging + operator pre-feasibility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 diesel/electric assumptions; validate energy scenarios; request utility evidence; assess sites, operators, and verified constraints.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Calibrated climate scenario; charging/operator cards; optimizer-ready constraints.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2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Quality + route-set review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 pilot route set and model/evidence quality; hold routes with unresolved critical issues or mark them evidence-limited.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route set with explicit holds and evidence limits.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5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Scenario co-design + human factors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Run policy workshops; review sensitivity; agree portfolio constraints; test Priority vs Evidence vs Stability; review assistant and accessibility.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Approved scenarios; draft portfolio; usability and governance findings.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Month 6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Decision pack + handover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Finalize portfolio, evidence queue, model card, source registry, refresh process, issue log, analyst training, and task ownership.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Accepted decision pack; final build; reproducibility package; city handover.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Gate 3</w:t>
            </w:r>
          </w:p>
        </w:tc>
        <w:tc>
          <w:tcPr>
            <w:tcW w:type="dxa" w:w="20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Acceptance</w:t>
            </w:r>
          </w:p>
        </w:tc>
        <w:tc>
          <w:tcPr>
            <w:tcW w:type="dxa" w:w="396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decision pack and reproducibility handover accepted by named decision owners.</w:t>
            </w:r>
          </w:p>
        </w:tc>
        <w:tc>
          <w:tcPr>
            <w:tcW w:type="dxa" w:w="263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Go-forward decision and accountable next-step owners.</w:t>
            </w:r>
          </w:p>
        </w:tc>
      </w:tr>
    </w:tbl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Baseline traceability: build r2z-d4c8d4cc709a | scenario scn-e0f12f397e | service model service-v1-266e0b1d</w:t>
      </w:r>
    </w:p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3" name="Picture 3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VALIDATION / SUCCESS / RESPONSIBLE AI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The pilot succeeds when the evidence and decision improve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SUCCESS METRICS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800"/>
        <w:gridCol w:w="7877"/>
      </w:tblGrid>
      <w:tr>
        <w:trPr>
          <w:tblHeader w:val="true"/>
          <w:cantSplit/>
        </w:trPr>
        <w:tc>
          <w:tcPr>
            <w:tcW w:type="dxa" w:w="180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Measure</w:t>
            </w:r>
          </w:p>
        </w:tc>
        <w:tc>
          <w:tcPr>
            <w:tcW w:type="dxa" w:w="7877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Pilot success evidence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Coverage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% pilot routes ground-checked; % shortlisted routes with complete evidence cards; critical gaps resolved.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Model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MAE/RMSE vs refreshed observations, improvement over baseline, and documented route-level residual review.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Decision quality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Evidence-grade improvement; ranking/portfolio stability before vs after validation; routes moved from evidence-limited to decision-ready.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Adoption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LGU/operator/utility interactions; planner task completion; understanding of Priority, Evidence, and Stability.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Handover</w:t>
            </w:r>
          </w:p>
        </w:tc>
        <w:tc>
          <w:tcPr>
            <w:tcW w:type="dxa" w:w="7877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One accepted city decision pack and one completed reproducibility/refresh handover.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VALIDATION METHODS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Field observations; operator interviews; LGU review; utility evidence requests; data reconciliation; grouped holdout testing; scenario workshops; usability/accessibility testing; stakeholder review of the flagship corridor.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RESPONSIBLE AI CONTROLS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resident-level personal data are required for core analytics; stakeholder data are consent-based.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hidden LLM score changes and no automatic funding or procurement decisions.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No individual poverty or informal-status inference from population density.</w:t>
      </w:r>
    </w:p>
    <w:p>
      <w:pPr>
        <w:pStyle w:val="ListBullet"/>
        <w:spacing w:before="0" w:after="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Stakeholders can challenge or replace evidence; an AI-disabled deterministic fallback remains available.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RISK REGISTER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232"/>
        <w:gridCol w:w="7445"/>
      </w:tblGrid>
      <w:tr>
        <w:trPr>
          <w:tblHeader w:val="true"/>
          <w:cantSplit/>
        </w:trPr>
        <w:tc>
          <w:tcPr>
            <w:tcW w:type="dxa" w:w="223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Risk</w:t>
            </w:r>
          </w:p>
        </w:tc>
        <w:tc>
          <w:tcPr>
            <w:tcW w:type="dxa" w:w="74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Control / response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Historic route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current-validation ledger and field checks; retain historic-only status until verified.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Weak ML performance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Prefer observed evidence; mark model experimental; compare with baseline.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Utility capacity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mapped proximity only; keep capacity NOT VERIFIED; request evidence.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Operator data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Keep neutral prior explicit and raise validation priority; a named desk reference is not readiness evidence.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Cost/financing data unverified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Treat feasibility figures as PROXY/SCENARIO until fleet and tariff data are confirmed; never present them as a budget.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Sparse geometry / equity data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Use reliability/evidence grades; validate traces; avoid unsupported settlement claims.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AI/API unavailable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Serve structured deterministic fallback; scores, scenarios, and portfolio are unaffected.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Constraint conflict</w:t>
            </w:r>
          </w:p>
        </w:tc>
        <w:tc>
          <w:tcPr>
            <w:tcW w:type="dxa" w:w="74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Show infeasibility and binding constraints; never fabricate a portfolio.</w:t>
            </w:r>
          </w:p>
        </w:tc>
      </w:tr>
    </w:tbl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4" name="Picture 4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FINANCIAL FEASIBILITY / DATA LICENSING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Validate the economics with the same discipline as the climate case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9677"/>
      </w:tblGrid>
      <w:tr>
        <w:trPr>
          <w:tblHeader w:val="true"/>
        </w:trPr>
        <w:tc>
          <w:tcPr>
            <w:tcW w:type="dxa" w:w="9677"/>
            <w:shd w:fill="F5F8FC"/>
            <w:tcBorders>
              <w:top w:val="single" w:sz="8" w:color="9FBAD0"/>
              <w:left w:val="single" w:sz="8" w:color="9FBAD0"/>
              <w:bottom w:val="single" w:sz="8" w:color="9FBAD0"/>
              <w:right w:val="single" w:sz="8" w:color="9FBAD0"/>
              <w:insideH w:val="single" w:sz="8" w:color="9FBAD0"/>
              <w:insideV w:val="single" w:sz="8" w:color="9FBAD0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0B2E59"/>
                <w:sz w:val="18"/>
              </w:rPr>
              <w:t>Starting-point scenario — not a budget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The Phase-1 shortlist currently implies about 1,943 vehicles, 102 chargers, and PHP 4.91 billion in vehicle-plus-charger hardware under explicit PROXY assumptions. Financing terms remain MISSING, and excluded costs are not silently absorbed.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FINANCIAL FEASIBILITY APPROACH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1656"/>
        <w:gridCol w:w="2376"/>
        <w:gridCol w:w="5645"/>
      </w:tblGrid>
      <w:tr>
        <w:trPr>
          <w:tblHeader w:val="true"/>
          <w:cantSplit/>
        </w:trPr>
        <w:tc>
          <w:tcPr>
            <w:tcW w:type="dxa" w:w="1656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Input</w:t>
            </w:r>
          </w:p>
        </w:tc>
        <w:tc>
          <w:tcPr>
            <w:tcW w:type="dxa" w:w="2376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Current status</w:t>
            </w:r>
          </w:p>
        </w:tc>
        <w:tc>
          <w:tcPr>
            <w:tcW w:type="dxa" w:w="564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Pilot validation needed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Fleet size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1,943 vehicles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Confirm active fleet, duty cycle, service plan, spare ratio, and replacement phasing by corridor.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Vehicle cost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PHP 2.5M/unit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Obtain supplier-neutral market evidence and define vehicle specification; do not treat the DOE planning value as a jeepney quote.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Charging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102 stations | PROXY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Validate charger power, depot layout, operating windows, utility capacity, interconnection, and civil works.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Financing</w:t>
            </w:r>
          </w:p>
        </w:tc>
        <w:tc>
          <w:tcPr>
            <w:tcW w:type="dxa" w:w="2376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MISSING</w:t>
            </w:r>
          </w:p>
        </w:tc>
        <w:tc>
          <w:tcPr>
            <w:tcW w:type="dxa" w:w="564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Confirm tariff structure, equity/debt source, grants or subsidy, repayment terms, insurance, and ownership model.</w:t>
            </w:r>
          </w:p>
        </w:tc>
      </w:tr>
    </w:tbl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Excluded from the current capital proxy: land or depot acquisition, civil works, distribution-system upgrades, interconnection fees, battery replacement, taxes, insurance, financing costs, and operations and maintenance.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DATA LICENSING &amp; ATTRIBUTION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Project code is MIT-licensed; source data retain their own licenses and conditions.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OpenStreetMap route and infrastructure data require attribution to OpenStreetMap contributors and are used under ODbL. Attribution must remain visible in maps, exports, decision packs, and future field-data updates.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The source registry records URLs, retrieval dates, license notes, checksums, and claim scope. Pilot owners review these before every release.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Arial" w:hAnsi="Arial"/>
          <w:b w:val="0"/>
          <w:i w:val="0"/>
          <w:color w:val="111111"/>
          <w:sz w:val="16"/>
        </w:rPr>
        <w:t>New local evidence is accepted only with an accountable source, observation date, permission basis where relevant, and a field-level claim status.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SUBMISSION HEAD START</w:t>
      </w:r>
    </w:p>
    <w:p>
      <w:pPr>
        <w:spacing w:before="0" w:after="60" w:line="254" w:lineRule="auto"/>
      </w:pPr>
      <w:r>
        <w:rPr>
          <w:rFonts w:ascii="Arial" w:hAnsi="Arial"/>
          <w:b w:val="0"/>
          <w:i w:val="0"/>
          <w:color w:val="111111"/>
          <w:sz w:val="16"/>
        </w:rPr>
        <w:t>The hackathon build already seeds Month 2 with 20 dated OSM route matches and 20 observed member-way geometries, raising usable source geometries from 2 to 22. These records reduce the initial desk-review burden but do not prove active operations or franchise authority.</w:t>
      </w:r>
    </w:p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Baseline traceability: build r2z-d4c8d4cc709a | scenario scn-e0f12f397e | portfolio prt-fd6de9d793</w:t>
      </w:r>
    </w:p>
    <w:p>
      <w:pPr>
        <w:keepNext/>
        <w:pageBreakBefore/>
        <w:spacing w:after="2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5" name="Picture 5" descr="AI x City Climate Action Hackathon 2026 partner banner" title="AI x City Climate Action Hackathon 2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/>
      </w:pPr>
      <w:hyperlink r:id="rId11">
        <w:r>
          <w:rPr>
            <w:rFonts w:ascii="Arial" w:hAnsi="Arial"/>
            <w:color w:val="075A91"/>
            <w:u w:val="single"/>
            <w:sz w:val="17"/>
          </w:rPr>
          <w:t>GitHub: https://github.com/qjmre23/Route2Zero</w:t>
        </w:r>
      </w:hyperlink>
      <w:r>
        <w:rPr>
          <w:rFonts w:ascii="Arial" w:hAnsi="Arial"/>
          <w:b w:val="0"/>
          <w:i w:val="0"/>
          <w:color w:val="4B5563"/>
          <w:sz w:val="16"/>
        </w:rPr>
        <w:t xml:space="preserve">   |   </w:t>
      </w:r>
      <w:hyperlink r:id="rId12">
        <w:r>
          <w:rPr>
            <w:rFonts w:ascii="Arial" w:hAnsi="Arial"/>
            <w:color w:val="075A91"/>
            <w:u w:val="single"/>
            <w:sz w:val="17"/>
          </w:rPr>
          <w:t>Live dashboard: https://route2zero.netlify.app/</w:t>
        </w:r>
      </w:hyperlink>
    </w:p>
    <w:p>
      <w:pPr>
        <w:keepNext/>
        <w:spacing w:before="0" w:after="40"/>
        <w:jc w:val="right"/>
      </w:pPr>
      <w:r>
        <w:rPr>
          <w:rFonts w:ascii="Arial" w:hAnsi="Arial"/>
          <w:b/>
          <w:i w:val="0"/>
          <w:color w:val="4B5563"/>
          <w:sz w:val="14"/>
        </w:rPr>
        <w:t>TEAM STRUCTURE / PARTNERS / HANDOVER</w:t>
      </w:r>
    </w:p>
    <w:p>
      <w:pPr>
        <w:pStyle w:val="Title"/>
        <w:keepNext/>
        <w:spacing w:before="20" w:after="40"/>
      </w:pPr>
      <w:r>
        <w:rPr>
          <w:rFonts w:ascii="Arial" w:hAnsi="Arial"/>
          <w:b/>
          <w:i w:val="0"/>
          <w:color w:val="111111"/>
          <w:sz w:val="38"/>
        </w:rPr>
        <w:t>Named owners from data collection to city handover</w:t>
      </w:r>
    </w:p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TEAM STRUCTURE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765"/>
        <w:gridCol w:w="2592"/>
        <w:gridCol w:w="4320"/>
      </w:tblGrid>
      <w:tr>
        <w:trPr>
          <w:tblHeader w:val="true"/>
          <w:cantSplit/>
        </w:trPr>
        <w:tc>
          <w:tcPr>
            <w:tcW w:type="dxa" w:w="2765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Name</w:t>
            </w:r>
          </w:p>
        </w:tc>
        <w:tc>
          <w:tcPr>
            <w:tcW w:type="dxa" w:w="2592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Role</w:t>
            </w:r>
          </w:p>
        </w:tc>
        <w:tc>
          <w:tcPr>
            <w:tcW w:type="dxa" w:w="4320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Relevant background / experience / skills for this role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John Marwin Ebona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Product &amp; Pilot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City coordination, decision question, gates, integration, decision pack, handover.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Isaac Marcus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Engineering &amp; Deployment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Dashboard, scenarios, Netlify, Mapbox, reliability, and deterministic fallbacks.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Andrei Dela Cruz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&amp; Responsible AI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Policy controls, decision rights, workshops, risk controls, and responsible AI.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Russel Mendez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&amp; Evidence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Climate and energy method, source review, evidence confidence, and documentation.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TRISTIAN JAMES CABALAR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Data &amp; ML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Source registry, feature store, service model, metrics, manifest, and model refresh.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JOHN MICHAEL PALAGANAS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QA &amp; Documentation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Testing, accessibility, artifact QA, claim checks, and issue tracking.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Carl Nueva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Geospatial &amp; Infrastructure Analyst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Geometry review, spatial joins, equity layers, power evidence, and map QA.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JOSEPH CLARENCE PARAYAOAN</w:t>
            </w:r>
          </w:p>
        </w:tc>
        <w:tc>
          <w:tcPr>
            <w:tcW w:type="dxa" w:w="2592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Validation &amp; Partnerships Lead</w:t>
            </w:r>
          </w:p>
        </w:tc>
        <w:tc>
          <w:tcPr>
            <w:tcW w:type="dxa" w:w="4320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4"/>
              </w:rPr>
              <w:t>Field plans, route checks, operator and partner coordination, and evidence handoff.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PARTNER RESPONSIBILITIES</w:t>
      </w:r>
    </w:p>
    <w:tbl>
      <w:tblPr>
        <w:tblW w:type="dxa" w:w="9677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088"/>
        <w:gridCol w:w="7589"/>
      </w:tblGrid>
      <w:tr>
        <w:trPr>
          <w:tblHeader w:val="true"/>
          <w:cantSplit/>
        </w:trPr>
        <w:tc>
          <w:tcPr>
            <w:tcW w:type="dxa" w:w="2088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Partner</w:t>
            </w:r>
          </w:p>
        </w:tc>
        <w:tc>
          <w:tcPr>
            <w:tcW w:type="dxa" w:w="7589"/>
            <w:shd w:fill="CFE2F3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82" w:type="dxa"/>
              <w:start w:w="100" w:type="dxa"/>
              <w:bottom w:w="82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5"/>
              </w:rPr>
              <w:t>Pilot responsibility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LGU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Define decision context, validate evidence, join scenario workshops, review outputs, accept handover.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Operator / cooperative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operations, fleet/depot constraints, readiness, and feasibility.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Utility / energy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Review charging assumptions and flag formal capacity/interconnection studies.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Riders / community</w:t>
            </w:r>
          </w:p>
        </w:tc>
        <w:tc>
          <w:tcPr>
            <w:tcW w:type="dxa" w:w="7589"/>
            <w:tcBorders>
              <w:top w:val="single" w:sz="9" w:color="000000"/>
              <w:left w:val="single" w:sz="9" w:color="000000"/>
              <w:bottom w:val="single" w:sz="9" w:color="000000"/>
              <w:right w:val="single" w:sz="9" w:color="000000"/>
              <w:insideH w:val="single" w:sz="9" w:color="000000"/>
              <w:insideV w:val="single" w:sz="9" w:color="000000"/>
            </w:tcBorders>
            <w:tcMar>
              <w:top w:w="68" w:type="dxa"/>
              <w:start w:w="100" w:type="dxa"/>
              <w:bottom w:w="68" w:type="dxa"/>
              <w:end w:w="100" w:type="dxa"/>
            </w:tcMar>
            <w:shd w:fill="F8FAFC"/>
            <w:vAlign w:val="top"/>
          </w:tcPr>
          <w:p>
            <w:pPr>
              <w:spacing w:after="0" w:line="235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3"/>
              </w:rPr>
              <w:t>Validate access concerns and challenge equity assumptions where relevant.</w:t>
            </w:r>
          </w:p>
        </w:tc>
      </w:tr>
    </w:tbl>
    <w:p>
      <w:pPr>
        <w:pStyle w:val="Heading1"/>
        <w:keepNext/>
        <w:spacing w:before="80" w:after="40"/>
      </w:pPr>
      <w:r>
        <w:rPr>
          <w:rFonts w:ascii="Arial" w:hAnsi="Arial"/>
          <w:b/>
          <w:i w:val="0"/>
          <w:color w:val="0B2E59"/>
          <w:sz w:val="23"/>
        </w:rPr>
        <w:t>HANDOVER AND SCALE</w:t>
      </w:r>
    </w:p>
    <w:p>
      <w:pPr>
        <w:spacing w:before="0" w:after="0" w:line="254" w:lineRule="auto"/>
      </w:pPr>
      <w:r>
        <w:rPr>
          <w:rFonts w:ascii="Arial" w:hAnsi="Arial"/>
          <w:b w:val="0"/>
          <w:i w:val="0"/>
          <w:color w:val="111111"/>
          <w:sz w:val="14"/>
        </w:rPr>
        <w:t>Handover: final build, model card, source registry, validation ledgers, scenario library, decision pack, issue register, refresh/retraining runbook, governance notes, and a city owner for each unresolved issue. Scale requires local adapters, recalibration, and validation; the Metro Manila model is not copied unchanged.</w:t>
      </w:r>
    </w:p>
    <w:sectPr w:rsidR="00FC693F" w:rsidRPr="0006063C" w:rsidSect="00034616">
      <w:footerReference w:type="default" r:id="rId9"/>
      <w:pgSz w:w="11906" w:h="16838"/>
      <w:pgMar w:top="216" w:right="1123" w:bottom="605" w:left="1123" w:header="144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B5563"/>
        <w:sz w:val="11"/>
      </w:rPr>
      <w:t xml:space="preserve">Team Larpers | Route2Zero | r2z-d4c8d4cc709a | scn-e0f12f397e | prt-fd6de9d793 | </w:t>
    </w:r>
    <w:r>
      <w:rPr>
        <w:rFonts w:ascii="Arial" w:hAnsi="Arial"/>
        <w:b w:val="0"/>
        <w:i w:val="0"/>
        <w:color w:val="4B5563"/>
        <w:sz w:val="14"/>
      </w:rPr>
      <w:t xml:space="preserve">Page </w:t>
    </w:r>
    <w:fldSimple w:instr="PAGE"/>
    <w:r>
      <w:rPr>
        <w:rFonts w:ascii="Arial" w:hAnsi="Arial"/>
        <w:b w:val="0"/>
        <w:i w:val="0"/>
        <w:color w:val="4B5563"/>
        <w:sz w:val="14"/>
      </w:rPr>
      <w:t xml:space="preserve"> of 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2E5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qjmre23/Route2Zero" TargetMode="External"/><Relationship Id="rId12" Type="http://schemas.openxmlformats.org/officeDocument/2006/relationships/hyperlink" Target="https://route2zero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Larpers - Route2Zero Six-Month City Pilot Plan</dc:title>
  <dc:subject>AI x City Climate Action Hackathon 2026 Pilot Plan</dc:subject>
  <dc:creator>Team Larpers</dc:creator>
  <cp:keywords>Route2Zero, e-jeepney, climate action, urban transportation, pilot plan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