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ind w:left="-1123" w:right="-1123"/>
      </w:pPr>
      <w:r>
        <w:drawing>
          <wp:inline xmlns:a="http://schemas.openxmlformats.org/drawingml/2006/main" xmlns:pic="http://schemas.openxmlformats.org/drawingml/2006/picture">
            <wp:extent cx="7560000" cy="935728"/>
            <wp:docPr id="1" name="Picture 1" descr="AI x City Climate Action Hackathon 2026 partner banner" title="AI x City Climate Action Hackathon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athon-template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3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hyperlink r:id="rId11">
        <w:r>
          <w:rPr>
            <w:rFonts w:ascii="Arial" w:hAnsi="Arial"/>
            <w:color w:val="075A91"/>
            <w:u w:val="single"/>
            <w:sz w:val="17"/>
          </w:rPr>
          <w:t>GitHub: https://github.com/qjmre23/Route2Zero</w:t>
        </w:r>
      </w:hyperlink>
      <w:r>
        <w:rPr>
          <w:rFonts w:ascii="Arial" w:hAnsi="Arial"/>
          <w:b w:val="0"/>
          <w:i w:val="0"/>
          <w:color w:val="4B5563"/>
          <w:sz w:val="16"/>
        </w:rPr>
        <w:t xml:space="preserve">   |   </w:t>
      </w:r>
      <w:hyperlink r:id="rId12">
        <w:r>
          <w:rPr>
            <w:rFonts w:ascii="Arial" w:hAnsi="Arial"/>
            <w:color w:val="075A91"/>
            <w:u w:val="single"/>
            <w:sz w:val="17"/>
          </w:rPr>
          <w:t>Live dashboard: https://route2zero.netlify.app/</w:t>
        </w:r>
      </w:hyperlink>
    </w:p>
    <w:p>
      <w:pPr>
        <w:spacing w:before="0" w:after="40"/>
        <w:jc w:val="right"/>
      </w:pPr>
      <w:r>
        <w:rPr>
          <w:rFonts w:ascii="Arial" w:hAnsi="Arial"/>
          <w:b/>
          <w:i w:val="0"/>
          <w:color w:val="4B5563"/>
          <w:sz w:val="14"/>
        </w:rPr>
        <w:t>TEAM LARPERS / ROUTE2ZERO / PILOT PLAN</w:t>
      </w:r>
    </w:p>
    <w:p>
      <w:pPr>
        <w:pStyle w:val="Title"/>
        <w:keepNext/>
        <w:spacing w:before="20" w:after="40"/>
      </w:pPr>
      <w:r>
        <w:rPr>
          <w:rFonts w:ascii="Arial" w:hAnsi="Arial"/>
          <w:b/>
          <w:i w:val="0"/>
          <w:color w:val="111111"/>
          <w:sz w:val="38"/>
        </w:rPr>
        <w:t>Team Larpers Pilot Plan</w:t>
      </w:r>
    </w:p>
    <w:p>
      <w:pPr>
        <w:keepNext/>
        <w:spacing w:before="0" w:after="100"/>
      </w:pPr>
      <w:r>
        <w:rPr>
          <w:rFonts w:ascii="Arial" w:hAnsi="Arial"/>
          <w:b w:val="0"/>
          <w:i w:val="0"/>
          <w:color w:val="0B2E59"/>
          <w:sz w:val="20"/>
        </w:rPr>
        <w:t>Route2Zero Six-Month City Pilot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40" w:type="dxa"/>
      </w:tblPr>
      <w:tblGrid>
        <w:gridCol w:w="9677"/>
      </w:tblGrid>
      <w:tr>
        <w:trPr>
          <w:tblHeader w:val="true"/>
        </w:trPr>
        <w:tc>
          <w:tcPr>
            <w:tcW w:type="dxa" w:w="9677"/>
            <w:shd w:fill="F5F8FC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2E59"/>
                <w:sz w:val="18"/>
              </w:rPr>
              <w:t>City pilot question</w:t>
            </w:r>
          </w:p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Can Route2Zero produce a city-owned, evidence-backed e-jeepney Phase-1 portfolio whose climate, equity, infrastructure, operator, and uncertainty assumptions have been tested against real local evidence?</w:t>
            </w:r>
          </w:p>
        </w:tc>
      </w:tr>
    </w:tbl>
    <w:p>
      <w:pPr>
        <w:pStyle w:val="Heading1"/>
        <w:keepNext/>
        <w:spacing w:before="80" w:after="60"/>
      </w:pPr>
      <w:r>
        <w:rPr>
          <w:rFonts w:ascii="Arial" w:hAnsi="Arial"/>
          <w:b/>
          <w:i w:val="0"/>
          <w:color w:val="0B2E59"/>
          <w:sz w:val="23"/>
        </w:rPr>
        <w:t>PILOT PURPOSE</w:t>
      </w:r>
    </w:p>
    <w:p>
      <w:pPr>
        <w:spacing w:before="0" w:after="60" w:line="254" w:lineRule="auto"/>
      </w:pPr>
      <w:r>
        <w:rPr>
          <w:rFonts w:ascii="Arial" w:hAnsi="Arial"/>
          <w:b w:val="0"/>
          <w:i w:val="0"/>
          <w:color w:val="111111"/>
          <w:sz w:val="18"/>
        </w:rPr>
        <w:t>Convert Route2Zero 2.0 from an evidence-based prototype into a locally validated planning workflow that cities can inspect, challenge, refresh, and own.</w:t>
      </w:r>
    </w:p>
    <w:p>
      <w:pPr>
        <w:pStyle w:val="Heading1"/>
        <w:keepNext/>
        <w:spacing w:before="80" w:after="60"/>
      </w:pPr>
      <w:r>
        <w:rPr>
          <w:rFonts w:ascii="Arial" w:hAnsi="Arial"/>
          <w:b/>
          <w:i w:val="0"/>
          <w:color w:val="0B2E59"/>
          <w:sz w:val="23"/>
        </w:rPr>
        <w:t>PILOT SCOPE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7"/>
        </w:rPr>
        <w:t>Target up to three partner LGUs, subject to city pairing and pilot agreement.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7"/>
        </w:rPr>
        <w:t>Validate a manageable corridor sample, one flagship corridor, and a broader Phase-1 shortlist.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7"/>
        </w:rPr>
        <w:t>Engage relevant operators/cooperatives, a utility or energy counterpart, and rider/community representatives where appropriate.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7"/>
        </w:rPr>
        <w:t>Test ML service estimates, climate assumptions, route geometry, equity evidence, charging evidence, operator readiness, policy scenarios, robustness, and portfolio constraints.</w:t>
      </w:r>
    </w:p>
    <w:p>
      <w:pPr>
        <w:pStyle w:val="Heading1"/>
        <w:keepNext/>
        <w:spacing w:before="80" w:after="60"/>
      </w:pPr>
      <w:r>
        <w:rPr>
          <w:rFonts w:ascii="Arial" w:hAnsi="Arial"/>
          <w:b/>
          <w:i w:val="0"/>
          <w:color w:val="0B2E59"/>
          <w:sz w:val="23"/>
        </w:rPr>
        <w:t>SIX-MONTH OUTCOME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944"/>
        <w:gridCol w:w="7733"/>
      </w:tblGrid>
      <w:tr>
        <w:trPr>
          <w:tblHeader w:val="true"/>
          <w:cantSplit/>
        </w:trPr>
        <w:tc>
          <w:tcPr>
            <w:tcW w:type="dxa" w:w="1944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Outcome area</w:t>
            </w:r>
          </w:p>
        </w:tc>
        <w:tc>
          <w:tcPr>
            <w:tcW w:type="dxa" w:w="7733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Deliverable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Decision</w:t>
            </w:r>
          </w:p>
        </w:tc>
        <w:tc>
          <w:tcPr>
            <w:tcW w:type="dxa" w:w="773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City-owned Phase-1 portfolio or shortlist with named next actions.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</w:t>
            </w:r>
          </w:p>
        </w:tc>
        <w:tc>
          <w:tcPr>
            <w:tcW w:type="dxa" w:w="773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Validated route cards, source registry, validation ledgers, and unresolved evidence owners.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Models</w:t>
            </w:r>
          </w:p>
        </w:tc>
        <w:tc>
          <w:tcPr>
            <w:tcW w:type="dxa" w:w="773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Calibrated service-intensity model, climate scenarios, model card, and evidence-confidence rules.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Operations</w:t>
            </w:r>
          </w:p>
        </w:tc>
        <w:tc>
          <w:tcPr>
            <w:tcW w:type="dxa" w:w="773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Scenario library, decision pack, refresh/retraining runbook, and reproducibility handover.</w:t>
            </w:r>
          </w:p>
        </w:tc>
      </w:tr>
    </w:tbl>
    <w:p>
      <w:pPr>
        <w:pStyle w:val="Heading1"/>
        <w:keepNext/>
        <w:spacing w:before="80" w:after="60"/>
      </w:pPr>
      <w:r>
        <w:rPr>
          <w:rFonts w:ascii="Arial" w:hAnsi="Arial"/>
          <w:b/>
          <w:i w:val="0"/>
          <w:color w:val="0B2E59"/>
          <w:sz w:val="23"/>
        </w:rPr>
        <w:t>PILOT PATHWAY</w:t>
      </w:r>
    </w:p>
    <w:tbl>
      <w:tblPr>
        <w:tblW w:type="dxa" w:w="9650"/>
        <w:jc w:val="center"/>
        <w:tblLayout w:type="fixed"/>
        <w:tblLook w:firstColumn="1" w:firstRow="1" w:lastColumn="0" w:lastRow="0" w:noHBand="0" w:noVBand="1" w:val="04A0"/>
        <w:tblInd w:w="40" w:type="dxa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930"/>
            <w:shd w:fill="CFE2F3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00" w:type="dxa"/>
              <w:start w:w="40" w:type="dxa"/>
              <w:bottom w:w="10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B2E59"/>
                <w:sz w:val="15"/>
              </w:rPr>
              <w:t>PROTOTYPE</w:t>
            </w:r>
          </w:p>
        </w:tc>
        <w:tc>
          <w:tcPr>
            <w:tcW w:type="dxa" w:w="1930"/>
            <w:shd w:fill="F5F8FC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00" w:type="dxa"/>
              <w:start w:w="40" w:type="dxa"/>
              <w:bottom w:w="10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B2E59"/>
                <w:sz w:val="15"/>
              </w:rPr>
              <w:t>VALIDATE</w:t>
            </w:r>
          </w:p>
        </w:tc>
        <w:tc>
          <w:tcPr>
            <w:tcW w:type="dxa" w:w="1930"/>
            <w:shd w:fill="CFE2F3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00" w:type="dxa"/>
              <w:start w:w="40" w:type="dxa"/>
              <w:bottom w:w="10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B2E59"/>
                <w:sz w:val="15"/>
              </w:rPr>
              <w:t>CALIBRATE</w:t>
            </w:r>
          </w:p>
        </w:tc>
        <w:tc>
          <w:tcPr>
            <w:tcW w:type="dxa" w:w="1930"/>
            <w:shd w:fill="F5F8FC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00" w:type="dxa"/>
              <w:start w:w="40" w:type="dxa"/>
              <w:bottom w:w="10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B2E59"/>
                <w:sz w:val="15"/>
              </w:rPr>
              <w:t>CO-DESIGN</w:t>
            </w:r>
          </w:p>
        </w:tc>
        <w:tc>
          <w:tcPr>
            <w:tcW w:type="dxa" w:w="1930"/>
            <w:shd w:fill="CFE2F3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00" w:type="dxa"/>
              <w:start w:w="40" w:type="dxa"/>
              <w:bottom w:w="10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B2E59"/>
                <w:sz w:val="15"/>
              </w:rPr>
              <w:t>HANDOVER</w:t>
            </w:r>
          </w:p>
        </w:tc>
      </w:tr>
    </w:tbl>
    <w:p>
      <w:r>
        <w:br w:type="page"/>
      </w:r>
    </w:p>
    <w:p>
      <w:pPr>
        <w:spacing w:after="20"/>
        <w:ind w:left="-1123" w:right="-1123"/>
      </w:pPr>
      <w:r>
        <w:drawing>
          <wp:inline xmlns:a="http://schemas.openxmlformats.org/drawingml/2006/main" xmlns:pic="http://schemas.openxmlformats.org/drawingml/2006/picture">
            <wp:extent cx="7560000" cy="935728"/>
            <wp:docPr id="2" name="Picture 2" descr="AI x City Climate Action Hackathon 2026 partner banner" title="AI x City Climate Action Hackathon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athon-template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3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hyperlink r:id="rId11">
        <w:r>
          <w:rPr>
            <w:rFonts w:ascii="Arial" w:hAnsi="Arial"/>
            <w:color w:val="075A91"/>
            <w:u w:val="single"/>
            <w:sz w:val="17"/>
          </w:rPr>
          <w:t>GitHub: https://github.com/qjmre23/Route2Zero</w:t>
        </w:r>
      </w:hyperlink>
      <w:r>
        <w:rPr>
          <w:rFonts w:ascii="Arial" w:hAnsi="Arial"/>
          <w:b w:val="0"/>
          <w:i w:val="0"/>
          <w:color w:val="4B5563"/>
          <w:sz w:val="16"/>
        </w:rPr>
        <w:t xml:space="preserve">   |   </w:t>
      </w:r>
      <w:hyperlink r:id="rId12">
        <w:r>
          <w:rPr>
            <w:rFonts w:ascii="Arial" w:hAnsi="Arial"/>
            <w:color w:val="075A91"/>
            <w:u w:val="single"/>
            <w:sz w:val="17"/>
          </w:rPr>
          <w:t>Live dashboard: https://route2zero.netlify.app/</w:t>
        </w:r>
      </w:hyperlink>
    </w:p>
    <w:p>
      <w:pPr>
        <w:spacing w:before="0" w:after="40"/>
        <w:jc w:val="right"/>
      </w:pPr>
      <w:r>
        <w:rPr>
          <w:rFonts w:ascii="Arial" w:hAnsi="Arial"/>
          <w:b/>
          <w:i w:val="0"/>
          <w:color w:val="4B5563"/>
          <w:sz w:val="14"/>
        </w:rPr>
        <w:t>SIX MONTHS / THREE EVIDENCE GATES</w:t>
      </w:r>
    </w:p>
    <w:p>
      <w:pPr>
        <w:pStyle w:val="Title"/>
        <w:keepNext/>
        <w:spacing w:before="20" w:after="40"/>
      </w:pPr>
      <w:r>
        <w:rPr>
          <w:rFonts w:ascii="Arial" w:hAnsi="Arial"/>
          <w:b/>
          <w:i w:val="0"/>
          <w:color w:val="111111"/>
          <w:sz w:val="38"/>
        </w:rPr>
        <w:t>Six months, three evidence gates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037"/>
        <w:gridCol w:w="2045"/>
        <w:gridCol w:w="3960"/>
        <w:gridCol w:w="2635"/>
      </w:tblGrid>
      <w:tr>
        <w:trPr>
          <w:tblHeader w:val="true"/>
          <w:cantSplit/>
        </w:trPr>
        <w:tc>
          <w:tcPr>
            <w:tcW w:type="dxa" w:w="1037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Timeline</w:t>
            </w:r>
          </w:p>
        </w:tc>
        <w:tc>
          <w:tcPr>
            <w:tcW w:type="dxa" w:w="2045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Activity / Milestone</w:t>
            </w:r>
          </w:p>
        </w:tc>
        <w:tc>
          <w:tcPr>
            <w:tcW w:type="dxa" w:w="3960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Core activity</w:t>
            </w:r>
          </w:p>
        </w:tc>
        <w:tc>
          <w:tcPr>
            <w:tcW w:type="dxa" w:w="2635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Outcome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1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Baseline + model protocol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Confirm decision owners and route sample; freeze source registry/build; approve validation, ML evaluation, privacy, and climate protocols.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Pilot charter; baseline build; route sample; validation protocol; risk register.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2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Data refresh + ground truth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Desk/field-check routes; observe service; validate geometry; collect operator, charging/depot, and local equity/accessibility evidence.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Updated validation, operator, and charging ledgers; ground-truth sample; source refresh.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Gate 1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Evidence readiness review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Accept evidence plan and model-validation protocol; confirm minimum data coverage; resolve governance blockers.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Approved evidence gate or documented corrective actions.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3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Model + route validation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Compare ML estimates with refreshed observations; recalculate metrics; review anomalies; tune geometry/evidence rules and equity variables.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Pilot model evaluation; model-card update; revised evidence grades; validated flagship case.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4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Climate, charging + operator pre-feasibility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Calibrate diesel/electric assumptions; validate energy scenarios; request utility evidence; assess sites, operators, and verified constraints.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Calibrated climate scenario; charging/operator cards; optimizer-ready constraints.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Gate 2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Quality + route-set review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Accept pilot route set and model/evidence quality; hold routes with unresolved critical issues or mark them evidence-limited.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Approved route set with explicit holds and evidence limits.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5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Scenario co-design + human factors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Run policy workshops; review sensitivity; agree portfolio constraints; test Priority vs Evidence vs Stability; review assistant and accessibility.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Approved scenarios; draft portfolio; usability and governance findings.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Month 6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Decision pack + handover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Finalize portfolio, evidence queue, model card, source registry, refresh process, issue log, analyst training, and task ownership.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Accepted decision pack; final build; reproducibility package; city handover.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Gate 3</w:t>
            </w:r>
          </w:p>
        </w:tc>
        <w:tc>
          <w:tcPr>
            <w:tcW w:type="dxa" w:w="20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Acceptance</w:t>
            </w:r>
          </w:p>
        </w:tc>
        <w:tc>
          <w:tcPr>
            <w:tcW w:type="dxa" w:w="396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City decision pack and reproducibility handover accepted by named decision owners.</w:t>
            </w:r>
          </w:p>
        </w:tc>
        <w:tc>
          <w:tcPr>
            <w:tcW w:type="dxa" w:w="263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Go-forward decision and accountable next-step owners.</w:t>
            </w:r>
          </w:p>
        </w:tc>
      </w:tr>
    </w:tbl>
    <w:p>
      <w:pPr>
        <w:spacing w:before="0" w:after="0" w:line="254" w:lineRule="auto"/>
      </w:pPr>
      <w:r>
        <w:rPr>
          <w:rFonts w:ascii="Arial" w:hAnsi="Arial"/>
          <w:b w:val="0"/>
          <w:i w:val="0"/>
          <w:color w:val="111111"/>
          <w:sz w:val="14"/>
        </w:rPr>
        <w:t>Baseline traceability: build r2z-16690ccbe328 | scenario scn-c46e1d86c1 | service model service-v1-266e0b1d</w:t>
      </w:r>
    </w:p>
    <w:p>
      <w:r>
        <w:br w:type="page"/>
      </w:r>
    </w:p>
    <w:p>
      <w:pPr>
        <w:spacing w:after="20"/>
        <w:ind w:left="-1123" w:right="-1123"/>
      </w:pPr>
      <w:r>
        <w:drawing>
          <wp:inline xmlns:a="http://schemas.openxmlformats.org/drawingml/2006/main" xmlns:pic="http://schemas.openxmlformats.org/drawingml/2006/picture">
            <wp:extent cx="7560000" cy="935728"/>
            <wp:docPr id="3" name="Picture 3" descr="AI x City Climate Action Hackathon 2026 partner banner" title="AI x City Climate Action Hackathon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athon-template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3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hyperlink r:id="rId11">
        <w:r>
          <w:rPr>
            <w:rFonts w:ascii="Arial" w:hAnsi="Arial"/>
            <w:color w:val="075A91"/>
            <w:u w:val="single"/>
            <w:sz w:val="17"/>
          </w:rPr>
          <w:t>GitHub: https://github.com/qjmre23/Route2Zero</w:t>
        </w:r>
      </w:hyperlink>
      <w:r>
        <w:rPr>
          <w:rFonts w:ascii="Arial" w:hAnsi="Arial"/>
          <w:b w:val="0"/>
          <w:i w:val="0"/>
          <w:color w:val="4B5563"/>
          <w:sz w:val="16"/>
        </w:rPr>
        <w:t xml:space="preserve">   |   </w:t>
      </w:r>
      <w:hyperlink r:id="rId12">
        <w:r>
          <w:rPr>
            <w:rFonts w:ascii="Arial" w:hAnsi="Arial"/>
            <w:color w:val="075A91"/>
            <w:u w:val="single"/>
            <w:sz w:val="17"/>
          </w:rPr>
          <w:t>Live dashboard: https://route2zero.netlify.app/</w:t>
        </w:r>
      </w:hyperlink>
    </w:p>
    <w:p>
      <w:pPr>
        <w:spacing w:before="0" w:after="40"/>
        <w:jc w:val="right"/>
      </w:pPr>
      <w:r>
        <w:rPr>
          <w:rFonts w:ascii="Arial" w:hAnsi="Arial"/>
          <w:b/>
          <w:i w:val="0"/>
          <w:color w:val="4B5563"/>
          <w:sz w:val="14"/>
        </w:rPr>
        <w:t>VALIDATION / SUCCESS / RESPONSIBLE AI</w:t>
      </w:r>
    </w:p>
    <w:p>
      <w:pPr>
        <w:pStyle w:val="Title"/>
        <w:keepNext/>
        <w:spacing w:before="20" w:after="40"/>
      </w:pPr>
      <w:r>
        <w:rPr>
          <w:rFonts w:ascii="Arial" w:hAnsi="Arial"/>
          <w:b/>
          <w:i w:val="0"/>
          <w:color w:val="111111"/>
          <w:sz w:val="38"/>
        </w:rPr>
        <w:t>The pilot succeeds when the evidence and decision improve</w:t>
      </w:r>
    </w:p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SUCCESS METRICS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7877"/>
      </w:tblGrid>
      <w:tr>
        <w:trPr>
          <w:tblHeader w:val="true"/>
          <w:cantSplit/>
        </w:trPr>
        <w:tc>
          <w:tcPr>
            <w:tcW w:type="dxa" w:w="1800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Measure</w:t>
            </w:r>
          </w:p>
        </w:tc>
        <w:tc>
          <w:tcPr>
            <w:tcW w:type="dxa" w:w="7877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Pilot success evidence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Coverage</w:t>
            </w:r>
          </w:p>
        </w:tc>
        <w:tc>
          <w:tcPr>
            <w:tcW w:type="dxa" w:w="787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% pilot routes ground-checked; % shortlisted routes with complete evidence cards; critical gaps resolved.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Model</w:t>
            </w:r>
          </w:p>
        </w:tc>
        <w:tc>
          <w:tcPr>
            <w:tcW w:type="dxa" w:w="787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MAE/RMSE vs refreshed observations, improvement over baseline, and documented route-level residual review.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Decision quality</w:t>
            </w:r>
          </w:p>
        </w:tc>
        <w:tc>
          <w:tcPr>
            <w:tcW w:type="dxa" w:w="787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Evidence-grade improvement; ranking/portfolio stability before vs after validation; routes moved from evidence-limited to decision-ready.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Adoption</w:t>
            </w:r>
          </w:p>
        </w:tc>
        <w:tc>
          <w:tcPr>
            <w:tcW w:type="dxa" w:w="787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LGU/operator/utility interactions; planner task completion; understanding of Priority, Evidence, and Stability.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Handover</w:t>
            </w:r>
          </w:p>
        </w:tc>
        <w:tc>
          <w:tcPr>
            <w:tcW w:type="dxa" w:w="7877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One accepted city decision pack and one completed reproducibility/refresh handover.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VALIDATION METHODS</w:t>
      </w:r>
    </w:p>
    <w:p>
      <w:pPr>
        <w:spacing w:before="0" w:after="60" w:line="254" w:lineRule="auto"/>
      </w:pPr>
      <w:r>
        <w:rPr>
          <w:rFonts w:ascii="Arial" w:hAnsi="Arial"/>
          <w:b w:val="0"/>
          <w:i w:val="0"/>
          <w:color w:val="111111"/>
          <w:sz w:val="16"/>
        </w:rPr>
        <w:t>Field observations; operator interviews; LGU review; utility evidence requests; data reconciliation; grouped holdout testing; scenario workshops; usability/accessibility testing; stakeholder review of the flagship corridor.</w:t>
      </w:r>
    </w:p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RESPONSIBLE AI CONTROLS</w:t>
      </w:r>
    </w:p>
    <w:p>
      <w:pPr>
        <w:pStyle w:val="ListBullet"/>
        <w:spacing w:before="0" w:after="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6"/>
        </w:rPr>
        <w:t>No resident-level personal data are required for core analytics; stakeholder data are consent-based.</w:t>
      </w:r>
    </w:p>
    <w:p>
      <w:pPr>
        <w:pStyle w:val="ListBullet"/>
        <w:spacing w:before="0" w:after="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6"/>
        </w:rPr>
        <w:t>No hidden LLM score changes and no automatic funding or procurement decisions.</w:t>
      </w:r>
    </w:p>
    <w:p>
      <w:pPr>
        <w:pStyle w:val="ListBullet"/>
        <w:spacing w:before="0" w:after="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6"/>
        </w:rPr>
        <w:t>No individual poverty or informal-status inference from population density.</w:t>
      </w:r>
    </w:p>
    <w:p>
      <w:pPr>
        <w:pStyle w:val="ListBullet"/>
        <w:spacing w:before="0" w:after="0" w:line="240" w:lineRule="auto"/>
        <w:ind w:left="317" w:hanging="202"/>
      </w:pPr>
      <w:r>
        <w:rPr>
          <w:rFonts w:ascii="Arial" w:hAnsi="Arial"/>
          <w:b w:val="0"/>
          <w:i w:val="0"/>
          <w:color w:val="111111"/>
          <w:sz w:val="16"/>
        </w:rPr>
        <w:t>Stakeholders can challenge or replace evidence; an AI-disabled deterministic fallback remains available.</w:t>
      </w:r>
    </w:p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RISK REGISTER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232"/>
        <w:gridCol w:w="7445"/>
      </w:tblGrid>
      <w:tr>
        <w:trPr>
          <w:tblHeader w:val="true"/>
          <w:cantSplit/>
        </w:trPr>
        <w:tc>
          <w:tcPr>
            <w:tcW w:type="dxa" w:w="2232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Risk</w:t>
            </w:r>
          </w:p>
        </w:tc>
        <w:tc>
          <w:tcPr>
            <w:tcW w:type="dxa" w:w="7445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Control / response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Historic route data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Use current-validation ledger and field checks; retain historic-only status until verified.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Weak ML performance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Prefer observed evidence; mark model experimental; compare with baseline.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Utility capacity unavailable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Show mapped proximity only; keep capacity NOT VERIFIED; request evidence.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Operator data unavailable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Keep neutral prior explicit and raise validation priority.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Sparse geometry / equity data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Use reliability/evidence grades; validate traces; avoid unsupported settlement claims.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AI/API unavailable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Serve structured deterministic fallback; scores, scenarios, and portfolio are unaffected.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Constraint conflict</w:t>
            </w:r>
          </w:p>
        </w:tc>
        <w:tc>
          <w:tcPr>
            <w:tcW w:type="dxa" w:w="744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Show infeasibility and binding constraints; never fabricate a portfolio.</w:t>
            </w:r>
          </w:p>
        </w:tc>
      </w:tr>
    </w:tbl>
    <w:p>
      <w:r>
        <w:br w:type="page"/>
      </w:r>
    </w:p>
    <w:p>
      <w:pPr>
        <w:spacing w:after="20"/>
        <w:ind w:left="-1123" w:right="-1123"/>
      </w:pPr>
      <w:r>
        <w:drawing>
          <wp:inline xmlns:a="http://schemas.openxmlformats.org/drawingml/2006/main" xmlns:pic="http://schemas.openxmlformats.org/drawingml/2006/picture">
            <wp:extent cx="7560000" cy="935728"/>
            <wp:docPr id="4" name="Picture 4" descr="AI x City Climate Action Hackathon 2026 partner banner" title="AI x City Climate Action Hackathon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athon-template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3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hyperlink r:id="rId11">
        <w:r>
          <w:rPr>
            <w:rFonts w:ascii="Arial" w:hAnsi="Arial"/>
            <w:color w:val="075A91"/>
            <w:u w:val="single"/>
            <w:sz w:val="17"/>
          </w:rPr>
          <w:t>GitHub: https://github.com/qjmre23/Route2Zero</w:t>
        </w:r>
      </w:hyperlink>
      <w:r>
        <w:rPr>
          <w:rFonts w:ascii="Arial" w:hAnsi="Arial"/>
          <w:b w:val="0"/>
          <w:i w:val="0"/>
          <w:color w:val="4B5563"/>
          <w:sz w:val="16"/>
        </w:rPr>
        <w:t xml:space="preserve">   |   </w:t>
      </w:r>
      <w:hyperlink r:id="rId12">
        <w:r>
          <w:rPr>
            <w:rFonts w:ascii="Arial" w:hAnsi="Arial"/>
            <w:color w:val="075A91"/>
            <w:u w:val="single"/>
            <w:sz w:val="17"/>
          </w:rPr>
          <w:t>Live dashboard: https://route2zero.netlify.app/</w:t>
        </w:r>
      </w:hyperlink>
    </w:p>
    <w:p>
      <w:pPr>
        <w:spacing w:before="0" w:after="40"/>
        <w:jc w:val="right"/>
      </w:pPr>
      <w:r>
        <w:rPr>
          <w:rFonts w:ascii="Arial" w:hAnsi="Arial"/>
          <w:b/>
          <w:i w:val="0"/>
          <w:color w:val="4B5563"/>
          <w:sz w:val="14"/>
        </w:rPr>
        <w:t>TEAM STRUCTURE / PARTNERS / HANDOVER</w:t>
      </w:r>
    </w:p>
    <w:p>
      <w:pPr>
        <w:pStyle w:val="Title"/>
        <w:keepNext/>
        <w:spacing w:before="20" w:after="40"/>
      </w:pPr>
      <w:r>
        <w:rPr>
          <w:rFonts w:ascii="Arial" w:hAnsi="Arial"/>
          <w:b/>
          <w:i w:val="0"/>
          <w:color w:val="111111"/>
          <w:sz w:val="38"/>
        </w:rPr>
        <w:t>Named owners from data collection to city handover</w:t>
      </w:r>
    </w:p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TEAM STRUCTURE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930"/>
        <w:gridCol w:w="2592"/>
        <w:gridCol w:w="5155"/>
      </w:tblGrid>
      <w:tr>
        <w:trPr>
          <w:tblHeader w:val="true"/>
          <w:cantSplit/>
        </w:trPr>
        <w:tc>
          <w:tcPr>
            <w:tcW w:type="dxa" w:w="1930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Name</w:t>
            </w:r>
          </w:p>
        </w:tc>
        <w:tc>
          <w:tcPr>
            <w:tcW w:type="dxa" w:w="2592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Role</w:t>
            </w:r>
          </w:p>
        </w:tc>
        <w:tc>
          <w:tcPr>
            <w:tcW w:type="dxa" w:w="5155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4"/>
              </w:rPr>
              <w:t>Relevant background / experience / skills for this role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John Marwin Ebona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Product &amp; Pilot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City coordination, decision question, gates, integration, decision pack, handover.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Prince Marl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Data, ML &amp; Pipeline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Source registry, feature store, service model, metrics, build manifest, refresh.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Joaquin Sarmiento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Transport &amp; Field Validation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Route sampling, observations, status reconciliation, assumptions, operator workflow.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Isaac Marcus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Engineering, Optimization &amp; Deployment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Dashboard, scenarios, optimizer, Netlify, Mapbox, reliability, fallback behavior.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Andrei Dela Cruz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Policy, Governance &amp; Responsible AI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Policy controls, decision rights, workshops, risk/change control, responsible AI.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Russel Mendez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Climate, Research &amp; Evidence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Climate/energy method, source validation, confidence framework, documentation.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Tj Moreno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Stakeholder &amp; Partnership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LGU, operator, rider/community, utility and finance coordination and consent.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JM Palaganas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QA, Testing &amp; Documentation Lead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Testing, accessibility, artifact QA, claim-output checks, issue tracking.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Carl Nueva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Geospatial &amp; Infrastructure Analyst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Geometry review, spatial joins, equity layers, charging/power evidence, map QA.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Curt Mathew Garcia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Frontend &amp; UX Developer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Responsive Route Lens, portfolio UX, walkthrough mode, usability, accessibility.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Marck Morgado</w:t>
            </w:r>
          </w:p>
        </w:tc>
        <w:tc>
          <w:tcPr>
            <w:tcW w:type="dxa" w:w="259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Field Validation &amp; Logistics Coordinator</w:t>
            </w:r>
          </w:p>
        </w:tc>
        <w:tc>
          <w:tcPr>
            <w:tcW w:type="dxa" w:w="5155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Field schedules, forms, route-check records, evidence handoff, logistics.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PARTNER RESPONSIBILITIES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088"/>
        <w:gridCol w:w="7589"/>
      </w:tblGrid>
      <w:tr>
        <w:trPr>
          <w:tblHeader w:val="true"/>
          <w:cantSplit/>
        </w:trPr>
        <w:tc>
          <w:tcPr>
            <w:tcW w:type="dxa" w:w="2088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Partner</w:t>
            </w:r>
          </w:p>
        </w:tc>
        <w:tc>
          <w:tcPr>
            <w:tcW w:type="dxa" w:w="7589"/>
            <w:shd w:fill="CFE2F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1111"/>
                <w:sz w:val="15"/>
              </w:rPr>
              <w:t>Pilot responsibility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LGU</w:t>
            </w:r>
          </w:p>
        </w:tc>
        <w:tc>
          <w:tcPr>
            <w:tcW w:type="dxa" w:w="7589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Define decision context, validate evidence, join scenario workshops, review outputs, accept handover.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Operator / cooperative</w:t>
            </w:r>
          </w:p>
        </w:tc>
        <w:tc>
          <w:tcPr>
            <w:tcW w:type="dxa" w:w="7589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Validate operations, fleet/depot constraints, readiness, and feasibility.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Utility / energy</w:t>
            </w:r>
          </w:p>
        </w:tc>
        <w:tc>
          <w:tcPr>
            <w:tcW w:type="dxa" w:w="7589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Review charging assumptions and flag formal capacity/interconnection studies.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Riders / community</w:t>
            </w:r>
          </w:p>
        </w:tc>
        <w:tc>
          <w:tcPr>
            <w:tcW w:type="dxa" w:w="7589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  <w:insideH w:val="single" w:sz="9" w:color="000000"/>
              <w:insideV w:val="single" w:sz="9" w:color="000000"/>
            </w:tcBorders>
            <w:tcMar>
              <w:top w:w="68" w:type="dxa"/>
              <w:start w:w="100" w:type="dxa"/>
              <w:bottom w:w="68" w:type="dxa"/>
              <w:end w:w="100" w:type="dxa"/>
            </w:tcMar>
            <w:shd w:fill="F8FAFC"/>
            <w:vAlign w:val="top"/>
          </w:tcPr>
          <w:p>
            <w:pPr>
              <w:spacing w:after="0" w:line="235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Validate access concerns and challenge equity assumptions where relevant.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Arial" w:hAnsi="Arial"/>
          <w:b/>
          <w:i w:val="0"/>
          <w:color w:val="0B2E59"/>
          <w:sz w:val="23"/>
        </w:rPr>
        <w:t>HANDOVER AND SCALE</w:t>
      </w:r>
    </w:p>
    <w:p>
      <w:pPr>
        <w:spacing w:before="0" w:after="0" w:line="254" w:lineRule="auto"/>
      </w:pPr>
      <w:r>
        <w:rPr>
          <w:rFonts w:ascii="Arial" w:hAnsi="Arial"/>
          <w:b w:val="0"/>
          <w:i w:val="0"/>
          <w:color w:val="111111"/>
          <w:sz w:val="14"/>
        </w:rPr>
        <w:t>Handover: final build, model card, source registry, validation ledgers, scenario library, decision pack, issue register, refresh/retraining runbook, governance notes, and a city owner for each unresolved issue. Scale requires local adapters, recalibration, and validation; the Metro Manila model is not copied unchanged.</w:t>
      </w:r>
    </w:p>
    <w:sectPr w:rsidR="00FC693F" w:rsidRPr="0006063C" w:rsidSect="00034616">
      <w:footerReference w:type="default" r:id="rId9"/>
      <w:pgSz w:w="11906" w:h="16838"/>
      <w:pgMar w:top="216" w:right="1123" w:bottom="605" w:left="1123" w:header="144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B5563"/>
        <w:sz w:val="14"/>
      </w:rPr>
      <w:t xml:space="preserve">Team Larpers  |  Route2Zero  |  </w:t>
    </w:r>
    <w:r>
      <w:rPr>
        <w:rFonts w:ascii="Arial" w:hAnsi="Arial"/>
        <w:b w:val="0"/>
        <w:i w:val="0"/>
        <w:color w:val="4B5563"/>
        <w:sz w:val="14"/>
      </w:rPr>
      <w:t xml:space="preserve">Page </w:t>
    </w:r>
    <w:fldSimple w:instr="PAGE"/>
    <w:r>
      <w:rPr>
        <w:rFonts w:ascii="Arial" w:hAnsi="Arial"/>
        <w:b w:val="0"/>
        <w:i w:val="0"/>
        <w:color w:val="4B5563"/>
        <w:sz w:val="14"/>
      </w:rPr>
      <w:t xml:space="preserve"> of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2E5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qjmre23/Route2Zero" TargetMode="External"/><Relationship Id="rId12" Type="http://schemas.openxmlformats.org/officeDocument/2006/relationships/hyperlink" Target="https://route2zer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Larpers - Route2Zero Six-Month City Pilot Plan</dc:title>
  <dc:subject>AI x City Climate Action Hackathon 2026 Pilot Plan</dc:subject>
  <dc:creator>Team Larpers</dc:creator>
  <cp:keywords>Route2Zero, e-jeepney, climate action, urban transportation, pilot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