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pageBreakBefore w:val="0"/>
        <w:spacing w:after="20"/>
        <w:ind w:left="-1123" w:right="-1123"/>
      </w:pPr>
      <w:r>
        <w:drawing>
          <wp:inline xmlns:a="http://schemas.openxmlformats.org/drawingml/2006/main" xmlns:pic="http://schemas.openxmlformats.org/drawingml/2006/picture">
            <wp:extent cx="7560000" cy="935728"/>
            <wp:docPr id="1" name="Picture 1" descr="AI x City Climate Action Hackathon 2026 partner banner" title="AI x City Climate Action Hackathon 20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ackathon-template-banner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9357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0" w:after="20"/>
      </w:pPr>
      <w:hyperlink r:id="rId11">
        <w:r>
          <w:rPr>
            <w:rFonts w:ascii="Arial" w:hAnsi="Arial"/>
            <w:color w:val="075A91"/>
            <w:u w:val="single"/>
            <w:sz w:val="17"/>
          </w:rPr>
          <w:t>GitHub: https://github.com/qjmre23/Route2Zero</w:t>
        </w:r>
      </w:hyperlink>
      <w:r>
        <w:rPr>
          <w:rFonts w:ascii="Arial" w:hAnsi="Arial"/>
          <w:b w:val="0"/>
          <w:i w:val="0"/>
          <w:color w:val="4B5563"/>
          <w:sz w:val="16"/>
        </w:rPr>
        <w:t xml:space="preserve">   |   </w:t>
      </w:r>
      <w:hyperlink r:id="rId12">
        <w:r>
          <w:rPr>
            <w:rFonts w:ascii="Arial" w:hAnsi="Arial"/>
            <w:color w:val="075A91"/>
            <w:u w:val="single"/>
            <w:sz w:val="17"/>
          </w:rPr>
          <w:t>Live dashboard: https://route2zero.netlify.app/</w:t>
        </w:r>
      </w:hyperlink>
    </w:p>
    <w:p>
      <w:pPr>
        <w:keepNext/>
        <w:spacing w:before="0" w:after="40"/>
        <w:jc w:val="right"/>
      </w:pPr>
      <w:r>
        <w:rPr>
          <w:rFonts w:ascii="Arial" w:hAnsi="Arial"/>
          <w:b/>
          <w:i w:val="0"/>
          <w:color w:val="4B5563"/>
          <w:sz w:val="14"/>
        </w:rPr>
        <w:t>TEAM LARPERS / ROUTE2ZERO / PILOT PLAN</w:t>
      </w:r>
    </w:p>
    <w:p>
      <w:pPr>
        <w:pStyle w:val="Title"/>
        <w:keepNext/>
        <w:spacing w:before="20" w:after="40"/>
      </w:pPr>
      <w:r>
        <w:rPr>
          <w:rFonts w:ascii="Arial" w:hAnsi="Arial"/>
          <w:b/>
          <w:i w:val="0"/>
          <w:color w:val="111111"/>
          <w:sz w:val="38"/>
        </w:rPr>
        <w:t>Team Larpers Pilot Plan</w:t>
      </w:r>
    </w:p>
    <w:p>
      <w:pPr>
        <w:keepNext/>
        <w:spacing w:before="0" w:after="100"/>
      </w:pPr>
      <w:r>
        <w:rPr>
          <w:rFonts w:ascii="Arial" w:hAnsi="Arial"/>
          <w:b w:val="0"/>
          <w:i w:val="0"/>
          <w:color w:val="0B2E59"/>
          <w:sz w:val="20"/>
        </w:rPr>
        <w:t>Route2Zero Six-Month City Pilot</w:t>
      </w:r>
    </w:p>
    <w:tbl>
      <w:tblPr>
        <w:tblW w:type="dxa" w:w="9677"/>
        <w:jc w:val="center"/>
        <w:tblLayout w:type="fixed"/>
        <w:tblLook w:firstColumn="1" w:firstRow="1" w:lastColumn="0" w:lastRow="0" w:noHBand="0" w:noVBand="1" w:val="04A0"/>
        <w:tblInd w:w="140" w:type="dxa"/>
      </w:tblPr>
      <w:tblGrid>
        <w:gridCol w:w="9677"/>
      </w:tblGrid>
      <w:tr>
        <w:trPr>
          <w:tblHeader w:val="true"/>
        </w:trPr>
        <w:tc>
          <w:tcPr>
            <w:tcW w:type="dxa" w:w="9677"/>
            <w:shd w:fill="F5F8FC"/>
            <w:tcBorders>
              <w:top w:val="single" w:sz="8" w:color="9FBAD0"/>
              <w:left w:val="single" w:sz="8" w:color="9FBAD0"/>
              <w:bottom w:val="single" w:sz="8" w:color="9FBAD0"/>
              <w:right w:val="single" w:sz="8" w:color="9FBAD0"/>
              <w:insideH w:val="single" w:sz="8" w:color="9FBAD0"/>
              <w:insideV w:val="single" w:sz="8" w:color="9FBAD0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pPr>
              <w:spacing w:after="40"/>
            </w:pPr>
            <w:r>
              <w:rPr>
                <w:rFonts w:ascii="Arial" w:hAnsi="Arial"/>
                <w:b/>
                <w:i w:val="0"/>
                <w:color w:val="0B2E59"/>
                <w:sz w:val="18"/>
              </w:rPr>
              <w:t>City pilot question</w:t>
            </w:r>
          </w:p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111111"/>
                <w:sz w:val="18"/>
              </w:rPr>
              <w:t>Can Route2Zero produce a city-owned, evidence-backed e-jeepney Phase-1 portfolio whose climate, equity, infrastructure, operator, and uncertainty assumptions have been tested against real local evidence?</w:t>
            </w:r>
          </w:p>
        </w:tc>
      </w:tr>
    </w:tbl>
    <w:p>
      <w:pPr>
        <w:pStyle w:val="Heading1"/>
        <w:keepNext/>
        <w:spacing w:before="80" w:after="60"/>
      </w:pPr>
      <w:r>
        <w:rPr>
          <w:rFonts w:ascii="Arial" w:hAnsi="Arial"/>
          <w:b/>
          <w:i w:val="0"/>
          <w:color w:val="0B2E59"/>
          <w:sz w:val="23"/>
        </w:rPr>
        <w:t>PILOT PURPOSE</w:t>
      </w:r>
    </w:p>
    <w:p>
      <w:pPr>
        <w:spacing w:before="0" w:after="60" w:line="254" w:lineRule="auto"/>
      </w:pPr>
      <w:r>
        <w:rPr>
          <w:rFonts w:ascii="Arial" w:hAnsi="Arial"/>
          <w:b w:val="0"/>
          <w:i w:val="0"/>
          <w:color w:val="111111"/>
          <w:sz w:val="18"/>
        </w:rPr>
        <w:t>Convert Route2Zero 2.1 from an evidence-based prototype into a locally validated planning workflow that cities can inspect, challenge, refresh, and own.</w:t>
      </w:r>
    </w:p>
    <w:p>
      <w:pPr>
        <w:pStyle w:val="Heading1"/>
        <w:keepNext/>
        <w:spacing w:before="80" w:after="60"/>
      </w:pPr>
      <w:r>
        <w:rPr>
          <w:rFonts w:ascii="Arial" w:hAnsi="Arial"/>
          <w:b/>
          <w:i w:val="0"/>
          <w:color w:val="0B2E59"/>
          <w:sz w:val="23"/>
        </w:rPr>
        <w:t>PILOT SCOPE</w:t>
      </w:r>
    </w:p>
    <w:p>
      <w:pPr>
        <w:pStyle w:val="ListBullet"/>
        <w:spacing w:before="0" w:after="20" w:line="240" w:lineRule="auto"/>
        <w:ind w:left="317" w:hanging="202"/>
      </w:pPr>
      <w:r>
        <w:rPr>
          <w:rFonts w:ascii="Arial" w:hAnsi="Arial"/>
          <w:b w:val="0"/>
          <w:i w:val="0"/>
          <w:color w:val="111111"/>
          <w:sz w:val="17"/>
        </w:rPr>
        <w:t>Begin with one lead LGU; add one comparison LGU only after Gate 1 and a signed second-city pilot agreement.</w:t>
      </w:r>
    </w:p>
    <w:p>
      <w:pPr>
        <w:pStyle w:val="ListBullet"/>
        <w:spacing w:before="0" w:after="20" w:line="240" w:lineRule="auto"/>
        <w:ind w:left="317" w:hanging="202"/>
      </w:pPr>
      <w:r>
        <w:rPr>
          <w:rFonts w:ascii="Arial" w:hAnsi="Arial"/>
          <w:b w:val="0"/>
          <w:i w:val="0"/>
          <w:color w:val="111111"/>
          <w:sz w:val="17"/>
        </w:rPr>
        <w:t>Validate a manageable corridor sample, one flagship corridor, and a broader Phase-1 shortlist.</w:t>
      </w:r>
    </w:p>
    <w:p>
      <w:pPr>
        <w:pStyle w:val="ListBullet"/>
        <w:spacing w:before="0" w:after="20" w:line="240" w:lineRule="auto"/>
        <w:ind w:left="317" w:hanging="202"/>
      </w:pPr>
      <w:r>
        <w:rPr>
          <w:rFonts w:ascii="Arial" w:hAnsi="Arial"/>
          <w:b w:val="0"/>
          <w:i w:val="0"/>
          <w:color w:val="111111"/>
          <w:sz w:val="17"/>
        </w:rPr>
        <w:t>Engage relevant operators/cooperatives, a utility or energy counterpart, and rider/community representatives where appropriate.</w:t>
      </w:r>
    </w:p>
    <w:p>
      <w:pPr>
        <w:pStyle w:val="ListBullet"/>
        <w:spacing w:before="0" w:after="20" w:line="240" w:lineRule="auto"/>
        <w:ind w:left="317" w:hanging="202"/>
      </w:pPr>
      <w:r>
        <w:rPr>
          <w:rFonts w:ascii="Arial" w:hAnsi="Arial"/>
          <w:b w:val="0"/>
          <w:i w:val="0"/>
          <w:color w:val="111111"/>
          <w:sz w:val="17"/>
        </w:rPr>
        <w:t>Test ML service estimates, climate assumptions, route geometry, equity evidence, charging evidence, operator readiness, policy scenarios, robustness, and portfolio constraints.</w:t>
      </w:r>
    </w:p>
    <w:p>
      <w:pPr>
        <w:pStyle w:val="Heading1"/>
        <w:keepNext/>
        <w:spacing w:before="80" w:after="60"/>
      </w:pPr>
      <w:r>
        <w:rPr>
          <w:rFonts w:ascii="Arial" w:hAnsi="Arial"/>
          <w:b/>
          <w:i w:val="0"/>
          <w:color w:val="0B2E59"/>
          <w:sz w:val="23"/>
        </w:rPr>
        <w:t>SIX-MONTH OUTCOME</w:t>
      </w:r>
    </w:p>
    <w:tbl>
      <w:tblPr>
        <w:tblW w:type="dxa" w:w="9677"/>
        <w:jc w:val="center"/>
        <w:tblLayout w:type="fixed"/>
        <w:tblLook w:firstColumn="1" w:firstRow="1" w:lastColumn="0" w:lastRow="0" w:noHBand="0" w:noVBand="1" w:val="04A0"/>
        <w:tblInd w:w="100" w:type="dxa"/>
      </w:tblPr>
      <w:tblGrid>
        <w:gridCol w:w="1944"/>
        <w:gridCol w:w="7733"/>
      </w:tblGrid>
      <w:tr>
        <w:trPr>
          <w:tblHeader w:val="true"/>
          <w:cantSplit/>
        </w:trPr>
        <w:tc>
          <w:tcPr>
            <w:tcW w:type="dxa" w:w="1944"/>
            <w:shd w:fill="CFE2F3"/>
            <w:tcBorders>
              <w:top w:val="single" w:sz="9" w:color="000000"/>
              <w:left w:val="single" w:sz="9" w:color="000000"/>
              <w:bottom w:val="single" w:sz="9" w:color="000000"/>
              <w:right w:val="single" w:sz="9" w:color="000000"/>
              <w:insideH w:val="single" w:sz="9" w:color="000000"/>
              <w:insideV w:val="single" w:sz="9" w:color="000000"/>
            </w:tcBorders>
            <w:tcMar>
              <w:top w:w="82" w:type="dxa"/>
              <w:start w:w="100" w:type="dxa"/>
              <w:bottom w:w="82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11111"/>
                <w:sz w:val="17"/>
              </w:rPr>
              <w:t>Outcome area</w:t>
            </w:r>
          </w:p>
        </w:tc>
        <w:tc>
          <w:tcPr>
            <w:tcW w:type="dxa" w:w="7733"/>
            <w:shd w:fill="CFE2F3"/>
            <w:tcBorders>
              <w:top w:val="single" w:sz="9" w:color="000000"/>
              <w:left w:val="single" w:sz="9" w:color="000000"/>
              <w:bottom w:val="single" w:sz="9" w:color="000000"/>
              <w:right w:val="single" w:sz="9" w:color="000000"/>
              <w:insideH w:val="single" w:sz="9" w:color="000000"/>
              <w:insideV w:val="single" w:sz="9" w:color="000000"/>
            </w:tcBorders>
            <w:tcMar>
              <w:top w:w="82" w:type="dxa"/>
              <w:start w:w="100" w:type="dxa"/>
              <w:bottom w:w="82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11111"/>
                <w:sz w:val="17"/>
              </w:rPr>
              <w:t>Deliverable</w:t>
            </w:r>
          </w:p>
        </w:tc>
      </w:tr>
      <w:tr>
        <w:trPr>
          <w:cantSplit/>
        </w:trPr>
        <w:tc>
          <w:tcPr>
            <w:tcW w:type="dxa" w:w="1944"/>
            <w:tcBorders>
              <w:top w:val="single" w:sz="9" w:color="000000"/>
              <w:left w:val="single" w:sz="9" w:color="000000"/>
              <w:bottom w:val="single" w:sz="9" w:color="000000"/>
              <w:right w:val="single" w:sz="9" w:color="000000"/>
              <w:insideH w:val="single" w:sz="9" w:color="000000"/>
              <w:insideV w:val="single" w:sz="9" w:color="000000"/>
            </w:tcBorders>
            <w:tcMar>
              <w:top w:w="68" w:type="dxa"/>
              <w:start w:w="100" w:type="dxa"/>
              <w:bottom w:w="68" w:type="dxa"/>
              <w:end w:w="100" w:type="dxa"/>
            </w:tcMar>
            <w:vAlign w:val="top"/>
          </w:tcPr>
          <w:p>
            <w:pPr>
              <w:spacing w:after="0" w:line="235" w:lineRule="auto"/>
            </w:pPr>
            <w:r>
              <w:rPr>
                <w:rFonts w:ascii="Arial" w:hAnsi="Arial"/>
                <w:b w:val="0"/>
                <w:i w:val="0"/>
                <w:color w:val="111111"/>
                <w:sz w:val="17"/>
              </w:rPr>
              <w:t>Decision</w:t>
            </w:r>
          </w:p>
        </w:tc>
        <w:tc>
          <w:tcPr>
            <w:tcW w:type="dxa" w:w="7733"/>
            <w:tcBorders>
              <w:top w:val="single" w:sz="9" w:color="000000"/>
              <w:left w:val="single" w:sz="9" w:color="000000"/>
              <w:bottom w:val="single" w:sz="9" w:color="000000"/>
              <w:right w:val="single" w:sz="9" w:color="000000"/>
              <w:insideH w:val="single" w:sz="9" w:color="000000"/>
              <w:insideV w:val="single" w:sz="9" w:color="000000"/>
            </w:tcBorders>
            <w:tcMar>
              <w:top w:w="68" w:type="dxa"/>
              <w:start w:w="100" w:type="dxa"/>
              <w:bottom w:w="68" w:type="dxa"/>
              <w:end w:w="100" w:type="dxa"/>
            </w:tcMar>
            <w:vAlign w:val="top"/>
          </w:tcPr>
          <w:p>
            <w:pPr>
              <w:spacing w:after="0" w:line="235" w:lineRule="auto"/>
            </w:pPr>
            <w:r>
              <w:rPr>
                <w:rFonts w:ascii="Arial" w:hAnsi="Arial"/>
                <w:b w:val="0"/>
                <w:i w:val="0"/>
                <w:color w:val="111111"/>
                <w:sz w:val="17"/>
              </w:rPr>
              <w:t>City-owned Phase-1 portfolio or shortlist with named next actions.</w:t>
            </w:r>
          </w:p>
        </w:tc>
      </w:tr>
      <w:tr>
        <w:trPr>
          <w:cantSplit/>
        </w:trPr>
        <w:tc>
          <w:tcPr>
            <w:tcW w:type="dxa" w:w="1944"/>
            <w:tcBorders>
              <w:top w:val="single" w:sz="9" w:color="000000"/>
              <w:left w:val="single" w:sz="9" w:color="000000"/>
              <w:bottom w:val="single" w:sz="9" w:color="000000"/>
              <w:right w:val="single" w:sz="9" w:color="000000"/>
              <w:insideH w:val="single" w:sz="9" w:color="000000"/>
              <w:insideV w:val="single" w:sz="9" w:color="000000"/>
            </w:tcBorders>
            <w:tcMar>
              <w:top w:w="68" w:type="dxa"/>
              <w:start w:w="100" w:type="dxa"/>
              <w:bottom w:w="68" w:type="dxa"/>
              <w:end w:w="100" w:type="dxa"/>
            </w:tcMar>
            <w:shd w:fill="F8FAFC"/>
            <w:vAlign w:val="top"/>
          </w:tcPr>
          <w:p>
            <w:pPr>
              <w:spacing w:after="0" w:line="235" w:lineRule="auto"/>
            </w:pPr>
            <w:r>
              <w:rPr>
                <w:rFonts w:ascii="Arial" w:hAnsi="Arial"/>
                <w:b w:val="0"/>
                <w:i w:val="0"/>
                <w:color w:val="111111"/>
                <w:sz w:val="17"/>
              </w:rPr>
              <w:t>Evidence</w:t>
            </w:r>
          </w:p>
        </w:tc>
        <w:tc>
          <w:tcPr>
            <w:tcW w:type="dxa" w:w="7733"/>
            <w:tcBorders>
              <w:top w:val="single" w:sz="9" w:color="000000"/>
              <w:left w:val="single" w:sz="9" w:color="000000"/>
              <w:bottom w:val="single" w:sz="9" w:color="000000"/>
              <w:right w:val="single" w:sz="9" w:color="000000"/>
              <w:insideH w:val="single" w:sz="9" w:color="000000"/>
              <w:insideV w:val="single" w:sz="9" w:color="000000"/>
            </w:tcBorders>
            <w:tcMar>
              <w:top w:w="68" w:type="dxa"/>
              <w:start w:w="100" w:type="dxa"/>
              <w:bottom w:w="68" w:type="dxa"/>
              <w:end w:w="100" w:type="dxa"/>
            </w:tcMar>
            <w:shd w:fill="F8FAFC"/>
            <w:vAlign w:val="top"/>
          </w:tcPr>
          <w:p>
            <w:pPr>
              <w:spacing w:after="0" w:line="235" w:lineRule="auto"/>
            </w:pPr>
            <w:r>
              <w:rPr>
                <w:rFonts w:ascii="Arial" w:hAnsi="Arial"/>
                <w:b w:val="0"/>
                <w:i w:val="0"/>
                <w:color w:val="111111"/>
                <w:sz w:val="17"/>
              </w:rPr>
              <w:t>Validated route cards, source registry, validation ledgers, and unresolved evidence owners.</w:t>
            </w:r>
          </w:p>
        </w:tc>
      </w:tr>
      <w:tr>
        <w:trPr>
          <w:cantSplit/>
        </w:trPr>
        <w:tc>
          <w:tcPr>
            <w:tcW w:type="dxa" w:w="1944"/>
            <w:tcBorders>
              <w:top w:val="single" w:sz="9" w:color="000000"/>
              <w:left w:val="single" w:sz="9" w:color="000000"/>
              <w:bottom w:val="single" w:sz="9" w:color="000000"/>
              <w:right w:val="single" w:sz="9" w:color="000000"/>
              <w:insideH w:val="single" w:sz="9" w:color="000000"/>
              <w:insideV w:val="single" w:sz="9" w:color="000000"/>
            </w:tcBorders>
            <w:tcMar>
              <w:top w:w="68" w:type="dxa"/>
              <w:start w:w="100" w:type="dxa"/>
              <w:bottom w:w="68" w:type="dxa"/>
              <w:end w:w="100" w:type="dxa"/>
            </w:tcMar>
            <w:vAlign w:val="top"/>
          </w:tcPr>
          <w:p>
            <w:pPr>
              <w:spacing w:after="0" w:line="235" w:lineRule="auto"/>
            </w:pPr>
            <w:r>
              <w:rPr>
                <w:rFonts w:ascii="Arial" w:hAnsi="Arial"/>
                <w:b w:val="0"/>
                <w:i w:val="0"/>
                <w:color w:val="111111"/>
                <w:sz w:val="17"/>
              </w:rPr>
              <w:t>Models</w:t>
            </w:r>
          </w:p>
        </w:tc>
        <w:tc>
          <w:tcPr>
            <w:tcW w:type="dxa" w:w="7733"/>
            <w:tcBorders>
              <w:top w:val="single" w:sz="9" w:color="000000"/>
              <w:left w:val="single" w:sz="9" w:color="000000"/>
              <w:bottom w:val="single" w:sz="9" w:color="000000"/>
              <w:right w:val="single" w:sz="9" w:color="000000"/>
              <w:insideH w:val="single" w:sz="9" w:color="000000"/>
              <w:insideV w:val="single" w:sz="9" w:color="000000"/>
            </w:tcBorders>
            <w:tcMar>
              <w:top w:w="68" w:type="dxa"/>
              <w:start w:w="100" w:type="dxa"/>
              <w:bottom w:w="68" w:type="dxa"/>
              <w:end w:w="100" w:type="dxa"/>
            </w:tcMar>
            <w:vAlign w:val="top"/>
          </w:tcPr>
          <w:p>
            <w:pPr>
              <w:spacing w:after="0" w:line="235" w:lineRule="auto"/>
            </w:pPr>
            <w:r>
              <w:rPr>
                <w:rFonts w:ascii="Arial" w:hAnsi="Arial"/>
                <w:b w:val="0"/>
                <w:i w:val="0"/>
                <w:color w:val="111111"/>
                <w:sz w:val="17"/>
              </w:rPr>
              <w:t>Calibrated service-intensity model, climate scenarios, model card, and evidence-confidence rules.</w:t>
            </w:r>
          </w:p>
        </w:tc>
      </w:tr>
      <w:tr>
        <w:trPr>
          <w:cantSplit/>
        </w:trPr>
        <w:tc>
          <w:tcPr>
            <w:tcW w:type="dxa" w:w="1944"/>
            <w:tcBorders>
              <w:top w:val="single" w:sz="9" w:color="000000"/>
              <w:left w:val="single" w:sz="9" w:color="000000"/>
              <w:bottom w:val="single" w:sz="9" w:color="000000"/>
              <w:right w:val="single" w:sz="9" w:color="000000"/>
              <w:insideH w:val="single" w:sz="9" w:color="000000"/>
              <w:insideV w:val="single" w:sz="9" w:color="000000"/>
            </w:tcBorders>
            <w:tcMar>
              <w:top w:w="68" w:type="dxa"/>
              <w:start w:w="100" w:type="dxa"/>
              <w:bottom w:w="68" w:type="dxa"/>
              <w:end w:w="100" w:type="dxa"/>
            </w:tcMar>
            <w:shd w:fill="F8FAFC"/>
            <w:vAlign w:val="top"/>
          </w:tcPr>
          <w:p>
            <w:pPr>
              <w:spacing w:after="0" w:line="235" w:lineRule="auto"/>
            </w:pPr>
            <w:r>
              <w:rPr>
                <w:rFonts w:ascii="Arial" w:hAnsi="Arial"/>
                <w:b w:val="0"/>
                <w:i w:val="0"/>
                <w:color w:val="111111"/>
                <w:sz w:val="17"/>
              </w:rPr>
              <w:t>Operations</w:t>
            </w:r>
          </w:p>
        </w:tc>
        <w:tc>
          <w:tcPr>
            <w:tcW w:type="dxa" w:w="7733"/>
            <w:tcBorders>
              <w:top w:val="single" w:sz="9" w:color="000000"/>
              <w:left w:val="single" w:sz="9" w:color="000000"/>
              <w:bottom w:val="single" w:sz="9" w:color="000000"/>
              <w:right w:val="single" w:sz="9" w:color="000000"/>
              <w:insideH w:val="single" w:sz="9" w:color="000000"/>
              <w:insideV w:val="single" w:sz="9" w:color="000000"/>
            </w:tcBorders>
            <w:tcMar>
              <w:top w:w="68" w:type="dxa"/>
              <w:start w:w="100" w:type="dxa"/>
              <w:bottom w:w="68" w:type="dxa"/>
              <w:end w:w="100" w:type="dxa"/>
            </w:tcMar>
            <w:shd w:fill="F8FAFC"/>
            <w:vAlign w:val="top"/>
          </w:tcPr>
          <w:p>
            <w:pPr>
              <w:spacing w:after="0" w:line="235" w:lineRule="auto"/>
            </w:pPr>
            <w:r>
              <w:rPr>
                <w:rFonts w:ascii="Arial" w:hAnsi="Arial"/>
                <w:b w:val="0"/>
                <w:i w:val="0"/>
                <w:color w:val="111111"/>
                <w:sz w:val="17"/>
              </w:rPr>
              <w:t>Scenario library, decision pack, refresh/retraining runbook, and reproducibility handover.</w:t>
            </w:r>
          </w:p>
        </w:tc>
      </w:tr>
    </w:tbl>
    <w:p>
      <w:pPr>
        <w:pStyle w:val="Heading1"/>
        <w:keepNext/>
        <w:spacing w:before="80" w:after="60"/>
      </w:pPr>
      <w:r>
        <w:rPr>
          <w:rFonts w:ascii="Arial" w:hAnsi="Arial"/>
          <w:b/>
          <w:i w:val="0"/>
          <w:color w:val="0B2E59"/>
          <w:sz w:val="23"/>
        </w:rPr>
        <w:t>PILOT PATHWAY</w:t>
      </w:r>
    </w:p>
    <w:tbl>
      <w:tblPr>
        <w:tblW w:type="dxa" w:w="9650"/>
        <w:jc w:val="center"/>
        <w:tblLayout w:type="fixed"/>
        <w:tblLook w:firstColumn="1" w:firstRow="1" w:lastColumn="0" w:lastRow="0" w:noHBand="0" w:noVBand="1" w:val="04A0"/>
        <w:tblInd w:w="40" w:type="dxa"/>
      </w:tblPr>
      <w:tblGrid>
        <w:gridCol w:w="1930"/>
        <w:gridCol w:w="1930"/>
        <w:gridCol w:w="1930"/>
        <w:gridCol w:w="1930"/>
        <w:gridCol w:w="1930"/>
      </w:tblGrid>
      <w:tr>
        <w:trPr>
          <w:tblHeader w:val="true"/>
        </w:trPr>
        <w:tc>
          <w:tcPr>
            <w:tcW w:type="dxa" w:w="1930"/>
            <w:shd w:fill="CFE2F3"/>
            <w:tcBorders>
              <w:top w:val="single" w:sz="8" w:color="9FBAD0"/>
              <w:left w:val="single" w:sz="8" w:color="9FBAD0"/>
              <w:bottom w:val="single" w:sz="8" w:color="9FBAD0"/>
              <w:right w:val="single" w:sz="8" w:color="9FBAD0"/>
              <w:insideH w:val="single" w:sz="8" w:color="9FBAD0"/>
              <w:insideV w:val="single" w:sz="8" w:color="9FBAD0"/>
            </w:tcBorders>
            <w:tcMar>
              <w:top w:w="100" w:type="dxa"/>
              <w:start w:w="40" w:type="dxa"/>
              <w:bottom w:w="100" w:type="dxa"/>
              <w:end w:w="40" w:type="dxa"/>
            </w:tcMar>
          </w:tcPr>
          <w:p>
            <w:pPr>
              <w:spacing w:after="0"/>
              <w:jc w:val="center"/>
            </w:pPr>
            <w:r>
              <w:rPr>
                <w:rFonts w:ascii="Arial" w:hAnsi="Arial"/>
                <w:b/>
                <w:i w:val="0"/>
                <w:color w:val="0B2E59"/>
                <w:sz w:val="15"/>
              </w:rPr>
              <w:t>PROTOTYPE</w:t>
            </w:r>
          </w:p>
        </w:tc>
        <w:tc>
          <w:tcPr>
            <w:tcW w:type="dxa" w:w="1930"/>
            <w:shd w:fill="F5F8FC"/>
            <w:tcBorders>
              <w:top w:val="single" w:sz="8" w:color="9FBAD0"/>
              <w:left w:val="single" w:sz="8" w:color="9FBAD0"/>
              <w:bottom w:val="single" w:sz="8" w:color="9FBAD0"/>
              <w:right w:val="single" w:sz="8" w:color="9FBAD0"/>
              <w:insideH w:val="single" w:sz="8" w:color="9FBAD0"/>
              <w:insideV w:val="single" w:sz="8" w:color="9FBAD0"/>
            </w:tcBorders>
            <w:tcMar>
              <w:top w:w="100" w:type="dxa"/>
              <w:start w:w="40" w:type="dxa"/>
              <w:bottom w:w="100" w:type="dxa"/>
              <w:end w:w="40" w:type="dxa"/>
            </w:tcMar>
          </w:tcPr>
          <w:p>
            <w:pPr>
              <w:spacing w:after="0"/>
              <w:jc w:val="center"/>
            </w:pPr>
            <w:r>
              <w:rPr>
                <w:rFonts w:ascii="Arial" w:hAnsi="Arial"/>
                <w:b/>
                <w:i w:val="0"/>
                <w:color w:val="0B2E59"/>
                <w:sz w:val="15"/>
              </w:rPr>
              <w:t>VALIDATE</w:t>
            </w:r>
          </w:p>
        </w:tc>
        <w:tc>
          <w:tcPr>
            <w:tcW w:type="dxa" w:w="1930"/>
            <w:shd w:fill="CFE2F3"/>
            <w:tcBorders>
              <w:top w:val="single" w:sz="8" w:color="9FBAD0"/>
              <w:left w:val="single" w:sz="8" w:color="9FBAD0"/>
              <w:bottom w:val="single" w:sz="8" w:color="9FBAD0"/>
              <w:right w:val="single" w:sz="8" w:color="9FBAD0"/>
              <w:insideH w:val="single" w:sz="8" w:color="9FBAD0"/>
              <w:insideV w:val="single" w:sz="8" w:color="9FBAD0"/>
            </w:tcBorders>
            <w:tcMar>
              <w:top w:w="100" w:type="dxa"/>
              <w:start w:w="40" w:type="dxa"/>
              <w:bottom w:w="100" w:type="dxa"/>
              <w:end w:w="40" w:type="dxa"/>
            </w:tcMar>
          </w:tcPr>
          <w:p>
            <w:pPr>
              <w:spacing w:after="0"/>
              <w:jc w:val="center"/>
            </w:pPr>
            <w:r>
              <w:rPr>
                <w:rFonts w:ascii="Arial" w:hAnsi="Arial"/>
                <w:b/>
                <w:i w:val="0"/>
                <w:color w:val="0B2E59"/>
                <w:sz w:val="15"/>
              </w:rPr>
              <w:t>CALIBRATE</w:t>
            </w:r>
          </w:p>
        </w:tc>
        <w:tc>
          <w:tcPr>
            <w:tcW w:type="dxa" w:w="1930"/>
            <w:shd w:fill="F5F8FC"/>
            <w:tcBorders>
              <w:top w:val="single" w:sz="8" w:color="9FBAD0"/>
              <w:left w:val="single" w:sz="8" w:color="9FBAD0"/>
              <w:bottom w:val="single" w:sz="8" w:color="9FBAD0"/>
              <w:right w:val="single" w:sz="8" w:color="9FBAD0"/>
              <w:insideH w:val="single" w:sz="8" w:color="9FBAD0"/>
              <w:insideV w:val="single" w:sz="8" w:color="9FBAD0"/>
            </w:tcBorders>
            <w:tcMar>
              <w:top w:w="100" w:type="dxa"/>
              <w:start w:w="40" w:type="dxa"/>
              <w:bottom w:w="100" w:type="dxa"/>
              <w:end w:w="40" w:type="dxa"/>
            </w:tcMar>
          </w:tcPr>
          <w:p>
            <w:pPr>
              <w:spacing w:after="0"/>
              <w:jc w:val="center"/>
            </w:pPr>
            <w:r>
              <w:rPr>
                <w:rFonts w:ascii="Arial" w:hAnsi="Arial"/>
                <w:b/>
                <w:i w:val="0"/>
                <w:color w:val="0B2E59"/>
                <w:sz w:val="15"/>
              </w:rPr>
              <w:t>CO-DESIGN</w:t>
            </w:r>
          </w:p>
        </w:tc>
        <w:tc>
          <w:tcPr>
            <w:tcW w:type="dxa" w:w="1930"/>
            <w:shd w:fill="CFE2F3"/>
            <w:tcBorders>
              <w:top w:val="single" w:sz="8" w:color="9FBAD0"/>
              <w:left w:val="single" w:sz="8" w:color="9FBAD0"/>
              <w:bottom w:val="single" w:sz="8" w:color="9FBAD0"/>
              <w:right w:val="single" w:sz="8" w:color="9FBAD0"/>
              <w:insideH w:val="single" w:sz="8" w:color="9FBAD0"/>
              <w:insideV w:val="single" w:sz="8" w:color="9FBAD0"/>
            </w:tcBorders>
            <w:tcMar>
              <w:top w:w="100" w:type="dxa"/>
              <w:start w:w="40" w:type="dxa"/>
              <w:bottom w:w="100" w:type="dxa"/>
              <w:end w:w="40" w:type="dxa"/>
            </w:tcMar>
          </w:tcPr>
          <w:p>
            <w:pPr>
              <w:spacing w:after="0"/>
              <w:jc w:val="center"/>
            </w:pPr>
            <w:r>
              <w:rPr>
                <w:rFonts w:ascii="Arial" w:hAnsi="Arial"/>
                <w:b/>
                <w:i w:val="0"/>
                <w:color w:val="0B2E59"/>
                <w:sz w:val="15"/>
              </w:rPr>
              <w:t>HANDOVER</w:t>
            </w:r>
          </w:p>
        </w:tc>
      </w:tr>
    </w:tbl>
    <w:p>
      <w:pPr>
        <w:keepNext/>
        <w:pageBreakBefore/>
        <w:spacing w:after="20"/>
        <w:ind w:left="-1123" w:right="-1123"/>
      </w:pPr>
      <w:r>
        <w:drawing>
          <wp:inline xmlns:a="http://schemas.openxmlformats.org/drawingml/2006/main" xmlns:pic="http://schemas.openxmlformats.org/drawingml/2006/picture">
            <wp:extent cx="7560000" cy="935728"/>
            <wp:docPr id="2" name="Picture 2" descr="AI x City Climate Action Hackathon 2026 partner banner" title="AI x City Climate Action Hackathon 20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ackathon-template-banner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9357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0" w:after="20"/>
      </w:pPr>
      <w:hyperlink r:id="rId11">
        <w:r>
          <w:rPr>
            <w:rFonts w:ascii="Arial" w:hAnsi="Arial"/>
            <w:color w:val="075A91"/>
            <w:u w:val="single"/>
            <w:sz w:val="17"/>
          </w:rPr>
          <w:t>GitHub: https://github.com/qjmre23/Route2Zero</w:t>
        </w:r>
      </w:hyperlink>
      <w:r>
        <w:rPr>
          <w:rFonts w:ascii="Arial" w:hAnsi="Arial"/>
          <w:b w:val="0"/>
          <w:i w:val="0"/>
          <w:color w:val="4B5563"/>
          <w:sz w:val="16"/>
        </w:rPr>
        <w:t xml:space="preserve">   |   </w:t>
      </w:r>
      <w:hyperlink r:id="rId12">
        <w:r>
          <w:rPr>
            <w:rFonts w:ascii="Arial" w:hAnsi="Arial"/>
            <w:color w:val="075A91"/>
            <w:u w:val="single"/>
            <w:sz w:val="17"/>
          </w:rPr>
          <w:t>Live dashboard: https://route2zero.netlify.app/</w:t>
        </w:r>
      </w:hyperlink>
    </w:p>
    <w:p>
      <w:pPr>
        <w:keepNext/>
        <w:spacing w:before="0" w:after="40"/>
        <w:jc w:val="right"/>
      </w:pPr>
      <w:r>
        <w:rPr>
          <w:rFonts w:ascii="Arial" w:hAnsi="Arial"/>
          <w:b/>
          <w:i w:val="0"/>
          <w:color w:val="4B5563"/>
          <w:sz w:val="14"/>
        </w:rPr>
        <w:t>SIX MONTHS / THREE EVIDENCE GATES</w:t>
      </w:r>
    </w:p>
    <w:p>
      <w:pPr>
        <w:pStyle w:val="Title"/>
        <w:keepNext/>
        <w:spacing w:before="20" w:after="40"/>
      </w:pPr>
      <w:r>
        <w:rPr>
          <w:rFonts w:ascii="Arial" w:hAnsi="Arial"/>
          <w:b/>
          <w:i w:val="0"/>
          <w:color w:val="111111"/>
          <w:sz w:val="38"/>
        </w:rPr>
        <w:t>Six months, three evidence gates</w:t>
      </w:r>
    </w:p>
    <w:tbl>
      <w:tblPr>
        <w:tblW w:type="dxa" w:w="9677"/>
        <w:jc w:val="center"/>
        <w:tblLayout w:type="fixed"/>
        <w:tblLook w:firstColumn="1" w:firstRow="1" w:lastColumn="0" w:lastRow="0" w:noHBand="0" w:noVBand="1" w:val="04A0"/>
        <w:tblInd w:w="100" w:type="dxa"/>
      </w:tblPr>
      <w:tblGrid>
        <w:gridCol w:w="1037"/>
        <w:gridCol w:w="2045"/>
        <w:gridCol w:w="3960"/>
        <w:gridCol w:w="2635"/>
      </w:tblGrid>
      <w:tr>
        <w:trPr>
          <w:tblHeader w:val="true"/>
          <w:cantSplit/>
        </w:trPr>
        <w:tc>
          <w:tcPr>
            <w:tcW w:type="dxa" w:w="1037"/>
            <w:shd w:fill="CFE2F3"/>
            <w:tcBorders>
              <w:top w:val="single" w:sz="9" w:color="000000"/>
              <w:left w:val="single" w:sz="9" w:color="000000"/>
              <w:bottom w:val="single" w:sz="9" w:color="000000"/>
              <w:right w:val="single" w:sz="9" w:color="000000"/>
              <w:insideH w:val="single" w:sz="9" w:color="000000"/>
              <w:insideV w:val="single" w:sz="9" w:color="000000"/>
            </w:tcBorders>
            <w:tcMar>
              <w:top w:w="82" w:type="dxa"/>
              <w:start w:w="100" w:type="dxa"/>
              <w:bottom w:w="82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11111"/>
                <w:sz w:val="15"/>
              </w:rPr>
              <w:t>Timeline</w:t>
            </w:r>
          </w:p>
        </w:tc>
        <w:tc>
          <w:tcPr>
            <w:tcW w:type="dxa" w:w="2045"/>
            <w:shd w:fill="CFE2F3"/>
            <w:tcBorders>
              <w:top w:val="single" w:sz="9" w:color="000000"/>
              <w:left w:val="single" w:sz="9" w:color="000000"/>
              <w:bottom w:val="single" w:sz="9" w:color="000000"/>
              <w:right w:val="single" w:sz="9" w:color="000000"/>
              <w:insideH w:val="single" w:sz="9" w:color="000000"/>
              <w:insideV w:val="single" w:sz="9" w:color="000000"/>
            </w:tcBorders>
            <w:tcMar>
              <w:top w:w="82" w:type="dxa"/>
              <w:start w:w="100" w:type="dxa"/>
              <w:bottom w:w="82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11111"/>
                <w:sz w:val="15"/>
              </w:rPr>
              <w:t>Activity / Milestone</w:t>
            </w:r>
          </w:p>
        </w:tc>
        <w:tc>
          <w:tcPr>
            <w:tcW w:type="dxa" w:w="3960"/>
            <w:shd w:fill="CFE2F3"/>
            <w:tcBorders>
              <w:top w:val="single" w:sz="9" w:color="000000"/>
              <w:left w:val="single" w:sz="9" w:color="000000"/>
              <w:bottom w:val="single" w:sz="9" w:color="000000"/>
              <w:right w:val="single" w:sz="9" w:color="000000"/>
              <w:insideH w:val="single" w:sz="9" w:color="000000"/>
              <w:insideV w:val="single" w:sz="9" w:color="000000"/>
            </w:tcBorders>
            <w:tcMar>
              <w:top w:w="82" w:type="dxa"/>
              <w:start w:w="100" w:type="dxa"/>
              <w:bottom w:w="82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11111"/>
                <w:sz w:val="15"/>
              </w:rPr>
              <w:t>Core activity</w:t>
            </w:r>
          </w:p>
        </w:tc>
        <w:tc>
          <w:tcPr>
            <w:tcW w:type="dxa" w:w="2635"/>
            <w:shd w:fill="CFE2F3"/>
            <w:tcBorders>
              <w:top w:val="single" w:sz="9" w:color="000000"/>
              <w:left w:val="single" w:sz="9" w:color="000000"/>
              <w:bottom w:val="single" w:sz="9" w:color="000000"/>
              <w:right w:val="single" w:sz="9" w:color="000000"/>
              <w:insideH w:val="single" w:sz="9" w:color="000000"/>
              <w:insideV w:val="single" w:sz="9" w:color="000000"/>
            </w:tcBorders>
            <w:tcMar>
              <w:top w:w="82" w:type="dxa"/>
              <w:start w:w="100" w:type="dxa"/>
              <w:bottom w:w="82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11111"/>
                <w:sz w:val="15"/>
              </w:rPr>
              <w:t>Outcome</w:t>
            </w:r>
          </w:p>
        </w:tc>
      </w:tr>
      <w:tr>
        <w:trPr>
          <w:cantSplit/>
        </w:trPr>
        <w:tc>
          <w:tcPr>
            <w:tcW w:type="dxa" w:w="1037"/>
            <w:tcBorders>
              <w:top w:val="single" w:sz="9" w:color="000000"/>
              <w:left w:val="single" w:sz="9" w:color="000000"/>
              <w:bottom w:val="single" w:sz="9" w:color="000000"/>
              <w:right w:val="single" w:sz="9" w:color="000000"/>
              <w:insideH w:val="single" w:sz="9" w:color="000000"/>
              <w:insideV w:val="single" w:sz="9" w:color="000000"/>
            </w:tcBorders>
            <w:tcMar>
              <w:top w:w="68" w:type="dxa"/>
              <w:start w:w="100" w:type="dxa"/>
              <w:bottom w:w="68" w:type="dxa"/>
              <w:end w:w="100" w:type="dxa"/>
            </w:tcMar>
            <w:vAlign w:val="top"/>
          </w:tcPr>
          <w:p>
            <w:pPr>
              <w:spacing w:after="0" w:line="235" w:lineRule="auto"/>
            </w:pPr>
            <w:r>
              <w:rPr>
                <w:rFonts w:ascii="Arial" w:hAnsi="Arial"/>
                <w:b w:val="0"/>
                <w:i w:val="0"/>
                <w:color w:val="111111"/>
                <w:sz w:val="14"/>
              </w:rPr>
              <w:t>Month 1</w:t>
            </w:r>
          </w:p>
        </w:tc>
        <w:tc>
          <w:tcPr>
            <w:tcW w:type="dxa" w:w="2045"/>
            <w:tcBorders>
              <w:top w:val="single" w:sz="9" w:color="000000"/>
              <w:left w:val="single" w:sz="9" w:color="000000"/>
              <w:bottom w:val="single" w:sz="9" w:color="000000"/>
              <w:right w:val="single" w:sz="9" w:color="000000"/>
              <w:insideH w:val="single" w:sz="9" w:color="000000"/>
              <w:insideV w:val="single" w:sz="9" w:color="000000"/>
            </w:tcBorders>
            <w:tcMar>
              <w:top w:w="68" w:type="dxa"/>
              <w:start w:w="100" w:type="dxa"/>
              <w:bottom w:w="68" w:type="dxa"/>
              <w:end w:w="100" w:type="dxa"/>
            </w:tcMar>
            <w:vAlign w:val="top"/>
          </w:tcPr>
          <w:p>
            <w:pPr>
              <w:spacing w:after="0" w:line="235" w:lineRule="auto"/>
            </w:pPr>
            <w:r>
              <w:rPr>
                <w:rFonts w:ascii="Arial" w:hAnsi="Arial"/>
                <w:b w:val="0"/>
                <w:i w:val="0"/>
                <w:color w:val="111111"/>
                <w:sz w:val="14"/>
              </w:rPr>
              <w:t>Baseline + model protocol</w:t>
            </w:r>
          </w:p>
        </w:tc>
        <w:tc>
          <w:tcPr>
            <w:tcW w:type="dxa" w:w="3960"/>
            <w:tcBorders>
              <w:top w:val="single" w:sz="9" w:color="000000"/>
              <w:left w:val="single" w:sz="9" w:color="000000"/>
              <w:bottom w:val="single" w:sz="9" w:color="000000"/>
              <w:right w:val="single" w:sz="9" w:color="000000"/>
              <w:insideH w:val="single" w:sz="9" w:color="000000"/>
              <w:insideV w:val="single" w:sz="9" w:color="000000"/>
            </w:tcBorders>
            <w:tcMar>
              <w:top w:w="68" w:type="dxa"/>
              <w:start w:w="100" w:type="dxa"/>
              <w:bottom w:w="68" w:type="dxa"/>
              <w:end w:w="100" w:type="dxa"/>
            </w:tcMar>
            <w:vAlign w:val="top"/>
          </w:tcPr>
          <w:p>
            <w:pPr>
              <w:spacing w:after="0" w:line="235" w:lineRule="auto"/>
            </w:pPr>
            <w:r>
              <w:rPr>
                <w:rFonts w:ascii="Arial" w:hAnsi="Arial"/>
                <w:b w:val="0"/>
                <w:i w:val="0"/>
                <w:color w:val="111111"/>
                <w:sz w:val="14"/>
              </w:rPr>
              <w:t>Confirm decision owners and route sample; freeze source registry/build; approve validation, ML evaluation, privacy, and climate protocols.</w:t>
            </w:r>
          </w:p>
        </w:tc>
        <w:tc>
          <w:tcPr>
            <w:tcW w:type="dxa" w:w="2635"/>
            <w:tcBorders>
              <w:top w:val="single" w:sz="9" w:color="000000"/>
              <w:left w:val="single" w:sz="9" w:color="000000"/>
              <w:bottom w:val="single" w:sz="9" w:color="000000"/>
              <w:right w:val="single" w:sz="9" w:color="000000"/>
              <w:insideH w:val="single" w:sz="9" w:color="000000"/>
              <w:insideV w:val="single" w:sz="9" w:color="000000"/>
            </w:tcBorders>
            <w:tcMar>
              <w:top w:w="68" w:type="dxa"/>
              <w:start w:w="100" w:type="dxa"/>
              <w:bottom w:w="68" w:type="dxa"/>
              <w:end w:w="100" w:type="dxa"/>
            </w:tcMar>
            <w:vAlign w:val="top"/>
          </w:tcPr>
          <w:p>
            <w:pPr>
              <w:spacing w:after="0" w:line="235" w:lineRule="auto"/>
            </w:pPr>
            <w:r>
              <w:rPr>
                <w:rFonts w:ascii="Arial" w:hAnsi="Arial"/>
                <w:b w:val="0"/>
                <w:i w:val="0"/>
                <w:color w:val="111111"/>
                <w:sz w:val="14"/>
              </w:rPr>
              <w:t>Pilot charter; baseline build; route sample; validation protocol; risk register.</w:t>
            </w:r>
          </w:p>
        </w:tc>
      </w:tr>
      <w:tr>
        <w:trPr>
          <w:cantSplit/>
        </w:trPr>
        <w:tc>
          <w:tcPr>
            <w:tcW w:type="dxa" w:w="1037"/>
            <w:tcBorders>
              <w:top w:val="single" w:sz="9" w:color="000000"/>
              <w:left w:val="single" w:sz="9" w:color="000000"/>
              <w:bottom w:val="single" w:sz="9" w:color="000000"/>
              <w:right w:val="single" w:sz="9" w:color="000000"/>
              <w:insideH w:val="single" w:sz="9" w:color="000000"/>
              <w:insideV w:val="single" w:sz="9" w:color="000000"/>
            </w:tcBorders>
            <w:tcMar>
              <w:top w:w="68" w:type="dxa"/>
              <w:start w:w="100" w:type="dxa"/>
              <w:bottom w:w="68" w:type="dxa"/>
              <w:end w:w="100" w:type="dxa"/>
            </w:tcMar>
            <w:shd w:fill="F8FAFC"/>
            <w:vAlign w:val="top"/>
          </w:tcPr>
          <w:p>
            <w:pPr>
              <w:spacing w:after="0" w:line="235" w:lineRule="auto"/>
            </w:pPr>
            <w:r>
              <w:rPr>
                <w:rFonts w:ascii="Arial" w:hAnsi="Arial"/>
                <w:b w:val="0"/>
                <w:i w:val="0"/>
                <w:color w:val="111111"/>
                <w:sz w:val="14"/>
              </w:rPr>
              <w:t>Month 2</w:t>
            </w:r>
          </w:p>
        </w:tc>
        <w:tc>
          <w:tcPr>
            <w:tcW w:type="dxa" w:w="2045"/>
            <w:tcBorders>
              <w:top w:val="single" w:sz="9" w:color="000000"/>
              <w:left w:val="single" w:sz="9" w:color="000000"/>
              <w:bottom w:val="single" w:sz="9" w:color="000000"/>
              <w:right w:val="single" w:sz="9" w:color="000000"/>
              <w:insideH w:val="single" w:sz="9" w:color="000000"/>
              <w:insideV w:val="single" w:sz="9" w:color="000000"/>
            </w:tcBorders>
            <w:tcMar>
              <w:top w:w="68" w:type="dxa"/>
              <w:start w:w="100" w:type="dxa"/>
              <w:bottom w:w="68" w:type="dxa"/>
              <w:end w:w="100" w:type="dxa"/>
            </w:tcMar>
            <w:shd w:fill="F8FAFC"/>
            <w:vAlign w:val="top"/>
          </w:tcPr>
          <w:p>
            <w:pPr>
              <w:spacing w:after="0" w:line="235" w:lineRule="auto"/>
            </w:pPr>
            <w:r>
              <w:rPr>
                <w:rFonts w:ascii="Arial" w:hAnsi="Arial"/>
                <w:b w:val="0"/>
                <w:i w:val="0"/>
                <w:color w:val="111111"/>
                <w:sz w:val="14"/>
              </w:rPr>
              <w:t>Data refresh + ground truth</w:t>
            </w:r>
          </w:p>
        </w:tc>
        <w:tc>
          <w:tcPr>
            <w:tcW w:type="dxa" w:w="3960"/>
            <w:tcBorders>
              <w:top w:val="single" w:sz="9" w:color="000000"/>
              <w:left w:val="single" w:sz="9" w:color="000000"/>
              <w:bottom w:val="single" w:sz="9" w:color="000000"/>
              <w:right w:val="single" w:sz="9" w:color="000000"/>
              <w:insideH w:val="single" w:sz="9" w:color="000000"/>
              <w:insideV w:val="single" w:sz="9" w:color="000000"/>
            </w:tcBorders>
            <w:tcMar>
              <w:top w:w="68" w:type="dxa"/>
              <w:start w:w="100" w:type="dxa"/>
              <w:bottom w:w="68" w:type="dxa"/>
              <w:end w:w="100" w:type="dxa"/>
            </w:tcMar>
            <w:shd w:fill="F8FAFC"/>
            <w:vAlign w:val="top"/>
          </w:tcPr>
          <w:p>
            <w:pPr>
              <w:spacing w:after="0" w:line="235" w:lineRule="auto"/>
            </w:pPr>
            <w:r>
              <w:rPr>
                <w:rFonts w:ascii="Arial" w:hAnsi="Arial"/>
                <w:b w:val="0"/>
                <w:i w:val="0"/>
                <w:color w:val="111111"/>
                <w:sz w:val="14"/>
              </w:rPr>
              <w:t>Extend the hackathon's 20-route OSM validation seed with field observation; validate geometry and service; collect operator, charging/depot, and local equity/accessibility evidence.</w:t>
            </w:r>
          </w:p>
        </w:tc>
        <w:tc>
          <w:tcPr>
            <w:tcW w:type="dxa" w:w="2635"/>
            <w:tcBorders>
              <w:top w:val="single" w:sz="9" w:color="000000"/>
              <w:left w:val="single" w:sz="9" w:color="000000"/>
              <w:bottom w:val="single" w:sz="9" w:color="000000"/>
              <w:right w:val="single" w:sz="9" w:color="000000"/>
              <w:insideH w:val="single" w:sz="9" w:color="000000"/>
              <w:insideV w:val="single" w:sz="9" w:color="000000"/>
            </w:tcBorders>
            <w:tcMar>
              <w:top w:w="68" w:type="dxa"/>
              <w:start w:w="100" w:type="dxa"/>
              <w:bottom w:w="68" w:type="dxa"/>
              <w:end w:w="100" w:type="dxa"/>
            </w:tcMar>
            <w:shd w:fill="F8FAFC"/>
            <w:vAlign w:val="top"/>
          </w:tcPr>
          <w:p>
            <w:pPr>
              <w:spacing w:after="0" w:line="235" w:lineRule="auto"/>
            </w:pPr>
            <w:r>
              <w:rPr>
                <w:rFonts w:ascii="Arial" w:hAnsi="Arial"/>
                <w:b w:val="0"/>
                <w:i w:val="0"/>
                <w:color w:val="111111"/>
                <w:sz w:val="14"/>
              </w:rPr>
              <w:t>Expanded validation, operator, and charging ledgers; ground-truth sample; source refresh.</w:t>
            </w:r>
          </w:p>
        </w:tc>
      </w:tr>
      <w:tr>
        <w:trPr>
          <w:cantSplit/>
        </w:trPr>
        <w:tc>
          <w:tcPr>
            <w:tcW w:type="dxa" w:w="1037"/>
            <w:tcBorders>
              <w:top w:val="single" w:sz="9" w:color="000000"/>
              <w:left w:val="single" w:sz="9" w:color="000000"/>
              <w:bottom w:val="single" w:sz="9" w:color="000000"/>
              <w:right w:val="single" w:sz="9" w:color="000000"/>
              <w:insideH w:val="single" w:sz="9" w:color="000000"/>
              <w:insideV w:val="single" w:sz="9" w:color="000000"/>
            </w:tcBorders>
            <w:tcMar>
              <w:top w:w="68" w:type="dxa"/>
              <w:start w:w="100" w:type="dxa"/>
              <w:bottom w:w="68" w:type="dxa"/>
              <w:end w:w="100" w:type="dxa"/>
            </w:tcMar>
            <w:vAlign w:val="top"/>
          </w:tcPr>
          <w:p>
            <w:pPr>
              <w:spacing w:after="0" w:line="235" w:lineRule="auto"/>
            </w:pPr>
            <w:r>
              <w:rPr>
                <w:rFonts w:ascii="Arial" w:hAnsi="Arial"/>
                <w:b w:val="0"/>
                <w:i w:val="0"/>
                <w:color w:val="111111"/>
                <w:sz w:val="14"/>
              </w:rPr>
              <w:t>Gate 1</w:t>
            </w:r>
          </w:p>
        </w:tc>
        <w:tc>
          <w:tcPr>
            <w:tcW w:type="dxa" w:w="2045"/>
            <w:tcBorders>
              <w:top w:val="single" w:sz="9" w:color="000000"/>
              <w:left w:val="single" w:sz="9" w:color="000000"/>
              <w:bottom w:val="single" w:sz="9" w:color="000000"/>
              <w:right w:val="single" w:sz="9" w:color="000000"/>
              <w:insideH w:val="single" w:sz="9" w:color="000000"/>
              <w:insideV w:val="single" w:sz="9" w:color="000000"/>
            </w:tcBorders>
            <w:tcMar>
              <w:top w:w="68" w:type="dxa"/>
              <w:start w:w="100" w:type="dxa"/>
              <w:bottom w:w="68" w:type="dxa"/>
              <w:end w:w="100" w:type="dxa"/>
            </w:tcMar>
            <w:vAlign w:val="top"/>
          </w:tcPr>
          <w:p>
            <w:pPr>
              <w:spacing w:after="0" w:line="235" w:lineRule="auto"/>
            </w:pPr>
            <w:r>
              <w:rPr>
                <w:rFonts w:ascii="Arial" w:hAnsi="Arial"/>
                <w:b w:val="0"/>
                <w:i w:val="0"/>
                <w:color w:val="111111"/>
                <w:sz w:val="14"/>
              </w:rPr>
              <w:t>Evidence readiness review</w:t>
            </w:r>
          </w:p>
        </w:tc>
        <w:tc>
          <w:tcPr>
            <w:tcW w:type="dxa" w:w="3960"/>
            <w:tcBorders>
              <w:top w:val="single" w:sz="9" w:color="000000"/>
              <w:left w:val="single" w:sz="9" w:color="000000"/>
              <w:bottom w:val="single" w:sz="9" w:color="000000"/>
              <w:right w:val="single" w:sz="9" w:color="000000"/>
              <w:insideH w:val="single" w:sz="9" w:color="000000"/>
              <w:insideV w:val="single" w:sz="9" w:color="000000"/>
            </w:tcBorders>
            <w:tcMar>
              <w:top w:w="68" w:type="dxa"/>
              <w:start w:w="100" w:type="dxa"/>
              <w:bottom w:w="68" w:type="dxa"/>
              <w:end w:w="100" w:type="dxa"/>
            </w:tcMar>
            <w:vAlign w:val="top"/>
          </w:tcPr>
          <w:p>
            <w:pPr>
              <w:spacing w:after="0" w:line="235" w:lineRule="auto"/>
            </w:pPr>
            <w:r>
              <w:rPr>
                <w:rFonts w:ascii="Arial" w:hAnsi="Arial"/>
                <w:b w:val="0"/>
                <w:i w:val="0"/>
                <w:color w:val="111111"/>
                <w:sz w:val="14"/>
              </w:rPr>
              <w:t>Accept evidence plan and model-validation protocol; confirm minimum data coverage; resolve governance blockers.</w:t>
            </w:r>
          </w:p>
        </w:tc>
        <w:tc>
          <w:tcPr>
            <w:tcW w:type="dxa" w:w="2635"/>
            <w:tcBorders>
              <w:top w:val="single" w:sz="9" w:color="000000"/>
              <w:left w:val="single" w:sz="9" w:color="000000"/>
              <w:bottom w:val="single" w:sz="9" w:color="000000"/>
              <w:right w:val="single" w:sz="9" w:color="000000"/>
              <w:insideH w:val="single" w:sz="9" w:color="000000"/>
              <w:insideV w:val="single" w:sz="9" w:color="000000"/>
            </w:tcBorders>
            <w:tcMar>
              <w:top w:w="68" w:type="dxa"/>
              <w:start w:w="100" w:type="dxa"/>
              <w:bottom w:w="68" w:type="dxa"/>
              <w:end w:w="100" w:type="dxa"/>
            </w:tcMar>
            <w:vAlign w:val="top"/>
          </w:tcPr>
          <w:p>
            <w:pPr>
              <w:spacing w:after="0" w:line="235" w:lineRule="auto"/>
            </w:pPr>
            <w:r>
              <w:rPr>
                <w:rFonts w:ascii="Arial" w:hAnsi="Arial"/>
                <w:b w:val="0"/>
                <w:i w:val="0"/>
                <w:color w:val="111111"/>
                <w:sz w:val="14"/>
              </w:rPr>
              <w:t>Approved evidence gate or documented corrective actions.</w:t>
            </w:r>
          </w:p>
        </w:tc>
      </w:tr>
      <w:tr>
        <w:trPr>
          <w:cantSplit/>
        </w:trPr>
        <w:tc>
          <w:tcPr>
            <w:tcW w:type="dxa" w:w="1037"/>
            <w:tcBorders>
              <w:top w:val="single" w:sz="9" w:color="000000"/>
              <w:left w:val="single" w:sz="9" w:color="000000"/>
              <w:bottom w:val="single" w:sz="9" w:color="000000"/>
              <w:right w:val="single" w:sz="9" w:color="000000"/>
              <w:insideH w:val="single" w:sz="9" w:color="000000"/>
              <w:insideV w:val="single" w:sz="9" w:color="000000"/>
            </w:tcBorders>
            <w:tcMar>
              <w:top w:w="68" w:type="dxa"/>
              <w:start w:w="100" w:type="dxa"/>
              <w:bottom w:w="68" w:type="dxa"/>
              <w:end w:w="100" w:type="dxa"/>
            </w:tcMar>
            <w:shd w:fill="F8FAFC"/>
            <w:vAlign w:val="top"/>
          </w:tcPr>
          <w:p>
            <w:pPr>
              <w:spacing w:after="0" w:line="235" w:lineRule="auto"/>
            </w:pPr>
            <w:r>
              <w:rPr>
                <w:rFonts w:ascii="Arial" w:hAnsi="Arial"/>
                <w:b w:val="0"/>
                <w:i w:val="0"/>
                <w:color w:val="111111"/>
                <w:sz w:val="14"/>
              </w:rPr>
              <w:t>Month 3</w:t>
            </w:r>
          </w:p>
        </w:tc>
        <w:tc>
          <w:tcPr>
            <w:tcW w:type="dxa" w:w="2045"/>
            <w:tcBorders>
              <w:top w:val="single" w:sz="9" w:color="000000"/>
              <w:left w:val="single" w:sz="9" w:color="000000"/>
              <w:bottom w:val="single" w:sz="9" w:color="000000"/>
              <w:right w:val="single" w:sz="9" w:color="000000"/>
              <w:insideH w:val="single" w:sz="9" w:color="000000"/>
              <w:insideV w:val="single" w:sz="9" w:color="000000"/>
            </w:tcBorders>
            <w:tcMar>
              <w:top w:w="68" w:type="dxa"/>
              <w:start w:w="100" w:type="dxa"/>
              <w:bottom w:w="68" w:type="dxa"/>
              <w:end w:w="100" w:type="dxa"/>
            </w:tcMar>
            <w:shd w:fill="F8FAFC"/>
            <w:vAlign w:val="top"/>
          </w:tcPr>
          <w:p>
            <w:pPr>
              <w:spacing w:after="0" w:line="235" w:lineRule="auto"/>
            </w:pPr>
            <w:r>
              <w:rPr>
                <w:rFonts w:ascii="Arial" w:hAnsi="Arial"/>
                <w:b w:val="0"/>
                <w:i w:val="0"/>
                <w:color w:val="111111"/>
                <w:sz w:val="14"/>
              </w:rPr>
              <w:t>Model + route validation</w:t>
            </w:r>
          </w:p>
        </w:tc>
        <w:tc>
          <w:tcPr>
            <w:tcW w:type="dxa" w:w="3960"/>
            <w:tcBorders>
              <w:top w:val="single" w:sz="9" w:color="000000"/>
              <w:left w:val="single" w:sz="9" w:color="000000"/>
              <w:bottom w:val="single" w:sz="9" w:color="000000"/>
              <w:right w:val="single" w:sz="9" w:color="000000"/>
              <w:insideH w:val="single" w:sz="9" w:color="000000"/>
              <w:insideV w:val="single" w:sz="9" w:color="000000"/>
            </w:tcBorders>
            <w:tcMar>
              <w:top w:w="68" w:type="dxa"/>
              <w:start w:w="100" w:type="dxa"/>
              <w:bottom w:w="68" w:type="dxa"/>
              <w:end w:w="100" w:type="dxa"/>
            </w:tcMar>
            <w:shd w:fill="F8FAFC"/>
            <w:vAlign w:val="top"/>
          </w:tcPr>
          <w:p>
            <w:pPr>
              <w:spacing w:after="0" w:line="235" w:lineRule="auto"/>
            </w:pPr>
            <w:r>
              <w:rPr>
                <w:rFonts w:ascii="Arial" w:hAnsi="Arial"/>
                <w:b w:val="0"/>
                <w:i w:val="0"/>
                <w:color w:val="111111"/>
                <w:sz w:val="14"/>
              </w:rPr>
              <w:t>Compare ML estimates with refreshed observations; recalculate metrics; review anomalies; tune geometry/evidence rules and equity variables.</w:t>
            </w:r>
          </w:p>
        </w:tc>
        <w:tc>
          <w:tcPr>
            <w:tcW w:type="dxa" w:w="2635"/>
            <w:tcBorders>
              <w:top w:val="single" w:sz="9" w:color="000000"/>
              <w:left w:val="single" w:sz="9" w:color="000000"/>
              <w:bottom w:val="single" w:sz="9" w:color="000000"/>
              <w:right w:val="single" w:sz="9" w:color="000000"/>
              <w:insideH w:val="single" w:sz="9" w:color="000000"/>
              <w:insideV w:val="single" w:sz="9" w:color="000000"/>
            </w:tcBorders>
            <w:tcMar>
              <w:top w:w="68" w:type="dxa"/>
              <w:start w:w="100" w:type="dxa"/>
              <w:bottom w:w="68" w:type="dxa"/>
              <w:end w:w="100" w:type="dxa"/>
            </w:tcMar>
            <w:shd w:fill="F8FAFC"/>
            <w:vAlign w:val="top"/>
          </w:tcPr>
          <w:p>
            <w:pPr>
              <w:spacing w:after="0" w:line="235" w:lineRule="auto"/>
            </w:pPr>
            <w:r>
              <w:rPr>
                <w:rFonts w:ascii="Arial" w:hAnsi="Arial"/>
                <w:b w:val="0"/>
                <w:i w:val="0"/>
                <w:color w:val="111111"/>
                <w:sz w:val="14"/>
              </w:rPr>
              <w:t>Pilot model evaluation; model-card update; revised evidence grades; validated flagship case.</w:t>
            </w:r>
          </w:p>
        </w:tc>
      </w:tr>
      <w:tr>
        <w:trPr>
          <w:cantSplit/>
        </w:trPr>
        <w:tc>
          <w:tcPr>
            <w:tcW w:type="dxa" w:w="1037"/>
            <w:tcBorders>
              <w:top w:val="single" w:sz="9" w:color="000000"/>
              <w:left w:val="single" w:sz="9" w:color="000000"/>
              <w:bottom w:val="single" w:sz="9" w:color="000000"/>
              <w:right w:val="single" w:sz="9" w:color="000000"/>
              <w:insideH w:val="single" w:sz="9" w:color="000000"/>
              <w:insideV w:val="single" w:sz="9" w:color="000000"/>
            </w:tcBorders>
            <w:tcMar>
              <w:top w:w="68" w:type="dxa"/>
              <w:start w:w="100" w:type="dxa"/>
              <w:bottom w:w="68" w:type="dxa"/>
              <w:end w:w="100" w:type="dxa"/>
            </w:tcMar>
            <w:vAlign w:val="top"/>
          </w:tcPr>
          <w:p>
            <w:pPr>
              <w:spacing w:after="0" w:line="235" w:lineRule="auto"/>
            </w:pPr>
            <w:r>
              <w:rPr>
                <w:rFonts w:ascii="Arial" w:hAnsi="Arial"/>
                <w:b w:val="0"/>
                <w:i w:val="0"/>
                <w:color w:val="111111"/>
                <w:sz w:val="14"/>
              </w:rPr>
              <w:t>Month 4</w:t>
            </w:r>
          </w:p>
        </w:tc>
        <w:tc>
          <w:tcPr>
            <w:tcW w:type="dxa" w:w="2045"/>
            <w:tcBorders>
              <w:top w:val="single" w:sz="9" w:color="000000"/>
              <w:left w:val="single" w:sz="9" w:color="000000"/>
              <w:bottom w:val="single" w:sz="9" w:color="000000"/>
              <w:right w:val="single" w:sz="9" w:color="000000"/>
              <w:insideH w:val="single" w:sz="9" w:color="000000"/>
              <w:insideV w:val="single" w:sz="9" w:color="000000"/>
            </w:tcBorders>
            <w:tcMar>
              <w:top w:w="68" w:type="dxa"/>
              <w:start w:w="100" w:type="dxa"/>
              <w:bottom w:w="68" w:type="dxa"/>
              <w:end w:w="100" w:type="dxa"/>
            </w:tcMar>
            <w:vAlign w:val="top"/>
          </w:tcPr>
          <w:p>
            <w:pPr>
              <w:spacing w:after="0" w:line="235" w:lineRule="auto"/>
            </w:pPr>
            <w:r>
              <w:rPr>
                <w:rFonts w:ascii="Arial" w:hAnsi="Arial"/>
                <w:b w:val="0"/>
                <w:i w:val="0"/>
                <w:color w:val="111111"/>
                <w:sz w:val="14"/>
              </w:rPr>
              <w:t>Climate, charging + operator pre-feasibility</w:t>
            </w:r>
          </w:p>
        </w:tc>
        <w:tc>
          <w:tcPr>
            <w:tcW w:type="dxa" w:w="3960"/>
            <w:tcBorders>
              <w:top w:val="single" w:sz="9" w:color="000000"/>
              <w:left w:val="single" w:sz="9" w:color="000000"/>
              <w:bottom w:val="single" w:sz="9" w:color="000000"/>
              <w:right w:val="single" w:sz="9" w:color="000000"/>
              <w:insideH w:val="single" w:sz="9" w:color="000000"/>
              <w:insideV w:val="single" w:sz="9" w:color="000000"/>
            </w:tcBorders>
            <w:tcMar>
              <w:top w:w="68" w:type="dxa"/>
              <w:start w:w="100" w:type="dxa"/>
              <w:bottom w:w="68" w:type="dxa"/>
              <w:end w:w="100" w:type="dxa"/>
            </w:tcMar>
            <w:vAlign w:val="top"/>
          </w:tcPr>
          <w:p>
            <w:pPr>
              <w:spacing w:after="0" w:line="235" w:lineRule="auto"/>
            </w:pPr>
            <w:r>
              <w:rPr>
                <w:rFonts w:ascii="Arial" w:hAnsi="Arial"/>
                <w:b w:val="0"/>
                <w:i w:val="0"/>
                <w:color w:val="111111"/>
                <w:sz w:val="14"/>
              </w:rPr>
              <w:t>Calibrate diesel/electric assumptions; validate energy scenarios; request utility evidence; assess sites, operators, and verified constraints.</w:t>
            </w:r>
          </w:p>
        </w:tc>
        <w:tc>
          <w:tcPr>
            <w:tcW w:type="dxa" w:w="2635"/>
            <w:tcBorders>
              <w:top w:val="single" w:sz="9" w:color="000000"/>
              <w:left w:val="single" w:sz="9" w:color="000000"/>
              <w:bottom w:val="single" w:sz="9" w:color="000000"/>
              <w:right w:val="single" w:sz="9" w:color="000000"/>
              <w:insideH w:val="single" w:sz="9" w:color="000000"/>
              <w:insideV w:val="single" w:sz="9" w:color="000000"/>
            </w:tcBorders>
            <w:tcMar>
              <w:top w:w="68" w:type="dxa"/>
              <w:start w:w="100" w:type="dxa"/>
              <w:bottom w:w="68" w:type="dxa"/>
              <w:end w:w="100" w:type="dxa"/>
            </w:tcMar>
            <w:vAlign w:val="top"/>
          </w:tcPr>
          <w:p>
            <w:pPr>
              <w:spacing w:after="0" w:line="235" w:lineRule="auto"/>
            </w:pPr>
            <w:r>
              <w:rPr>
                <w:rFonts w:ascii="Arial" w:hAnsi="Arial"/>
                <w:b w:val="0"/>
                <w:i w:val="0"/>
                <w:color w:val="111111"/>
                <w:sz w:val="14"/>
              </w:rPr>
              <w:t>Calibrated climate scenario; charging/operator cards; selection-ready constraints.</w:t>
            </w:r>
          </w:p>
        </w:tc>
      </w:tr>
      <w:tr>
        <w:trPr>
          <w:cantSplit/>
        </w:trPr>
        <w:tc>
          <w:tcPr>
            <w:tcW w:type="dxa" w:w="1037"/>
            <w:tcBorders>
              <w:top w:val="single" w:sz="9" w:color="000000"/>
              <w:left w:val="single" w:sz="9" w:color="000000"/>
              <w:bottom w:val="single" w:sz="9" w:color="000000"/>
              <w:right w:val="single" w:sz="9" w:color="000000"/>
              <w:insideH w:val="single" w:sz="9" w:color="000000"/>
              <w:insideV w:val="single" w:sz="9" w:color="000000"/>
            </w:tcBorders>
            <w:tcMar>
              <w:top w:w="68" w:type="dxa"/>
              <w:start w:w="100" w:type="dxa"/>
              <w:bottom w:w="68" w:type="dxa"/>
              <w:end w:w="100" w:type="dxa"/>
            </w:tcMar>
            <w:shd w:fill="F8FAFC"/>
            <w:vAlign w:val="top"/>
          </w:tcPr>
          <w:p>
            <w:pPr>
              <w:spacing w:after="0" w:line="235" w:lineRule="auto"/>
            </w:pPr>
            <w:r>
              <w:rPr>
                <w:rFonts w:ascii="Arial" w:hAnsi="Arial"/>
                <w:b w:val="0"/>
                <w:i w:val="0"/>
                <w:color w:val="111111"/>
                <w:sz w:val="14"/>
              </w:rPr>
              <w:t>Gate 2</w:t>
            </w:r>
          </w:p>
        </w:tc>
        <w:tc>
          <w:tcPr>
            <w:tcW w:type="dxa" w:w="2045"/>
            <w:tcBorders>
              <w:top w:val="single" w:sz="9" w:color="000000"/>
              <w:left w:val="single" w:sz="9" w:color="000000"/>
              <w:bottom w:val="single" w:sz="9" w:color="000000"/>
              <w:right w:val="single" w:sz="9" w:color="000000"/>
              <w:insideH w:val="single" w:sz="9" w:color="000000"/>
              <w:insideV w:val="single" w:sz="9" w:color="000000"/>
            </w:tcBorders>
            <w:tcMar>
              <w:top w:w="68" w:type="dxa"/>
              <w:start w:w="100" w:type="dxa"/>
              <w:bottom w:w="68" w:type="dxa"/>
              <w:end w:w="100" w:type="dxa"/>
            </w:tcMar>
            <w:shd w:fill="F8FAFC"/>
            <w:vAlign w:val="top"/>
          </w:tcPr>
          <w:p>
            <w:pPr>
              <w:spacing w:after="0" w:line="235" w:lineRule="auto"/>
            </w:pPr>
            <w:r>
              <w:rPr>
                <w:rFonts w:ascii="Arial" w:hAnsi="Arial"/>
                <w:b w:val="0"/>
                <w:i w:val="0"/>
                <w:color w:val="111111"/>
                <w:sz w:val="14"/>
              </w:rPr>
              <w:t>Quality + route-set review</w:t>
            </w:r>
          </w:p>
        </w:tc>
        <w:tc>
          <w:tcPr>
            <w:tcW w:type="dxa" w:w="3960"/>
            <w:tcBorders>
              <w:top w:val="single" w:sz="9" w:color="000000"/>
              <w:left w:val="single" w:sz="9" w:color="000000"/>
              <w:bottom w:val="single" w:sz="9" w:color="000000"/>
              <w:right w:val="single" w:sz="9" w:color="000000"/>
              <w:insideH w:val="single" w:sz="9" w:color="000000"/>
              <w:insideV w:val="single" w:sz="9" w:color="000000"/>
            </w:tcBorders>
            <w:tcMar>
              <w:top w:w="68" w:type="dxa"/>
              <w:start w:w="100" w:type="dxa"/>
              <w:bottom w:w="68" w:type="dxa"/>
              <w:end w:w="100" w:type="dxa"/>
            </w:tcMar>
            <w:shd w:fill="F8FAFC"/>
            <w:vAlign w:val="top"/>
          </w:tcPr>
          <w:p>
            <w:pPr>
              <w:spacing w:after="0" w:line="235" w:lineRule="auto"/>
            </w:pPr>
            <w:r>
              <w:rPr>
                <w:rFonts w:ascii="Arial" w:hAnsi="Arial"/>
                <w:b w:val="0"/>
                <w:i w:val="0"/>
                <w:color w:val="111111"/>
                <w:sz w:val="14"/>
              </w:rPr>
              <w:t>Accept pilot route set and model/evidence quality; hold routes with unresolved critical issues or mark them evidence-limited.</w:t>
            </w:r>
          </w:p>
        </w:tc>
        <w:tc>
          <w:tcPr>
            <w:tcW w:type="dxa" w:w="2635"/>
            <w:tcBorders>
              <w:top w:val="single" w:sz="9" w:color="000000"/>
              <w:left w:val="single" w:sz="9" w:color="000000"/>
              <w:bottom w:val="single" w:sz="9" w:color="000000"/>
              <w:right w:val="single" w:sz="9" w:color="000000"/>
              <w:insideH w:val="single" w:sz="9" w:color="000000"/>
              <w:insideV w:val="single" w:sz="9" w:color="000000"/>
            </w:tcBorders>
            <w:tcMar>
              <w:top w:w="68" w:type="dxa"/>
              <w:start w:w="100" w:type="dxa"/>
              <w:bottom w:w="68" w:type="dxa"/>
              <w:end w:w="100" w:type="dxa"/>
            </w:tcMar>
            <w:shd w:fill="F8FAFC"/>
            <w:vAlign w:val="top"/>
          </w:tcPr>
          <w:p>
            <w:pPr>
              <w:spacing w:after="0" w:line="235" w:lineRule="auto"/>
            </w:pPr>
            <w:r>
              <w:rPr>
                <w:rFonts w:ascii="Arial" w:hAnsi="Arial"/>
                <w:b w:val="0"/>
                <w:i w:val="0"/>
                <w:color w:val="111111"/>
                <w:sz w:val="14"/>
              </w:rPr>
              <w:t>Approved route set with explicit holds and evidence limits.</w:t>
            </w:r>
          </w:p>
        </w:tc>
      </w:tr>
      <w:tr>
        <w:trPr>
          <w:cantSplit/>
        </w:trPr>
        <w:tc>
          <w:tcPr>
            <w:tcW w:type="dxa" w:w="1037"/>
            <w:tcBorders>
              <w:top w:val="single" w:sz="9" w:color="000000"/>
              <w:left w:val="single" w:sz="9" w:color="000000"/>
              <w:bottom w:val="single" w:sz="9" w:color="000000"/>
              <w:right w:val="single" w:sz="9" w:color="000000"/>
              <w:insideH w:val="single" w:sz="9" w:color="000000"/>
              <w:insideV w:val="single" w:sz="9" w:color="000000"/>
            </w:tcBorders>
            <w:tcMar>
              <w:top w:w="68" w:type="dxa"/>
              <w:start w:w="100" w:type="dxa"/>
              <w:bottom w:w="68" w:type="dxa"/>
              <w:end w:w="100" w:type="dxa"/>
            </w:tcMar>
            <w:vAlign w:val="top"/>
          </w:tcPr>
          <w:p>
            <w:pPr>
              <w:spacing w:after="0" w:line="235" w:lineRule="auto"/>
            </w:pPr>
            <w:r>
              <w:rPr>
                <w:rFonts w:ascii="Arial" w:hAnsi="Arial"/>
                <w:b w:val="0"/>
                <w:i w:val="0"/>
                <w:color w:val="111111"/>
                <w:sz w:val="14"/>
              </w:rPr>
              <w:t>Month 5</w:t>
            </w:r>
          </w:p>
        </w:tc>
        <w:tc>
          <w:tcPr>
            <w:tcW w:type="dxa" w:w="2045"/>
            <w:tcBorders>
              <w:top w:val="single" w:sz="9" w:color="000000"/>
              <w:left w:val="single" w:sz="9" w:color="000000"/>
              <w:bottom w:val="single" w:sz="9" w:color="000000"/>
              <w:right w:val="single" w:sz="9" w:color="000000"/>
              <w:insideH w:val="single" w:sz="9" w:color="000000"/>
              <w:insideV w:val="single" w:sz="9" w:color="000000"/>
            </w:tcBorders>
            <w:tcMar>
              <w:top w:w="68" w:type="dxa"/>
              <w:start w:w="100" w:type="dxa"/>
              <w:bottom w:w="68" w:type="dxa"/>
              <w:end w:w="100" w:type="dxa"/>
            </w:tcMar>
            <w:vAlign w:val="top"/>
          </w:tcPr>
          <w:p>
            <w:pPr>
              <w:spacing w:after="0" w:line="235" w:lineRule="auto"/>
            </w:pPr>
            <w:r>
              <w:rPr>
                <w:rFonts w:ascii="Arial" w:hAnsi="Arial"/>
                <w:b w:val="0"/>
                <w:i w:val="0"/>
                <w:color w:val="111111"/>
                <w:sz w:val="14"/>
              </w:rPr>
              <w:t>Scenario co-design + human factors</w:t>
            </w:r>
          </w:p>
        </w:tc>
        <w:tc>
          <w:tcPr>
            <w:tcW w:type="dxa" w:w="3960"/>
            <w:tcBorders>
              <w:top w:val="single" w:sz="9" w:color="000000"/>
              <w:left w:val="single" w:sz="9" w:color="000000"/>
              <w:bottom w:val="single" w:sz="9" w:color="000000"/>
              <w:right w:val="single" w:sz="9" w:color="000000"/>
              <w:insideH w:val="single" w:sz="9" w:color="000000"/>
              <w:insideV w:val="single" w:sz="9" w:color="000000"/>
            </w:tcBorders>
            <w:tcMar>
              <w:top w:w="68" w:type="dxa"/>
              <w:start w:w="100" w:type="dxa"/>
              <w:bottom w:w="68" w:type="dxa"/>
              <w:end w:w="100" w:type="dxa"/>
            </w:tcMar>
            <w:vAlign w:val="top"/>
          </w:tcPr>
          <w:p>
            <w:pPr>
              <w:spacing w:after="0" w:line="235" w:lineRule="auto"/>
            </w:pPr>
            <w:r>
              <w:rPr>
                <w:rFonts w:ascii="Arial" w:hAnsi="Arial"/>
                <w:b w:val="0"/>
                <w:i w:val="0"/>
                <w:color w:val="111111"/>
                <w:sz w:val="14"/>
              </w:rPr>
              <w:t>Run policy workshops; review sensitivity; agree portfolio constraints; test Priority vs Evidence vs Stability; review assistant and accessibility.</w:t>
            </w:r>
          </w:p>
        </w:tc>
        <w:tc>
          <w:tcPr>
            <w:tcW w:type="dxa" w:w="2635"/>
            <w:tcBorders>
              <w:top w:val="single" w:sz="9" w:color="000000"/>
              <w:left w:val="single" w:sz="9" w:color="000000"/>
              <w:bottom w:val="single" w:sz="9" w:color="000000"/>
              <w:right w:val="single" w:sz="9" w:color="000000"/>
              <w:insideH w:val="single" w:sz="9" w:color="000000"/>
              <w:insideV w:val="single" w:sz="9" w:color="000000"/>
            </w:tcBorders>
            <w:tcMar>
              <w:top w:w="68" w:type="dxa"/>
              <w:start w:w="100" w:type="dxa"/>
              <w:bottom w:w="68" w:type="dxa"/>
              <w:end w:w="100" w:type="dxa"/>
            </w:tcMar>
            <w:vAlign w:val="top"/>
          </w:tcPr>
          <w:p>
            <w:pPr>
              <w:spacing w:after="0" w:line="235" w:lineRule="auto"/>
            </w:pPr>
            <w:r>
              <w:rPr>
                <w:rFonts w:ascii="Arial" w:hAnsi="Arial"/>
                <w:b w:val="0"/>
                <w:i w:val="0"/>
                <w:color w:val="111111"/>
                <w:sz w:val="14"/>
              </w:rPr>
              <w:t>Approved scenarios; draft portfolio; usability and governance findings.</w:t>
            </w:r>
          </w:p>
        </w:tc>
      </w:tr>
      <w:tr>
        <w:trPr>
          <w:cantSplit/>
        </w:trPr>
        <w:tc>
          <w:tcPr>
            <w:tcW w:type="dxa" w:w="1037"/>
            <w:tcBorders>
              <w:top w:val="single" w:sz="9" w:color="000000"/>
              <w:left w:val="single" w:sz="9" w:color="000000"/>
              <w:bottom w:val="single" w:sz="9" w:color="000000"/>
              <w:right w:val="single" w:sz="9" w:color="000000"/>
              <w:insideH w:val="single" w:sz="9" w:color="000000"/>
              <w:insideV w:val="single" w:sz="9" w:color="000000"/>
            </w:tcBorders>
            <w:tcMar>
              <w:top w:w="68" w:type="dxa"/>
              <w:start w:w="100" w:type="dxa"/>
              <w:bottom w:w="68" w:type="dxa"/>
              <w:end w:w="100" w:type="dxa"/>
            </w:tcMar>
            <w:shd w:fill="F8FAFC"/>
            <w:vAlign w:val="top"/>
          </w:tcPr>
          <w:p>
            <w:pPr>
              <w:spacing w:after="0" w:line="235" w:lineRule="auto"/>
            </w:pPr>
            <w:r>
              <w:rPr>
                <w:rFonts w:ascii="Arial" w:hAnsi="Arial"/>
                <w:b w:val="0"/>
                <w:i w:val="0"/>
                <w:color w:val="111111"/>
                <w:sz w:val="14"/>
              </w:rPr>
              <w:t>Month 6</w:t>
            </w:r>
          </w:p>
        </w:tc>
        <w:tc>
          <w:tcPr>
            <w:tcW w:type="dxa" w:w="2045"/>
            <w:tcBorders>
              <w:top w:val="single" w:sz="9" w:color="000000"/>
              <w:left w:val="single" w:sz="9" w:color="000000"/>
              <w:bottom w:val="single" w:sz="9" w:color="000000"/>
              <w:right w:val="single" w:sz="9" w:color="000000"/>
              <w:insideH w:val="single" w:sz="9" w:color="000000"/>
              <w:insideV w:val="single" w:sz="9" w:color="000000"/>
            </w:tcBorders>
            <w:tcMar>
              <w:top w:w="68" w:type="dxa"/>
              <w:start w:w="100" w:type="dxa"/>
              <w:bottom w:w="68" w:type="dxa"/>
              <w:end w:w="100" w:type="dxa"/>
            </w:tcMar>
            <w:shd w:fill="F8FAFC"/>
            <w:vAlign w:val="top"/>
          </w:tcPr>
          <w:p>
            <w:pPr>
              <w:spacing w:after="0" w:line="235" w:lineRule="auto"/>
            </w:pPr>
            <w:r>
              <w:rPr>
                <w:rFonts w:ascii="Arial" w:hAnsi="Arial"/>
                <w:b w:val="0"/>
                <w:i w:val="0"/>
                <w:color w:val="111111"/>
                <w:sz w:val="14"/>
              </w:rPr>
              <w:t>Decision pack + handover</w:t>
            </w:r>
          </w:p>
        </w:tc>
        <w:tc>
          <w:tcPr>
            <w:tcW w:type="dxa" w:w="3960"/>
            <w:tcBorders>
              <w:top w:val="single" w:sz="9" w:color="000000"/>
              <w:left w:val="single" w:sz="9" w:color="000000"/>
              <w:bottom w:val="single" w:sz="9" w:color="000000"/>
              <w:right w:val="single" w:sz="9" w:color="000000"/>
              <w:insideH w:val="single" w:sz="9" w:color="000000"/>
              <w:insideV w:val="single" w:sz="9" w:color="000000"/>
            </w:tcBorders>
            <w:tcMar>
              <w:top w:w="68" w:type="dxa"/>
              <w:start w:w="100" w:type="dxa"/>
              <w:bottom w:w="68" w:type="dxa"/>
              <w:end w:w="100" w:type="dxa"/>
            </w:tcMar>
            <w:shd w:fill="F8FAFC"/>
            <w:vAlign w:val="top"/>
          </w:tcPr>
          <w:p>
            <w:pPr>
              <w:spacing w:after="0" w:line="235" w:lineRule="auto"/>
            </w:pPr>
            <w:r>
              <w:rPr>
                <w:rFonts w:ascii="Arial" w:hAnsi="Arial"/>
                <w:b w:val="0"/>
                <w:i w:val="0"/>
                <w:color w:val="111111"/>
                <w:sz w:val="14"/>
              </w:rPr>
              <w:t>Finalize portfolio, evidence queue, model card, source registry, refresh process, issue log, analyst training, and task ownership.</w:t>
            </w:r>
          </w:p>
        </w:tc>
        <w:tc>
          <w:tcPr>
            <w:tcW w:type="dxa" w:w="2635"/>
            <w:tcBorders>
              <w:top w:val="single" w:sz="9" w:color="000000"/>
              <w:left w:val="single" w:sz="9" w:color="000000"/>
              <w:bottom w:val="single" w:sz="9" w:color="000000"/>
              <w:right w:val="single" w:sz="9" w:color="000000"/>
              <w:insideH w:val="single" w:sz="9" w:color="000000"/>
              <w:insideV w:val="single" w:sz="9" w:color="000000"/>
            </w:tcBorders>
            <w:tcMar>
              <w:top w:w="68" w:type="dxa"/>
              <w:start w:w="100" w:type="dxa"/>
              <w:bottom w:w="68" w:type="dxa"/>
              <w:end w:w="100" w:type="dxa"/>
            </w:tcMar>
            <w:shd w:fill="F8FAFC"/>
            <w:vAlign w:val="top"/>
          </w:tcPr>
          <w:p>
            <w:pPr>
              <w:spacing w:after="0" w:line="235" w:lineRule="auto"/>
            </w:pPr>
            <w:r>
              <w:rPr>
                <w:rFonts w:ascii="Arial" w:hAnsi="Arial"/>
                <w:b w:val="0"/>
                <w:i w:val="0"/>
                <w:color w:val="111111"/>
                <w:sz w:val="14"/>
              </w:rPr>
              <w:t>Accepted decision pack; final build; reproducibility package; city handover.</w:t>
            </w:r>
          </w:p>
        </w:tc>
      </w:tr>
      <w:tr>
        <w:trPr>
          <w:cantSplit/>
        </w:trPr>
        <w:tc>
          <w:tcPr>
            <w:tcW w:type="dxa" w:w="1037"/>
            <w:tcBorders>
              <w:top w:val="single" w:sz="9" w:color="000000"/>
              <w:left w:val="single" w:sz="9" w:color="000000"/>
              <w:bottom w:val="single" w:sz="9" w:color="000000"/>
              <w:right w:val="single" w:sz="9" w:color="000000"/>
              <w:insideH w:val="single" w:sz="9" w:color="000000"/>
              <w:insideV w:val="single" w:sz="9" w:color="000000"/>
            </w:tcBorders>
            <w:tcMar>
              <w:top w:w="68" w:type="dxa"/>
              <w:start w:w="100" w:type="dxa"/>
              <w:bottom w:w="68" w:type="dxa"/>
              <w:end w:w="100" w:type="dxa"/>
            </w:tcMar>
            <w:vAlign w:val="top"/>
          </w:tcPr>
          <w:p>
            <w:pPr>
              <w:spacing w:after="0" w:line="235" w:lineRule="auto"/>
            </w:pPr>
            <w:r>
              <w:rPr>
                <w:rFonts w:ascii="Arial" w:hAnsi="Arial"/>
                <w:b w:val="0"/>
                <w:i w:val="0"/>
                <w:color w:val="111111"/>
                <w:sz w:val="14"/>
              </w:rPr>
              <w:t>Gate 3</w:t>
            </w:r>
          </w:p>
        </w:tc>
        <w:tc>
          <w:tcPr>
            <w:tcW w:type="dxa" w:w="2045"/>
            <w:tcBorders>
              <w:top w:val="single" w:sz="9" w:color="000000"/>
              <w:left w:val="single" w:sz="9" w:color="000000"/>
              <w:bottom w:val="single" w:sz="9" w:color="000000"/>
              <w:right w:val="single" w:sz="9" w:color="000000"/>
              <w:insideH w:val="single" w:sz="9" w:color="000000"/>
              <w:insideV w:val="single" w:sz="9" w:color="000000"/>
            </w:tcBorders>
            <w:tcMar>
              <w:top w:w="68" w:type="dxa"/>
              <w:start w:w="100" w:type="dxa"/>
              <w:bottom w:w="68" w:type="dxa"/>
              <w:end w:w="100" w:type="dxa"/>
            </w:tcMar>
            <w:vAlign w:val="top"/>
          </w:tcPr>
          <w:p>
            <w:pPr>
              <w:spacing w:after="0" w:line="235" w:lineRule="auto"/>
            </w:pPr>
            <w:r>
              <w:rPr>
                <w:rFonts w:ascii="Arial" w:hAnsi="Arial"/>
                <w:b w:val="0"/>
                <w:i w:val="0"/>
                <w:color w:val="111111"/>
                <w:sz w:val="14"/>
              </w:rPr>
              <w:t>Acceptance</w:t>
            </w:r>
          </w:p>
        </w:tc>
        <w:tc>
          <w:tcPr>
            <w:tcW w:type="dxa" w:w="3960"/>
            <w:tcBorders>
              <w:top w:val="single" w:sz="9" w:color="000000"/>
              <w:left w:val="single" w:sz="9" w:color="000000"/>
              <w:bottom w:val="single" w:sz="9" w:color="000000"/>
              <w:right w:val="single" w:sz="9" w:color="000000"/>
              <w:insideH w:val="single" w:sz="9" w:color="000000"/>
              <w:insideV w:val="single" w:sz="9" w:color="000000"/>
            </w:tcBorders>
            <w:tcMar>
              <w:top w:w="68" w:type="dxa"/>
              <w:start w:w="100" w:type="dxa"/>
              <w:bottom w:w="68" w:type="dxa"/>
              <w:end w:w="100" w:type="dxa"/>
            </w:tcMar>
            <w:vAlign w:val="top"/>
          </w:tcPr>
          <w:p>
            <w:pPr>
              <w:spacing w:after="0" w:line="235" w:lineRule="auto"/>
            </w:pPr>
            <w:r>
              <w:rPr>
                <w:rFonts w:ascii="Arial" w:hAnsi="Arial"/>
                <w:b w:val="0"/>
                <w:i w:val="0"/>
                <w:color w:val="111111"/>
                <w:sz w:val="14"/>
              </w:rPr>
              <w:t>City decision pack and reproducibility handover accepted by named decision owners.</w:t>
            </w:r>
          </w:p>
        </w:tc>
        <w:tc>
          <w:tcPr>
            <w:tcW w:type="dxa" w:w="2635"/>
            <w:tcBorders>
              <w:top w:val="single" w:sz="9" w:color="000000"/>
              <w:left w:val="single" w:sz="9" w:color="000000"/>
              <w:bottom w:val="single" w:sz="9" w:color="000000"/>
              <w:right w:val="single" w:sz="9" w:color="000000"/>
              <w:insideH w:val="single" w:sz="9" w:color="000000"/>
              <w:insideV w:val="single" w:sz="9" w:color="000000"/>
            </w:tcBorders>
            <w:tcMar>
              <w:top w:w="68" w:type="dxa"/>
              <w:start w:w="100" w:type="dxa"/>
              <w:bottom w:w="68" w:type="dxa"/>
              <w:end w:w="100" w:type="dxa"/>
            </w:tcMar>
            <w:vAlign w:val="top"/>
          </w:tcPr>
          <w:p>
            <w:pPr>
              <w:spacing w:after="0" w:line="235" w:lineRule="auto"/>
            </w:pPr>
            <w:r>
              <w:rPr>
                <w:rFonts w:ascii="Arial" w:hAnsi="Arial"/>
                <w:b w:val="0"/>
                <w:i w:val="0"/>
                <w:color w:val="111111"/>
                <w:sz w:val="14"/>
              </w:rPr>
              <w:t>Go-forward decision and accountable next-step owners.</w:t>
            </w:r>
          </w:p>
        </w:tc>
      </w:tr>
    </w:tbl>
    <w:p>
      <w:pPr>
        <w:spacing w:before="0" w:after="0" w:line="254" w:lineRule="auto"/>
      </w:pPr>
      <w:r>
        <w:rPr>
          <w:rFonts w:ascii="Arial" w:hAnsi="Arial"/>
          <w:b w:val="0"/>
          <w:i w:val="0"/>
          <w:color w:val="111111"/>
          <w:sz w:val="14"/>
        </w:rPr>
        <w:t>Baseline traceability: build r2z-a7181752a17d | scenario scn-e0f12f397e | service model service-v1-266e0b1d</w:t>
      </w:r>
    </w:p>
    <w:p>
      <w:pPr>
        <w:keepNext/>
        <w:pageBreakBefore/>
        <w:spacing w:after="20"/>
        <w:ind w:left="-1123" w:right="-1123"/>
      </w:pPr>
      <w:r>
        <w:drawing>
          <wp:inline xmlns:a="http://schemas.openxmlformats.org/drawingml/2006/main" xmlns:pic="http://schemas.openxmlformats.org/drawingml/2006/picture">
            <wp:extent cx="7560000" cy="935728"/>
            <wp:docPr id="3" name="Picture 3" descr="AI x City Climate Action Hackathon 2026 partner banner" title="AI x City Climate Action Hackathon 20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ackathon-template-banner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9357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0" w:after="20"/>
      </w:pPr>
      <w:hyperlink r:id="rId11">
        <w:r>
          <w:rPr>
            <w:rFonts w:ascii="Arial" w:hAnsi="Arial"/>
            <w:color w:val="075A91"/>
            <w:u w:val="single"/>
            <w:sz w:val="17"/>
          </w:rPr>
          <w:t>GitHub: https://github.com/qjmre23/Route2Zero</w:t>
        </w:r>
      </w:hyperlink>
      <w:r>
        <w:rPr>
          <w:rFonts w:ascii="Arial" w:hAnsi="Arial"/>
          <w:b w:val="0"/>
          <w:i w:val="0"/>
          <w:color w:val="4B5563"/>
          <w:sz w:val="16"/>
        </w:rPr>
        <w:t xml:space="preserve">   |   </w:t>
      </w:r>
      <w:hyperlink r:id="rId12">
        <w:r>
          <w:rPr>
            <w:rFonts w:ascii="Arial" w:hAnsi="Arial"/>
            <w:color w:val="075A91"/>
            <w:u w:val="single"/>
            <w:sz w:val="17"/>
          </w:rPr>
          <w:t>Live dashboard: https://route2zero.netlify.app/</w:t>
        </w:r>
      </w:hyperlink>
    </w:p>
    <w:p>
      <w:pPr>
        <w:keepNext/>
        <w:spacing w:before="0" w:after="40"/>
        <w:jc w:val="right"/>
      </w:pPr>
      <w:r>
        <w:rPr>
          <w:rFonts w:ascii="Arial" w:hAnsi="Arial"/>
          <w:b/>
          <w:i w:val="0"/>
          <w:color w:val="4B5563"/>
          <w:sz w:val="14"/>
        </w:rPr>
        <w:t>VALIDATION / SUCCESS / RESPONSIBLE AI</w:t>
      </w:r>
    </w:p>
    <w:p>
      <w:pPr>
        <w:pStyle w:val="Title"/>
        <w:keepNext/>
        <w:spacing w:before="20" w:after="40"/>
      </w:pPr>
      <w:r>
        <w:rPr>
          <w:rFonts w:ascii="Arial" w:hAnsi="Arial"/>
          <w:b/>
          <w:i w:val="0"/>
          <w:color w:val="111111"/>
          <w:sz w:val="38"/>
        </w:rPr>
        <w:t>The pilot succeeds when the evidence and decision improve</w:t>
      </w:r>
    </w:p>
    <w:p>
      <w:pPr>
        <w:pStyle w:val="Heading1"/>
        <w:keepNext/>
        <w:spacing w:before="80" w:after="40"/>
      </w:pPr>
      <w:r>
        <w:rPr>
          <w:rFonts w:ascii="Arial" w:hAnsi="Arial"/>
          <w:b/>
          <w:i w:val="0"/>
          <w:color w:val="0B2E59"/>
          <w:sz w:val="23"/>
        </w:rPr>
        <w:t>SUCCESS METRICS</w:t>
      </w:r>
    </w:p>
    <w:tbl>
      <w:tblPr>
        <w:tblW w:type="dxa" w:w="9677"/>
        <w:jc w:val="center"/>
        <w:tblLayout w:type="fixed"/>
        <w:tblLook w:firstColumn="1" w:firstRow="1" w:lastColumn="0" w:lastRow="0" w:noHBand="0" w:noVBand="1" w:val="04A0"/>
        <w:tblInd w:w="100" w:type="dxa"/>
      </w:tblPr>
      <w:tblGrid>
        <w:gridCol w:w="1800"/>
        <w:gridCol w:w="7877"/>
      </w:tblGrid>
      <w:tr>
        <w:trPr>
          <w:tblHeader w:val="true"/>
          <w:cantSplit/>
        </w:trPr>
        <w:tc>
          <w:tcPr>
            <w:tcW w:type="dxa" w:w="1800"/>
            <w:shd w:fill="CFE2F3"/>
            <w:tcBorders>
              <w:top w:val="single" w:sz="9" w:color="000000"/>
              <w:left w:val="single" w:sz="9" w:color="000000"/>
              <w:bottom w:val="single" w:sz="9" w:color="000000"/>
              <w:right w:val="single" w:sz="9" w:color="000000"/>
              <w:insideH w:val="single" w:sz="9" w:color="000000"/>
              <w:insideV w:val="single" w:sz="9" w:color="000000"/>
            </w:tcBorders>
            <w:tcMar>
              <w:top w:w="82" w:type="dxa"/>
              <w:start w:w="100" w:type="dxa"/>
              <w:bottom w:w="82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11111"/>
                <w:sz w:val="16"/>
              </w:rPr>
              <w:t>Measure</w:t>
            </w:r>
          </w:p>
        </w:tc>
        <w:tc>
          <w:tcPr>
            <w:tcW w:type="dxa" w:w="7877"/>
            <w:shd w:fill="CFE2F3"/>
            <w:tcBorders>
              <w:top w:val="single" w:sz="9" w:color="000000"/>
              <w:left w:val="single" w:sz="9" w:color="000000"/>
              <w:bottom w:val="single" w:sz="9" w:color="000000"/>
              <w:right w:val="single" w:sz="9" w:color="000000"/>
              <w:insideH w:val="single" w:sz="9" w:color="000000"/>
              <w:insideV w:val="single" w:sz="9" w:color="000000"/>
            </w:tcBorders>
            <w:tcMar>
              <w:top w:w="82" w:type="dxa"/>
              <w:start w:w="100" w:type="dxa"/>
              <w:bottom w:w="82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11111"/>
                <w:sz w:val="16"/>
              </w:rPr>
              <w:t>Pilot success evidence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sz="9" w:color="000000"/>
              <w:left w:val="single" w:sz="9" w:color="000000"/>
              <w:bottom w:val="single" w:sz="9" w:color="000000"/>
              <w:right w:val="single" w:sz="9" w:color="000000"/>
              <w:insideH w:val="single" w:sz="9" w:color="000000"/>
              <w:insideV w:val="single" w:sz="9" w:color="000000"/>
            </w:tcBorders>
            <w:tcMar>
              <w:top w:w="68" w:type="dxa"/>
              <w:start w:w="100" w:type="dxa"/>
              <w:bottom w:w="68" w:type="dxa"/>
              <w:end w:w="100" w:type="dxa"/>
            </w:tcMar>
            <w:vAlign w:val="top"/>
          </w:tcPr>
          <w:p>
            <w:pPr>
              <w:spacing w:after="0" w:line="235" w:lineRule="auto"/>
            </w:pPr>
            <w:r>
              <w:rPr>
                <w:rFonts w:ascii="Arial" w:hAnsi="Arial"/>
                <w:b w:val="0"/>
                <w:i w:val="0"/>
                <w:color w:val="111111"/>
                <w:sz w:val="15"/>
              </w:rPr>
              <w:t>Coverage</w:t>
            </w:r>
          </w:p>
        </w:tc>
        <w:tc>
          <w:tcPr>
            <w:tcW w:type="dxa" w:w="7877"/>
            <w:tcBorders>
              <w:top w:val="single" w:sz="9" w:color="000000"/>
              <w:left w:val="single" w:sz="9" w:color="000000"/>
              <w:bottom w:val="single" w:sz="9" w:color="000000"/>
              <w:right w:val="single" w:sz="9" w:color="000000"/>
              <w:insideH w:val="single" w:sz="9" w:color="000000"/>
              <w:insideV w:val="single" w:sz="9" w:color="000000"/>
            </w:tcBorders>
            <w:tcMar>
              <w:top w:w="68" w:type="dxa"/>
              <w:start w:w="100" w:type="dxa"/>
              <w:bottom w:w="68" w:type="dxa"/>
              <w:end w:w="100" w:type="dxa"/>
            </w:tcMar>
            <w:vAlign w:val="top"/>
          </w:tcPr>
          <w:p>
            <w:pPr>
              <w:spacing w:after="0" w:line="235" w:lineRule="auto"/>
            </w:pPr>
            <w:r>
              <w:rPr>
                <w:rFonts w:ascii="Arial" w:hAnsi="Arial"/>
                <w:b w:val="0"/>
                <w:i w:val="0"/>
                <w:color w:val="111111"/>
                <w:sz w:val="15"/>
              </w:rPr>
              <w:t>% pilot routes ground-checked; % shortlisted routes with complete evidence cards; critical gaps resolved.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sz="9" w:color="000000"/>
              <w:left w:val="single" w:sz="9" w:color="000000"/>
              <w:bottom w:val="single" w:sz="9" w:color="000000"/>
              <w:right w:val="single" w:sz="9" w:color="000000"/>
              <w:insideH w:val="single" w:sz="9" w:color="000000"/>
              <w:insideV w:val="single" w:sz="9" w:color="000000"/>
            </w:tcBorders>
            <w:tcMar>
              <w:top w:w="68" w:type="dxa"/>
              <w:start w:w="100" w:type="dxa"/>
              <w:bottom w:w="68" w:type="dxa"/>
              <w:end w:w="100" w:type="dxa"/>
            </w:tcMar>
            <w:shd w:fill="F8FAFC"/>
            <w:vAlign w:val="top"/>
          </w:tcPr>
          <w:p>
            <w:pPr>
              <w:spacing w:after="0" w:line="235" w:lineRule="auto"/>
            </w:pPr>
            <w:r>
              <w:rPr>
                <w:rFonts w:ascii="Arial" w:hAnsi="Arial"/>
                <w:b w:val="0"/>
                <w:i w:val="0"/>
                <w:color w:val="111111"/>
                <w:sz w:val="15"/>
              </w:rPr>
              <w:t>Model</w:t>
            </w:r>
          </w:p>
        </w:tc>
        <w:tc>
          <w:tcPr>
            <w:tcW w:type="dxa" w:w="7877"/>
            <w:tcBorders>
              <w:top w:val="single" w:sz="9" w:color="000000"/>
              <w:left w:val="single" w:sz="9" w:color="000000"/>
              <w:bottom w:val="single" w:sz="9" w:color="000000"/>
              <w:right w:val="single" w:sz="9" w:color="000000"/>
              <w:insideH w:val="single" w:sz="9" w:color="000000"/>
              <w:insideV w:val="single" w:sz="9" w:color="000000"/>
            </w:tcBorders>
            <w:tcMar>
              <w:top w:w="68" w:type="dxa"/>
              <w:start w:w="100" w:type="dxa"/>
              <w:bottom w:w="68" w:type="dxa"/>
              <w:end w:w="100" w:type="dxa"/>
            </w:tcMar>
            <w:shd w:fill="F8FAFC"/>
            <w:vAlign w:val="top"/>
          </w:tcPr>
          <w:p>
            <w:pPr>
              <w:spacing w:after="0" w:line="235" w:lineRule="auto"/>
            </w:pPr>
            <w:r>
              <w:rPr>
                <w:rFonts w:ascii="Arial" w:hAnsi="Arial"/>
                <w:b w:val="0"/>
                <w:i w:val="0"/>
                <w:color w:val="111111"/>
                <w:sz w:val="15"/>
              </w:rPr>
              <w:t>MAE/RMSE vs refreshed observations, improvement over baseline, and documented route-level residual review.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sz="9" w:color="000000"/>
              <w:left w:val="single" w:sz="9" w:color="000000"/>
              <w:bottom w:val="single" w:sz="9" w:color="000000"/>
              <w:right w:val="single" w:sz="9" w:color="000000"/>
              <w:insideH w:val="single" w:sz="9" w:color="000000"/>
              <w:insideV w:val="single" w:sz="9" w:color="000000"/>
            </w:tcBorders>
            <w:tcMar>
              <w:top w:w="68" w:type="dxa"/>
              <w:start w:w="100" w:type="dxa"/>
              <w:bottom w:w="68" w:type="dxa"/>
              <w:end w:w="100" w:type="dxa"/>
            </w:tcMar>
            <w:vAlign w:val="top"/>
          </w:tcPr>
          <w:p>
            <w:pPr>
              <w:spacing w:after="0" w:line="235" w:lineRule="auto"/>
            </w:pPr>
            <w:r>
              <w:rPr>
                <w:rFonts w:ascii="Arial" w:hAnsi="Arial"/>
                <w:b w:val="0"/>
                <w:i w:val="0"/>
                <w:color w:val="111111"/>
                <w:sz w:val="15"/>
              </w:rPr>
              <w:t>AI task value</w:t>
            </w:r>
          </w:p>
        </w:tc>
        <w:tc>
          <w:tcPr>
            <w:tcW w:type="dxa" w:w="7877"/>
            <w:tcBorders>
              <w:top w:val="single" w:sz="9" w:color="000000"/>
              <w:left w:val="single" w:sz="9" w:color="000000"/>
              <w:bottom w:val="single" w:sz="9" w:color="000000"/>
              <w:right w:val="single" w:sz="9" w:color="000000"/>
              <w:insideH w:val="single" w:sz="9" w:color="000000"/>
              <w:insideV w:val="single" w:sz="9" w:color="000000"/>
            </w:tcBorders>
            <w:tcMar>
              <w:top w:w="68" w:type="dxa"/>
              <w:start w:w="100" w:type="dxa"/>
              <w:bottom w:w="68" w:type="dxa"/>
              <w:end w:w="100" w:type="dxa"/>
            </w:tcMar>
            <w:vAlign w:val="top"/>
          </w:tcPr>
          <w:p>
            <w:pPr>
              <w:spacing w:after="0" w:line="235" w:lineRule="auto"/>
            </w:pPr>
            <w:r>
              <w:rPr>
                <w:rFonts w:ascii="Arial" w:hAnsi="Arial"/>
                <w:b w:val="0"/>
                <w:i w:val="0"/>
                <w:color w:val="111111"/>
                <w:sz w:val="15"/>
              </w:rPr>
              <w:t>Compare AI-assisted and analyst-only evidence review using time-to-first brief, missed-evidence rate, factual errors, and unsupported claims.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sz="9" w:color="000000"/>
              <w:left w:val="single" w:sz="9" w:color="000000"/>
              <w:bottom w:val="single" w:sz="9" w:color="000000"/>
              <w:right w:val="single" w:sz="9" w:color="000000"/>
              <w:insideH w:val="single" w:sz="9" w:color="000000"/>
              <w:insideV w:val="single" w:sz="9" w:color="000000"/>
            </w:tcBorders>
            <w:tcMar>
              <w:top w:w="68" w:type="dxa"/>
              <w:start w:w="100" w:type="dxa"/>
              <w:bottom w:w="68" w:type="dxa"/>
              <w:end w:w="100" w:type="dxa"/>
            </w:tcMar>
            <w:shd w:fill="F8FAFC"/>
            <w:vAlign w:val="top"/>
          </w:tcPr>
          <w:p>
            <w:pPr>
              <w:spacing w:after="0" w:line="235" w:lineRule="auto"/>
            </w:pPr>
            <w:r>
              <w:rPr>
                <w:rFonts w:ascii="Arial" w:hAnsi="Arial"/>
                <w:b w:val="0"/>
                <w:i w:val="0"/>
                <w:color w:val="111111"/>
                <w:sz w:val="15"/>
              </w:rPr>
              <w:t>Decision quality</w:t>
            </w:r>
          </w:p>
        </w:tc>
        <w:tc>
          <w:tcPr>
            <w:tcW w:type="dxa" w:w="7877"/>
            <w:tcBorders>
              <w:top w:val="single" w:sz="9" w:color="000000"/>
              <w:left w:val="single" w:sz="9" w:color="000000"/>
              <w:bottom w:val="single" w:sz="9" w:color="000000"/>
              <w:right w:val="single" w:sz="9" w:color="000000"/>
              <w:insideH w:val="single" w:sz="9" w:color="000000"/>
              <w:insideV w:val="single" w:sz="9" w:color="000000"/>
            </w:tcBorders>
            <w:tcMar>
              <w:top w:w="68" w:type="dxa"/>
              <w:start w:w="100" w:type="dxa"/>
              <w:bottom w:w="68" w:type="dxa"/>
              <w:end w:w="100" w:type="dxa"/>
            </w:tcMar>
            <w:shd w:fill="F8FAFC"/>
            <w:vAlign w:val="top"/>
          </w:tcPr>
          <w:p>
            <w:pPr>
              <w:spacing w:after="0" w:line="235" w:lineRule="auto"/>
            </w:pPr>
            <w:r>
              <w:rPr>
                <w:rFonts w:ascii="Arial" w:hAnsi="Arial"/>
                <w:b w:val="0"/>
                <w:i w:val="0"/>
                <w:color w:val="111111"/>
                <w:sz w:val="15"/>
              </w:rPr>
              <w:t>Evidence-grade improvement; ranking/portfolio stability before vs after validation; routes moved from evidence-limited to decision-ready.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sz="9" w:color="000000"/>
              <w:left w:val="single" w:sz="9" w:color="000000"/>
              <w:bottom w:val="single" w:sz="9" w:color="000000"/>
              <w:right w:val="single" w:sz="9" w:color="000000"/>
              <w:insideH w:val="single" w:sz="9" w:color="000000"/>
              <w:insideV w:val="single" w:sz="9" w:color="000000"/>
            </w:tcBorders>
            <w:tcMar>
              <w:top w:w="68" w:type="dxa"/>
              <w:start w:w="100" w:type="dxa"/>
              <w:bottom w:w="68" w:type="dxa"/>
              <w:end w:w="100" w:type="dxa"/>
            </w:tcMar>
            <w:vAlign w:val="top"/>
          </w:tcPr>
          <w:p>
            <w:pPr>
              <w:spacing w:after="0" w:line="235" w:lineRule="auto"/>
            </w:pPr>
            <w:r>
              <w:rPr>
                <w:rFonts w:ascii="Arial" w:hAnsi="Arial"/>
                <w:b w:val="0"/>
                <w:i w:val="0"/>
                <w:color w:val="111111"/>
                <w:sz w:val="15"/>
              </w:rPr>
              <w:t>Adoption</w:t>
            </w:r>
          </w:p>
        </w:tc>
        <w:tc>
          <w:tcPr>
            <w:tcW w:type="dxa" w:w="7877"/>
            <w:tcBorders>
              <w:top w:val="single" w:sz="9" w:color="000000"/>
              <w:left w:val="single" w:sz="9" w:color="000000"/>
              <w:bottom w:val="single" w:sz="9" w:color="000000"/>
              <w:right w:val="single" w:sz="9" w:color="000000"/>
              <w:insideH w:val="single" w:sz="9" w:color="000000"/>
              <w:insideV w:val="single" w:sz="9" w:color="000000"/>
            </w:tcBorders>
            <w:tcMar>
              <w:top w:w="68" w:type="dxa"/>
              <w:start w:w="100" w:type="dxa"/>
              <w:bottom w:w="68" w:type="dxa"/>
              <w:end w:w="100" w:type="dxa"/>
            </w:tcMar>
            <w:vAlign w:val="top"/>
          </w:tcPr>
          <w:p>
            <w:pPr>
              <w:spacing w:after="0" w:line="235" w:lineRule="auto"/>
            </w:pPr>
            <w:r>
              <w:rPr>
                <w:rFonts w:ascii="Arial" w:hAnsi="Arial"/>
                <w:b w:val="0"/>
                <w:i w:val="0"/>
                <w:color w:val="111111"/>
                <w:sz w:val="15"/>
              </w:rPr>
              <w:t>LGU/operator/utility interactions; planner task completion; understanding of Priority, Evidence, and Stability.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sz="9" w:color="000000"/>
              <w:left w:val="single" w:sz="9" w:color="000000"/>
              <w:bottom w:val="single" w:sz="9" w:color="000000"/>
              <w:right w:val="single" w:sz="9" w:color="000000"/>
              <w:insideH w:val="single" w:sz="9" w:color="000000"/>
              <w:insideV w:val="single" w:sz="9" w:color="000000"/>
            </w:tcBorders>
            <w:tcMar>
              <w:top w:w="68" w:type="dxa"/>
              <w:start w:w="100" w:type="dxa"/>
              <w:bottom w:w="68" w:type="dxa"/>
              <w:end w:w="100" w:type="dxa"/>
            </w:tcMar>
            <w:shd w:fill="F8FAFC"/>
            <w:vAlign w:val="top"/>
          </w:tcPr>
          <w:p>
            <w:pPr>
              <w:spacing w:after="0" w:line="235" w:lineRule="auto"/>
            </w:pPr>
            <w:r>
              <w:rPr>
                <w:rFonts w:ascii="Arial" w:hAnsi="Arial"/>
                <w:b w:val="0"/>
                <w:i w:val="0"/>
                <w:color w:val="111111"/>
                <w:sz w:val="15"/>
              </w:rPr>
              <w:t>Handover</w:t>
            </w:r>
          </w:p>
        </w:tc>
        <w:tc>
          <w:tcPr>
            <w:tcW w:type="dxa" w:w="7877"/>
            <w:tcBorders>
              <w:top w:val="single" w:sz="9" w:color="000000"/>
              <w:left w:val="single" w:sz="9" w:color="000000"/>
              <w:bottom w:val="single" w:sz="9" w:color="000000"/>
              <w:right w:val="single" w:sz="9" w:color="000000"/>
              <w:insideH w:val="single" w:sz="9" w:color="000000"/>
              <w:insideV w:val="single" w:sz="9" w:color="000000"/>
            </w:tcBorders>
            <w:tcMar>
              <w:top w:w="68" w:type="dxa"/>
              <w:start w:w="100" w:type="dxa"/>
              <w:bottom w:w="68" w:type="dxa"/>
              <w:end w:w="100" w:type="dxa"/>
            </w:tcMar>
            <w:shd w:fill="F8FAFC"/>
            <w:vAlign w:val="top"/>
          </w:tcPr>
          <w:p>
            <w:pPr>
              <w:spacing w:after="0" w:line="235" w:lineRule="auto"/>
            </w:pPr>
            <w:r>
              <w:rPr>
                <w:rFonts w:ascii="Arial" w:hAnsi="Arial"/>
                <w:b w:val="0"/>
                <w:i w:val="0"/>
                <w:color w:val="111111"/>
                <w:sz w:val="15"/>
              </w:rPr>
              <w:t>One accepted city decision pack and one completed reproducibility/refresh handover.</w:t>
            </w:r>
          </w:p>
        </w:tc>
      </w:tr>
    </w:tbl>
    <w:p>
      <w:pPr>
        <w:pStyle w:val="Heading1"/>
        <w:keepNext/>
        <w:spacing w:before="80" w:after="40"/>
      </w:pPr>
      <w:r>
        <w:rPr>
          <w:rFonts w:ascii="Arial" w:hAnsi="Arial"/>
          <w:b/>
          <w:i w:val="0"/>
          <w:color w:val="0B2E59"/>
          <w:sz w:val="23"/>
        </w:rPr>
        <w:t>VALIDATION METHODS</w:t>
      </w:r>
    </w:p>
    <w:p>
      <w:pPr>
        <w:spacing w:before="0" w:after="60" w:line="254" w:lineRule="auto"/>
      </w:pPr>
      <w:r>
        <w:rPr>
          <w:rFonts w:ascii="Arial" w:hAnsi="Arial"/>
          <w:b w:val="0"/>
          <w:i w:val="0"/>
          <w:color w:val="111111"/>
          <w:sz w:val="16"/>
        </w:rPr>
        <w:t>Field observations; operator interviews; LGU review; utility evidence requests; data reconciliation; grouped holdout testing; scenario workshops; usability/accessibility testing; stakeholder review of the flagship corridor.</w:t>
      </w:r>
    </w:p>
    <w:p>
      <w:pPr>
        <w:pStyle w:val="Heading1"/>
        <w:keepNext/>
        <w:spacing w:before="80" w:after="40"/>
      </w:pPr>
      <w:r>
        <w:rPr>
          <w:rFonts w:ascii="Arial" w:hAnsi="Arial"/>
          <w:b/>
          <w:i w:val="0"/>
          <w:color w:val="0B2E59"/>
          <w:sz w:val="23"/>
        </w:rPr>
        <w:t>RESPONSIBLE AI CONTROLS</w:t>
      </w:r>
    </w:p>
    <w:p>
      <w:pPr>
        <w:pStyle w:val="ListBullet"/>
        <w:spacing w:before="0" w:after="0" w:line="240" w:lineRule="auto"/>
        <w:ind w:left="317" w:hanging="202"/>
      </w:pPr>
      <w:r>
        <w:rPr>
          <w:rFonts w:ascii="Arial" w:hAnsi="Arial"/>
          <w:b w:val="0"/>
          <w:i w:val="0"/>
          <w:color w:val="111111"/>
          <w:sz w:val="16"/>
        </w:rPr>
        <w:t>No resident-level personal data are required for core analytics; stakeholder data are consent-based.</w:t>
      </w:r>
    </w:p>
    <w:p>
      <w:pPr>
        <w:pStyle w:val="ListBullet"/>
        <w:spacing w:before="0" w:after="0" w:line="240" w:lineRule="auto"/>
        <w:ind w:left="317" w:hanging="202"/>
      </w:pPr>
      <w:r>
        <w:rPr>
          <w:rFonts w:ascii="Arial" w:hAnsi="Arial"/>
          <w:b w:val="0"/>
          <w:i w:val="0"/>
          <w:color w:val="111111"/>
          <w:sz w:val="16"/>
        </w:rPr>
        <w:t>No hidden LLM score changes and no automatic funding or procurement decisions.</w:t>
      </w:r>
    </w:p>
    <w:p>
      <w:pPr>
        <w:pStyle w:val="ListBullet"/>
        <w:spacing w:before="0" w:after="0" w:line="240" w:lineRule="auto"/>
        <w:ind w:left="317" w:hanging="202"/>
      </w:pPr>
      <w:r>
        <w:rPr>
          <w:rFonts w:ascii="Arial" w:hAnsi="Arial"/>
          <w:b w:val="0"/>
          <w:i w:val="0"/>
          <w:color w:val="111111"/>
          <w:sz w:val="16"/>
        </w:rPr>
        <w:t>No individual poverty or informal-status inference from population density.</w:t>
      </w:r>
    </w:p>
    <w:p>
      <w:pPr>
        <w:pStyle w:val="ListBullet"/>
        <w:spacing w:before="0" w:after="0" w:line="240" w:lineRule="auto"/>
        <w:ind w:left="317" w:hanging="202"/>
      </w:pPr>
      <w:r>
        <w:rPr>
          <w:rFonts w:ascii="Arial" w:hAnsi="Arial"/>
          <w:b w:val="0"/>
          <w:i w:val="0"/>
          <w:color w:val="111111"/>
          <w:sz w:val="16"/>
        </w:rPr>
        <w:t>Stakeholders can challenge or replace evidence; an AI-disabled deterministic fallback remains available.</w:t>
      </w:r>
    </w:p>
    <w:p>
      <w:pPr>
        <w:pStyle w:val="Heading1"/>
        <w:keepNext/>
        <w:spacing w:before="80" w:after="40"/>
      </w:pPr>
      <w:r>
        <w:rPr>
          <w:rFonts w:ascii="Arial" w:hAnsi="Arial"/>
          <w:b/>
          <w:i w:val="0"/>
          <w:color w:val="0B2E59"/>
          <w:sz w:val="23"/>
        </w:rPr>
        <w:t>RISK REGISTER</w:t>
      </w:r>
    </w:p>
    <w:tbl>
      <w:tblPr>
        <w:tblW w:type="dxa" w:w="9677"/>
        <w:jc w:val="center"/>
        <w:tblLayout w:type="fixed"/>
        <w:tblLook w:firstColumn="1" w:firstRow="1" w:lastColumn="0" w:lastRow="0" w:noHBand="0" w:noVBand="1" w:val="04A0"/>
        <w:tblInd w:w="100" w:type="dxa"/>
      </w:tblPr>
      <w:tblGrid>
        <w:gridCol w:w="2232"/>
        <w:gridCol w:w="7445"/>
      </w:tblGrid>
      <w:tr>
        <w:trPr>
          <w:tblHeader w:val="true"/>
          <w:cantSplit/>
        </w:trPr>
        <w:tc>
          <w:tcPr>
            <w:tcW w:type="dxa" w:w="2232"/>
            <w:shd w:fill="CFE2F3"/>
            <w:tcBorders>
              <w:top w:val="single" w:sz="9" w:color="000000"/>
              <w:left w:val="single" w:sz="9" w:color="000000"/>
              <w:bottom w:val="single" w:sz="9" w:color="000000"/>
              <w:right w:val="single" w:sz="9" w:color="000000"/>
              <w:insideH w:val="single" w:sz="9" w:color="000000"/>
              <w:insideV w:val="single" w:sz="9" w:color="000000"/>
            </w:tcBorders>
            <w:tcMar>
              <w:top w:w="82" w:type="dxa"/>
              <w:start w:w="100" w:type="dxa"/>
              <w:bottom w:w="82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11111"/>
                <w:sz w:val="16"/>
              </w:rPr>
              <w:t>Risk</w:t>
            </w:r>
          </w:p>
        </w:tc>
        <w:tc>
          <w:tcPr>
            <w:tcW w:type="dxa" w:w="7445"/>
            <w:shd w:fill="CFE2F3"/>
            <w:tcBorders>
              <w:top w:val="single" w:sz="9" w:color="000000"/>
              <w:left w:val="single" w:sz="9" w:color="000000"/>
              <w:bottom w:val="single" w:sz="9" w:color="000000"/>
              <w:right w:val="single" w:sz="9" w:color="000000"/>
              <w:insideH w:val="single" w:sz="9" w:color="000000"/>
              <w:insideV w:val="single" w:sz="9" w:color="000000"/>
            </w:tcBorders>
            <w:tcMar>
              <w:top w:w="82" w:type="dxa"/>
              <w:start w:w="100" w:type="dxa"/>
              <w:bottom w:w="82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11111"/>
                <w:sz w:val="16"/>
              </w:rPr>
              <w:t>Control / response</w:t>
            </w:r>
          </w:p>
        </w:tc>
      </w:tr>
      <w:tr>
        <w:trPr>
          <w:cantSplit/>
        </w:trPr>
        <w:tc>
          <w:tcPr>
            <w:tcW w:type="dxa" w:w="2232"/>
            <w:tcBorders>
              <w:top w:val="single" w:sz="9" w:color="000000"/>
              <w:left w:val="single" w:sz="9" w:color="000000"/>
              <w:bottom w:val="single" w:sz="9" w:color="000000"/>
              <w:right w:val="single" w:sz="9" w:color="000000"/>
              <w:insideH w:val="single" w:sz="9" w:color="000000"/>
              <w:insideV w:val="single" w:sz="9" w:color="000000"/>
            </w:tcBorders>
            <w:tcMar>
              <w:top w:w="68" w:type="dxa"/>
              <w:start w:w="100" w:type="dxa"/>
              <w:bottom w:w="68" w:type="dxa"/>
              <w:end w:w="100" w:type="dxa"/>
            </w:tcMar>
            <w:vAlign w:val="top"/>
          </w:tcPr>
          <w:p>
            <w:pPr>
              <w:spacing w:after="0" w:line="235" w:lineRule="auto"/>
            </w:pPr>
            <w:r>
              <w:rPr>
                <w:rFonts w:ascii="Arial" w:hAnsi="Arial"/>
                <w:b w:val="0"/>
                <w:i w:val="0"/>
                <w:color w:val="111111"/>
                <w:sz w:val="15"/>
              </w:rPr>
              <w:t>Historic route data</w:t>
            </w:r>
          </w:p>
        </w:tc>
        <w:tc>
          <w:tcPr>
            <w:tcW w:type="dxa" w:w="7445"/>
            <w:tcBorders>
              <w:top w:val="single" w:sz="9" w:color="000000"/>
              <w:left w:val="single" w:sz="9" w:color="000000"/>
              <w:bottom w:val="single" w:sz="9" w:color="000000"/>
              <w:right w:val="single" w:sz="9" w:color="000000"/>
              <w:insideH w:val="single" w:sz="9" w:color="000000"/>
              <w:insideV w:val="single" w:sz="9" w:color="000000"/>
            </w:tcBorders>
            <w:tcMar>
              <w:top w:w="68" w:type="dxa"/>
              <w:start w:w="100" w:type="dxa"/>
              <w:bottom w:w="68" w:type="dxa"/>
              <w:end w:w="100" w:type="dxa"/>
            </w:tcMar>
            <w:vAlign w:val="top"/>
          </w:tcPr>
          <w:p>
            <w:pPr>
              <w:spacing w:after="0" w:line="235" w:lineRule="auto"/>
            </w:pPr>
            <w:r>
              <w:rPr>
                <w:rFonts w:ascii="Arial" w:hAnsi="Arial"/>
                <w:b w:val="0"/>
                <w:i w:val="0"/>
                <w:color w:val="111111"/>
                <w:sz w:val="15"/>
              </w:rPr>
              <w:t>Use current-validation ledger and field checks; retain historic-only status until verified.</w:t>
            </w:r>
          </w:p>
        </w:tc>
      </w:tr>
      <w:tr>
        <w:trPr>
          <w:cantSplit/>
        </w:trPr>
        <w:tc>
          <w:tcPr>
            <w:tcW w:type="dxa" w:w="2232"/>
            <w:tcBorders>
              <w:top w:val="single" w:sz="9" w:color="000000"/>
              <w:left w:val="single" w:sz="9" w:color="000000"/>
              <w:bottom w:val="single" w:sz="9" w:color="000000"/>
              <w:right w:val="single" w:sz="9" w:color="000000"/>
              <w:insideH w:val="single" w:sz="9" w:color="000000"/>
              <w:insideV w:val="single" w:sz="9" w:color="000000"/>
            </w:tcBorders>
            <w:tcMar>
              <w:top w:w="68" w:type="dxa"/>
              <w:start w:w="100" w:type="dxa"/>
              <w:bottom w:w="68" w:type="dxa"/>
              <w:end w:w="100" w:type="dxa"/>
            </w:tcMar>
            <w:shd w:fill="F8FAFC"/>
            <w:vAlign w:val="top"/>
          </w:tcPr>
          <w:p>
            <w:pPr>
              <w:spacing w:after="0" w:line="235" w:lineRule="auto"/>
            </w:pPr>
            <w:r>
              <w:rPr>
                <w:rFonts w:ascii="Arial" w:hAnsi="Arial"/>
                <w:b w:val="0"/>
                <w:i w:val="0"/>
                <w:color w:val="111111"/>
                <w:sz w:val="15"/>
              </w:rPr>
              <w:t>Weak ML performance</w:t>
            </w:r>
          </w:p>
        </w:tc>
        <w:tc>
          <w:tcPr>
            <w:tcW w:type="dxa" w:w="7445"/>
            <w:tcBorders>
              <w:top w:val="single" w:sz="9" w:color="000000"/>
              <w:left w:val="single" w:sz="9" w:color="000000"/>
              <w:bottom w:val="single" w:sz="9" w:color="000000"/>
              <w:right w:val="single" w:sz="9" w:color="000000"/>
              <w:insideH w:val="single" w:sz="9" w:color="000000"/>
              <w:insideV w:val="single" w:sz="9" w:color="000000"/>
            </w:tcBorders>
            <w:tcMar>
              <w:top w:w="68" w:type="dxa"/>
              <w:start w:w="100" w:type="dxa"/>
              <w:bottom w:w="68" w:type="dxa"/>
              <w:end w:w="100" w:type="dxa"/>
            </w:tcMar>
            <w:shd w:fill="F8FAFC"/>
            <w:vAlign w:val="top"/>
          </w:tcPr>
          <w:p>
            <w:pPr>
              <w:spacing w:after="0" w:line="235" w:lineRule="auto"/>
            </w:pPr>
            <w:r>
              <w:rPr>
                <w:rFonts w:ascii="Arial" w:hAnsi="Arial"/>
                <w:b w:val="0"/>
                <w:i w:val="0"/>
                <w:color w:val="111111"/>
                <w:sz w:val="15"/>
              </w:rPr>
              <w:t>Prefer observed evidence; mark model experimental; compare with baseline.</w:t>
            </w:r>
          </w:p>
        </w:tc>
      </w:tr>
      <w:tr>
        <w:trPr>
          <w:cantSplit/>
        </w:trPr>
        <w:tc>
          <w:tcPr>
            <w:tcW w:type="dxa" w:w="2232"/>
            <w:tcBorders>
              <w:top w:val="single" w:sz="9" w:color="000000"/>
              <w:left w:val="single" w:sz="9" w:color="000000"/>
              <w:bottom w:val="single" w:sz="9" w:color="000000"/>
              <w:right w:val="single" w:sz="9" w:color="000000"/>
              <w:insideH w:val="single" w:sz="9" w:color="000000"/>
              <w:insideV w:val="single" w:sz="9" w:color="000000"/>
            </w:tcBorders>
            <w:tcMar>
              <w:top w:w="68" w:type="dxa"/>
              <w:start w:w="100" w:type="dxa"/>
              <w:bottom w:w="68" w:type="dxa"/>
              <w:end w:w="100" w:type="dxa"/>
            </w:tcMar>
            <w:vAlign w:val="top"/>
          </w:tcPr>
          <w:p>
            <w:pPr>
              <w:spacing w:after="0" w:line="235" w:lineRule="auto"/>
            </w:pPr>
            <w:r>
              <w:rPr>
                <w:rFonts w:ascii="Arial" w:hAnsi="Arial"/>
                <w:b w:val="0"/>
                <w:i w:val="0"/>
                <w:color w:val="111111"/>
                <w:sz w:val="15"/>
              </w:rPr>
              <w:t>Utility capacity unavailable</w:t>
            </w:r>
          </w:p>
        </w:tc>
        <w:tc>
          <w:tcPr>
            <w:tcW w:type="dxa" w:w="7445"/>
            <w:tcBorders>
              <w:top w:val="single" w:sz="9" w:color="000000"/>
              <w:left w:val="single" w:sz="9" w:color="000000"/>
              <w:bottom w:val="single" w:sz="9" w:color="000000"/>
              <w:right w:val="single" w:sz="9" w:color="000000"/>
              <w:insideH w:val="single" w:sz="9" w:color="000000"/>
              <w:insideV w:val="single" w:sz="9" w:color="000000"/>
            </w:tcBorders>
            <w:tcMar>
              <w:top w:w="68" w:type="dxa"/>
              <w:start w:w="100" w:type="dxa"/>
              <w:bottom w:w="68" w:type="dxa"/>
              <w:end w:w="100" w:type="dxa"/>
            </w:tcMar>
            <w:vAlign w:val="top"/>
          </w:tcPr>
          <w:p>
            <w:pPr>
              <w:spacing w:after="0" w:line="235" w:lineRule="auto"/>
            </w:pPr>
            <w:r>
              <w:rPr>
                <w:rFonts w:ascii="Arial" w:hAnsi="Arial"/>
                <w:b w:val="0"/>
                <w:i w:val="0"/>
                <w:color w:val="111111"/>
                <w:sz w:val="15"/>
              </w:rPr>
              <w:t>Show mapped proximity only; keep capacity NOT VERIFIED; request evidence.</w:t>
            </w:r>
          </w:p>
        </w:tc>
      </w:tr>
      <w:tr>
        <w:trPr>
          <w:cantSplit/>
        </w:trPr>
        <w:tc>
          <w:tcPr>
            <w:tcW w:type="dxa" w:w="2232"/>
            <w:tcBorders>
              <w:top w:val="single" w:sz="9" w:color="000000"/>
              <w:left w:val="single" w:sz="9" w:color="000000"/>
              <w:bottom w:val="single" w:sz="9" w:color="000000"/>
              <w:right w:val="single" w:sz="9" w:color="000000"/>
              <w:insideH w:val="single" w:sz="9" w:color="000000"/>
              <w:insideV w:val="single" w:sz="9" w:color="000000"/>
            </w:tcBorders>
            <w:tcMar>
              <w:top w:w="68" w:type="dxa"/>
              <w:start w:w="100" w:type="dxa"/>
              <w:bottom w:w="68" w:type="dxa"/>
              <w:end w:w="100" w:type="dxa"/>
            </w:tcMar>
            <w:shd w:fill="F8FAFC"/>
            <w:vAlign w:val="top"/>
          </w:tcPr>
          <w:p>
            <w:pPr>
              <w:spacing w:after="0" w:line="235" w:lineRule="auto"/>
            </w:pPr>
            <w:r>
              <w:rPr>
                <w:rFonts w:ascii="Arial" w:hAnsi="Arial"/>
                <w:b w:val="0"/>
                <w:i w:val="0"/>
                <w:color w:val="111111"/>
                <w:sz w:val="15"/>
              </w:rPr>
              <w:t>Operator data unavailable</w:t>
            </w:r>
          </w:p>
        </w:tc>
        <w:tc>
          <w:tcPr>
            <w:tcW w:type="dxa" w:w="7445"/>
            <w:tcBorders>
              <w:top w:val="single" w:sz="9" w:color="000000"/>
              <w:left w:val="single" w:sz="9" w:color="000000"/>
              <w:bottom w:val="single" w:sz="9" w:color="000000"/>
              <w:right w:val="single" w:sz="9" w:color="000000"/>
              <w:insideH w:val="single" w:sz="9" w:color="000000"/>
              <w:insideV w:val="single" w:sz="9" w:color="000000"/>
            </w:tcBorders>
            <w:tcMar>
              <w:top w:w="68" w:type="dxa"/>
              <w:start w:w="100" w:type="dxa"/>
              <w:bottom w:w="68" w:type="dxa"/>
              <w:end w:w="100" w:type="dxa"/>
            </w:tcMar>
            <w:shd w:fill="F8FAFC"/>
            <w:vAlign w:val="top"/>
          </w:tcPr>
          <w:p>
            <w:pPr>
              <w:spacing w:after="0" w:line="235" w:lineRule="auto"/>
            </w:pPr>
            <w:r>
              <w:rPr>
                <w:rFonts w:ascii="Arial" w:hAnsi="Arial"/>
                <w:b w:val="0"/>
                <w:i w:val="0"/>
                <w:color w:val="111111"/>
                <w:sz w:val="15"/>
              </w:rPr>
              <w:t>Keep neutral prior explicit and raise validation priority; a named desk reference is not readiness evidence.</w:t>
            </w:r>
          </w:p>
        </w:tc>
      </w:tr>
      <w:tr>
        <w:trPr>
          <w:cantSplit/>
        </w:trPr>
        <w:tc>
          <w:tcPr>
            <w:tcW w:type="dxa" w:w="2232"/>
            <w:tcBorders>
              <w:top w:val="single" w:sz="9" w:color="000000"/>
              <w:left w:val="single" w:sz="9" w:color="000000"/>
              <w:bottom w:val="single" w:sz="9" w:color="000000"/>
              <w:right w:val="single" w:sz="9" w:color="000000"/>
              <w:insideH w:val="single" w:sz="9" w:color="000000"/>
              <w:insideV w:val="single" w:sz="9" w:color="000000"/>
            </w:tcBorders>
            <w:tcMar>
              <w:top w:w="68" w:type="dxa"/>
              <w:start w:w="100" w:type="dxa"/>
              <w:bottom w:w="68" w:type="dxa"/>
              <w:end w:w="100" w:type="dxa"/>
            </w:tcMar>
            <w:vAlign w:val="top"/>
          </w:tcPr>
          <w:p>
            <w:pPr>
              <w:spacing w:after="0" w:line="235" w:lineRule="auto"/>
            </w:pPr>
            <w:r>
              <w:rPr>
                <w:rFonts w:ascii="Arial" w:hAnsi="Arial"/>
                <w:b w:val="0"/>
                <w:i w:val="0"/>
                <w:color w:val="111111"/>
                <w:sz w:val="15"/>
              </w:rPr>
              <w:t>Cost/financing data unverified</w:t>
            </w:r>
          </w:p>
        </w:tc>
        <w:tc>
          <w:tcPr>
            <w:tcW w:type="dxa" w:w="7445"/>
            <w:tcBorders>
              <w:top w:val="single" w:sz="9" w:color="000000"/>
              <w:left w:val="single" w:sz="9" w:color="000000"/>
              <w:bottom w:val="single" w:sz="9" w:color="000000"/>
              <w:right w:val="single" w:sz="9" w:color="000000"/>
              <w:insideH w:val="single" w:sz="9" w:color="000000"/>
              <w:insideV w:val="single" w:sz="9" w:color="000000"/>
            </w:tcBorders>
            <w:tcMar>
              <w:top w:w="68" w:type="dxa"/>
              <w:start w:w="100" w:type="dxa"/>
              <w:bottom w:w="68" w:type="dxa"/>
              <w:end w:w="100" w:type="dxa"/>
            </w:tcMar>
            <w:vAlign w:val="top"/>
          </w:tcPr>
          <w:p>
            <w:pPr>
              <w:spacing w:after="0" w:line="235" w:lineRule="auto"/>
            </w:pPr>
            <w:r>
              <w:rPr>
                <w:rFonts w:ascii="Arial" w:hAnsi="Arial"/>
                <w:b w:val="0"/>
                <w:i w:val="0"/>
                <w:color w:val="111111"/>
                <w:sz w:val="15"/>
              </w:rPr>
              <w:t>Treat feasibility figures as PROXY/SCENARIO until fleet and tariff data are confirmed; never present them as a budget.</w:t>
            </w:r>
          </w:p>
        </w:tc>
      </w:tr>
      <w:tr>
        <w:trPr>
          <w:cantSplit/>
        </w:trPr>
        <w:tc>
          <w:tcPr>
            <w:tcW w:type="dxa" w:w="2232"/>
            <w:tcBorders>
              <w:top w:val="single" w:sz="9" w:color="000000"/>
              <w:left w:val="single" w:sz="9" w:color="000000"/>
              <w:bottom w:val="single" w:sz="9" w:color="000000"/>
              <w:right w:val="single" w:sz="9" w:color="000000"/>
              <w:insideH w:val="single" w:sz="9" w:color="000000"/>
              <w:insideV w:val="single" w:sz="9" w:color="000000"/>
            </w:tcBorders>
            <w:tcMar>
              <w:top w:w="68" w:type="dxa"/>
              <w:start w:w="100" w:type="dxa"/>
              <w:bottom w:w="68" w:type="dxa"/>
              <w:end w:w="100" w:type="dxa"/>
            </w:tcMar>
            <w:shd w:fill="F8FAFC"/>
            <w:vAlign w:val="top"/>
          </w:tcPr>
          <w:p>
            <w:pPr>
              <w:spacing w:after="0" w:line="235" w:lineRule="auto"/>
            </w:pPr>
            <w:r>
              <w:rPr>
                <w:rFonts w:ascii="Arial" w:hAnsi="Arial"/>
                <w:b w:val="0"/>
                <w:i w:val="0"/>
                <w:color w:val="111111"/>
                <w:sz w:val="15"/>
              </w:rPr>
              <w:t>Sparse geometry / equity data</w:t>
            </w:r>
          </w:p>
        </w:tc>
        <w:tc>
          <w:tcPr>
            <w:tcW w:type="dxa" w:w="7445"/>
            <w:tcBorders>
              <w:top w:val="single" w:sz="9" w:color="000000"/>
              <w:left w:val="single" w:sz="9" w:color="000000"/>
              <w:bottom w:val="single" w:sz="9" w:color="000000"/>
              <w:right w:val="single" w:sz="9" w:color="000000"/>
              <w:insideH w:val="single" w:sz="9" w:color="000000"/>
              <w:insideV w:val="single" w:sz="9" w:color="000000"/>
            </w:tcBorders>
            <w:tcMar>
              <w:top w:w="68" w:type="dxa"/>
              <w:start w:w="100" w:type="dxa"/>
              <w:bottom w:w="68" w:type="dxa"/>
              <w:end w:w="100" w:type="dxa"/>
            </w:tcMar>
            <w:shd w:fill="F8FAFC"/>
            <w:vAlign w:val="top"/>
          </w:tcPr>
          <w:p>
            <w:pPr>
              <w:spacing w:after="0" w:line="235" w:lineRule="auto"/>
            </w:pPr>
            <w:r>
              <w:rPr>
                <w:rFonts w:ascii="Arial" w:hAnsi="Arial"/>
                <w:b w:val="0"/>
                <w:i w:val="0"/>
                <w:color w:val="111111"/>
                <w:sz w:val="15"/>
              </w:rPr>
              <w:t>Use reliability/evidence grades; validate traces; avoid unsupported settlement claims.</w:t>
            </w:r>
          </w:p>
        </w:tc>
      </w:tr>
      <w:tr>
        <w:trPr>
          <w:cantSplit/>
        </w:trPr>
        <w:tc>
          <w:tcPr>
            <w:tcW w:type="dxa" w:w="2232"/>
            <w:tcBorders>
              <w:top w:val="single" w:sz="9" w:color="000000"/>
              <w:left w:val="single" w:sz="9" w:color="000000"/>
              <w:bottom w:val="single" w:sz="9" w:color="000000"/>
              <w:right w:val="single" w:sz="9" w:color="000000"/>
              <w:insideH w:val="single" w:sz="9" w:color="000000"/>
              <w:insideV w:val="single" w:sz="9" w:color="000000"/>
            </w:tcBorders>
            <w:tcMar>
              <w:top w:w="68" w:type="dxa"/>
              <w:start w:w="100" w:type="dxa"/>
              <w:bottom w:w="68" w:type="dxa"/>
              <w:end w:w="100" w:type="dxa"/>
            </w:tcMar>
            <w:vAlign w:val="top"/>
          </w:tcPr>
          <w:p>
            <w:pPr>
              <w:spacing w:after="0" w:line="235" w:lineRule="auto"/>
            </w:pPr>
            <w:r>
              <w:rPr>
                <w:rFonts w:ascii="Arial" w:hAnsi="Arial"/>
                <w:b w:val="0"/>
                <w:i w:val="0"/>
                <w:color w:val="111111"/>
                <w:sz w:val="15"/>
              </w:rPr>
              <w:t>AI/API unavailable</w:t>
            </w:r>
          </w:p>
        </w:tc>
        <w:tc>
          <w:tcPr>
            <w:tcW w:type="dxa" w:w="7445"/>
            <w:tcBorders>
              <w:top w:val="single" w:sz="9" w:color="000000"/>
              <w:left w:val="single" w:sz="9" w:color="000000"/>
              <w:bottom w:val="single" w:sz="9" w:color="000000"/>
              <w:right w:val="single" w:sz="9" w:color="000000"/>
              <w:insideH w:val="single" w:sz="9" w:color="000000"/>
              <w:insideV w:val="single" w:sz="9" w:color="000000"/>
            </w:tcBorders>
            <w:tcMar>
              <w:top w:w="68" w:type="dxa"/>
              <w:start w:w="100" w:type="dxa"/>
              <w:bottom w:w="68" w:type="dxa"/>
              <w:end w:w="100" w:type="dxa"/>
            </w:tcMar>
            <w:vAlign w:val="top"/>
          </w:tcPr>
          <w:p>
            <w:pPr>
              <w:spacing w:after="0" w:line="235" w:lineRule="auto"/>
            </w:pPr>
            <w:r>
              <w:rPr>
                <w:rFonts w:ascii="Arial" w:hAnsi="Arial"/>
                <w:b w:val="0"/>
                <w:i w:val="0"/>
                <w:color w:val="111111"/>
                <w:sz w:val="15"/>
              </w:rPr>
              <w:t>Serve structured deterministic fallback; scores, scenarios, and portfolio are unaffected.</w:t>
            </w:r>
          </w:p>
        </w:tc>
      </w:tr>
      <w:tr>
        <w:trPr>
          <w:cantSplit/>
        </w:trPr>
        <w:tc>
          <w:tcPr>
            <w:tcW w:type="dxa" w:w="2232"/>
            <w:tcBorders>
              <w:top w:val="single" w:sz="9" w:color="000000"/>
              <w:left w:val="single" w:sz="9" w:color="000000"/>
              <w:bottom w:val="single" w:sz="9" w:color="000000"/>
              <w:right w:val="single" w:sz="9" w:color="000000"/>
              <w:insideH w:val="single" w:sz="9" w:color="000000"/>
              <w:insideV w:val="single" w:sz="9" w:color="000000"/>
            </w:tcBorders>
            <w:tcMar>
              <w:top w:w="68" w:type="dxa"/>
              <w:start w:w="100" w:type="dxa"/>
              <w:bottom w:w="68" w:type="dxa"/>
              <w:end w:w="100" w:type="dxa"/>
            </w:tcMar>
            <w:shd w:fill="F8FAFC"/>
            <w:vAlign w:val="top"/>
          </w:tcPr>
          <w:p>
            <w:pPr>
              <w:spacing w:after="0" w:line="235" w:lineRule="auto"/>
            </w:pPr>
            <w:r>
              <w:rPr>
                <w:rFonts w:ascii="Arial" w:hAnsi="Arial"/>
                <w:b w:val="0"/>
                <w:i w:val="0"/>
                <w:color w:val="111111"/>
                <w:sz w:val="15"/>
              </w:rPr>
              <w:t>Constraint conflict</w:t>
            </w:r>
          </w:p>
        </w:tc>
        <w:tc>
          <w:tcPr>
            <w:tcW w:type="dxa" w:w="7445"/>
            <w:tcBorders>
              <w:top w:val="single" w:sz="9" w:color="000000"/>
              <w:left w:val="single" w:sz="9" w:color="000000"/>
              <w:bottom w:val="single" w:sz="9" w:color="000000"/>
              <w:right w:val="single" w:sz="9" w:color="000000"/>
              <w:insideH w:val="single" w:sz="9" w:color="000000"/>
              <w:insideV w:val="single" w:sz="9" w:color="000000"/>
            </w:tcBorders>
            <w:tcMar>
              <w:top w:w="68" w:type="dxa"/>
              <w:start w:w="100" w:type="dxa"/>
              <w:bottom w:w="68" w:type="dxa"/>
              <w:end w:w="100" w:type="dxa"/>
            </w:tcMar>
            <w:shd w:fill="F8FAFC"/>
            <w:vAlign w:val="top"/>
          </w:tcPr>
          <w:p>
            <w:pPr>
              <w:spacing w:after="0" w:line="235" w:lineRule="auto"/>
            </w:pPr>
            <w:r>
              <w:rPr>
                <w:rFonts w:ascii="Arial" w:hAnsi="Arial"/>
                <w:b w:val="0"/>
                <w:i w:val="0"/>
                <w:color w:val="111111"/>
                <w:sz w:val="15"/>
              </w:rPr>
              <w:t>Show infeasibility and binding constraints; never fabricate a portfolio.</w:t>
            </w:r>
          </w:p>
        </w:tc>
      </w:tr>
    </w:tbl>
    <w:p>
      <w:pPr>
        <w:keepNext/>
        <w:pageBreakBefore/>
        <w:spacing w:after="20"/>
        <w:ind w:left="-1123" w:right="-1123"/>
      </w:pPr>
      <w:r>
        <w:drawing>
          <wp:inline xmlns:a="http://schemas.openxmlformats.org/drawingml/2006/main" xmlns:pic="http://schemas.openxmlformats.org/drawingml/2006/picture">
            <wp:extent cx="7560000" cy="935728"/>
            <wp:docPr id="4" name="Picture 4" descr="AI x City Climate Action Hackathon 2026 partner banner" title="AI x City Climate Action Hackathon 20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ackathon-template-banner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9357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0" w:after="20"/>
      </w:pPr>
      <w:hyperlink r:id="rId11">
        <w:r>
          <w:rPr>
            <w:rFonts w:ascii="Arial" w:hAnsi="Arial"/>
            <w:color w:val="075A91"/>
            <w:u w:val="single"/>
            <w:sz w:val="17"/>
          </w:rPr>
          <w:t>GitHub: https://github.com/qjmre23/Route2Zero</w:t>
        </w:r>
      </w:hyperlink>
      <w:r>
        <w:rPr>
          <w:rFonts w:ascii="Arial" w:hAnsi="Arial"/>
          <w:b w:val="0"/>
          <w:i w:val="0"/>
          <w:color w:val="4B5563"/>
          <w:sz w:val="16"/>
        </w:rPr>
        <w:t xml:space="preserve">   |   </w:t>
      </w:r>
      <w:hyperlink r:id="rId12">
        <w:r>
          <w:rPr>
            <w:rFonts w:ascii="Arial" w:hAnsi="Arial"/>
            <w:color w:val="075A91"/>
            <w:u w:val="single"/>
            <w:sz w:val="17"/>
          </w:rPr>
          <w:t>Live dashboard: https://route2zero.netlify.app/</w:t>
        </w:r>
      </w:hyperlink>
    </w:p>
    <w:p>
      <w:pPr>
        <w:keepNext/>
        <w:spacing w:before="0" w:after="40"/>
        <w:jc w:val="right"/>
      </w:pPr>
      <w:r>
        <w:rPr>
          <w:rFonts w:ascii="Arial" w:hAnsi="Arial"/>
          <w:b/>
          <w:i w:val="0"/>
          <w:color w:val="4B5563"/>
          <w:sz w:val="14"/>
        </w:rPr>
        <w:t>FINANCIAL FEASIBILITY / DATA LICENSING</w:t>
      </w:r>
    </w:p>
    <w:p>
      <w:pPr>
        <w:pStyle w:val="Title"/>
        <w:keepNext/>
        <w:spacing w:before="20" w:after="40"/>
      </w:pPr>
      <w:r>
        <w:rPr>
          <w:rFonts w:ascii="Arial" w:hAnsi="Arial"/>
          <w:b/>
          <w:i w:val="0"/>
          <w:color w:val="111111"/>
          <w:sz w:val="38"/>
        </w:rPr>
        <w:t>Validate the economics with the same discipline as the climate case</w:t>
      </w:r>
    </w:p>
    <w:tbl>
      <w:tblPr>
        <w:tblW w:type="dxa" w:w="9677"/>
        <w:jc w:val="center"/>
        <w:tblLayout w:type="fixed"/>
        <w:tblLook w:firstColumn="1" w:firstRow="1" w:lastColumn="0" w:lastRow="0" w:noHBand="0" w:noVBand="1" w:val="04A0"/>
        <w:tblInd w:w="140" w:type="dxa"/>
      </w:tblPr>
      <w:tblGrid>
        <w:gridCol w:w="9677"/>
      </w:tblGrid>
      <w:tr>
        <w:trPr>
          <w:tblHeader w:val="true"/>
        </w:trPr>
        <w:tc>
          <w:tcPr>
            <w:tcW w:type="dxa" w:w="9677"/>
            <w:shd w:fill="F5F8FC"/>
            <w:tcBorders>
              <w:top w:val="single" w:sz="8" w:color="9FBAD0"/>
              <w:left w:val="single" w:sz="8" w:color="9FBAD0"/>
              <w:bottom w:val="single" w:sz="8" w:color="9FBAD0"/>
              <w:right w:val="single" w:sz="8" w:color="9FBAD0"/>
              <w:insideH w:val="single" w:sz="8" w:color="9FBAD0"/>
              <w:insideV w:val="single" w:sz="8" w:color="9FBAD0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pPr>
              <w:spacing w:after="40"/>
            </w:pPr>
            <w:r>
              <w:rPr>
                <w:rFonts w:ascii="Arial" w:hAnsi="Arial"/>
                <w:b/>
                <w:i w:val="0"/>
                <w:color w:val="0B2E59"/>
                <w:sz w:val="18"/>
              </w:rPr>
              <w:t>Starting-point scenario — not a budget</w:t>
            </w:r>
          </w:p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111111"/>
                <w:sz w:val="18"/>
              </w:rPr>
              <w:t>The Phase-1 shortlist currently implies about 1,943 vehicles, 102 chargers, and PHP 4.91 billion in vehicle-plus-charger hardware under explicit PROXY assumptions. Financing terms remain MISSING, and excluded costs are not silently absorbed.</w:t>
            </w:r>
          </w:p>
        </w:tc>
      </w:tr>
    </w:tbl>
    <w:p>
      <w:pPr>
        <w:pStyle w:val="Heading1"/>
        <w:keepNext/>
        <w:spacing w:before="80" w:after="40"/>
      </w:pPr>
      <w:r>
        <w:rPr>
          <w:rFonts w:ascii="Arial" w:hAnsi="Arial"/>
          <w:b/>
          <w:i w:val="0"/>
          <w:color w:val="0B2E59"/>
          <w:sz w:val="23"/>
        </w:rPr>
        <w:t>FINANCIAL FEASIBILITY APPROACH</w:t>
      </w:r>
    </w:p>
    <w:tbl>
      <w:tblPr>
        <w:tblW w:type="dxa" w:w="9677"/>
        <w:jc w:val="center"/>
        <w:tblLayout w:type="fixed"/>
        <w:tblLook w:firstColumn="1" w:firstRow="1" w:lastColumn="0" w:lastRow="0" w:noHBand="0" w:noVBand="1" w:val="04A0"/>
        <w:tblInd w:w="100" w:type="dxa"/>
      </w:tblPr>
      <w:tblGrid>
        <w:gridCol w:w="1656"/>
        <w:gridCol w:w="2376"/>
        <w:gridCol w:w="5645"/>
      </w:tblGrid>
      <w:tr>
        <w:trPr>
          <w:tblHeader w:val="true"/>
          <w:cantSplit/>
        </w:trPr>
        <w:tc>
          <w:tcPr>
            <w:tcW w:type="dxa" w:w="1656"/>
            <w:shd w:fill="CFE2F3"/>
            <w:tcBorders>
              <w:top w:val="single" w:sz="9" w:color="000000"/>
              <w:left w:val="single" w:sz="9" w:color="000000"/>
              <w:bottom w:val="single" w:sz="9" w:color="000000"/>
              <w:right w:val="single" w:sz="9" w:color="000000"/>
              <w:insideH w:val="single" w:sz="9" w:color="000000"/>
              <w:insideV w:val="single" w:sz="9" w:color="000000"/>
            </w:tcBorders>
            <w:tcMar>
              <w:top w:w="82" w:type="dxa"/>
              <w:start w:w="100" w:type="dxa"/>
              <w:bottom w:w="82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11111"/>
                <w:sz w:val="16"/>
              </w:rPr>
              <w:t>Input</w:t>
            </w:r>
          </w:p>
        </w:tc>
        <w:tc>
          <w:tcPr>
            <w:tcW w:type="dxa" w:w="2376"/>
            <w:shd w:fill="CFE2F3"/>
            <w:tcBorders>
              <w:top w:val="single" w:sz="9" w:color="000000"/>
              <w:left w:val="single" w:sz="9" w:color="000000"/>
              <w:bottom w:val="single" w:sz="9" w:color="000000"/>
              <w:right w:val="single" w:sz="9" w:color="000000"/>
              <w:insideH w:val="single" w:sz="9" w:color="000000"/>
              <w:insideV w:val="single" w:sz="9" w:color="000000"/>
            </w:tcBorders>
            <w:tcMar>
              <w:top w:w="82" w:type="dxa"/>
              <w:start w:w="100" w:type="dxa"/>
              <w:bottom w:w="82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11111"/>
                <w:sz w:val="16"/>
              </w:rPr>
              <w:t>Current status</w:t>
            </w:r>
          </w:p>
        </w:tc>
        <w:tc>
          <w:tcPr>
            <w:tcW w:type="dxa" w:w="5645"/>
            <w:shd w:fill="CFE2F3"/>
            <w:tcBorders>
              <w:top w:val="single" w:sz="9" w:color="000000"/>
              <w:left w:val="single" w:sz="9" w:color="000000"/>
              <w:bottom w:val="single" w:sz="9" w:color="000000"/>
              <w:right w:val="single" w:sz="9" w:color="000000"/>
              <w:insideH w:val="single" w:sz="9" w:color="000000"/>
              <w:insideV w:val="single" w:sz="9" w:color="000000"/>
            </w:tcBorders>
            <w:tcMar>
              <w:top w:w="82" w:type="dxa"/>
              <w:start w:w="100" w:type="dxa"/>
              <w:bottom w:w="82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11111"/>
                <w:sz w:val="16"/>
              </w:rPr>
              <w:t>Pilot validation needed</w:t>
            </w:r>
          </w:p>
        </w:tc>
      </w:tr>
      <w:tr>
        <w:trPr>
          <w:cantSplit/>
        </w:trPr>
        <w:tc>
          <w:tcPr>
            <w:tcW w:type="dxa" w:w="1656"/>
            <w:tcBorders>
              <w:top w:val="single" w:sz="9" w:color="000000"/>
              <w:left w:val="single" w:sz="9" w:color="000000"/>
              <w:bottom w:val="single" w:sz="9" w:color="000000"/>
              <w:right w:val="single" w:sz="9" w:color="000000"/>
              <w:insideH w:val="single" w:sz="9" w:color="000000"/>
              <w:insideV w:val="single" w:sz="9" w:color="000000"/>
            </w:tcBorders>
            <w:tcMar>
              <w:top w:w="68" w:type="dxa"/>
              <w:start w:w="100" w:type="dxa"/>
              <w:bottom w:w="68" w:type="dxa"/>
              <w:end w:w="100" w:type="dxa"/>
            </w:tcMar>
            <w:vAlign w:val="top"/>
          </w:tcPr>
          <w:p>
            <w:pPr>
              <w:spacing w:after="0" w:line="235" w:lineRule="auto"/>
            </w:pPr>
            <w:r>
              <w:rPr>
                <w:rFonts w:ascii="Arial" w:hAnsi="Arial"/>
                <w:b w:val="0"/>
                <w:i w:val="0"/>
                <w:color w:val="111111"/>
                <w:sz w:val="15"/>
              </w:rPr>
              <w:t>Fleet size</w:t>
            </w:r>
          </w:p>
        </w:tc>
        <w:tc>
          <w:tcPr>
            <w:tcW w:type="dxa" w:w="2376"/>
            <w:tcBorders>
              <w:top w:val="single" w:sz="9" w:color="000000"/>
              <w:left w:val="single" w:sz="9" w:color="000000"/>
              <w:bottom w:val="single" w:sz="9" w:color="000000"/>
              <w:right w:val="single" w:sz="9" w:color="000000"/>
              <w:insideH w:val="single" w:sz="9" w:color="000000"/>
              <w:insideV w:val="single" w:sz="9" w:color="000000"/>
            </w:tcBorders>
            <w:tcMar>
              <w:top w:w="68" w:type="dxa"/>
              <w:start w:w="100" w:type="dxa"/>
              <w:bottom w:w="68" w:type="dxa"/>
              <w:end w:w="100" w:type="dxa"/>
            </w:tcMar>
            <w:vAlign w:val="top"/>
          </w:tcPr>
          <w:p>
            <w:pPr>
              <w:spacing w:after="0" w:line="235" w:lineRule="auto"/>
            </w:pPr>
            <w:r>
              <w:rPr>
                <w:rFonts w:ascii="Arial" w:hAnsi="Arial"/>
                <w:b w:val="0"/>
                <w:i w:val="0"/>
                <w:color w:val="111111"/>
                <w:sz w:val="15"/>
              </w:rPr>
              <w:t>1,943 vehicles | PROXY</w:t>
            </w:r>
          </w:p>
        </w:tc>
        <w:tc>
          <w:tcPr>
            <w:tcW w:type="dxa" w:w="5645"/>
            <w:tcBorders>
              <w:top w:val="single" w:sz="9" w:color="000000"/>
              <w:left w:val="single" w:sz="9" w:color="000000"/>
              <w:bottom w:val="single" w:sz="9" w:color="000000"/>
              <w:right w:val="single" w:sz="9" w:color="000000"/>
              <w:insideH w:val="single" w:sz="9" w:color="000000"/>
              <w:insideV w:val="single" w:sz="9" w:color="000000"/>
            </w:tcBorders>
            <w:tcMar>
              <w:top w:w="68" w:type="dxa"/>
              <w:start w:w="100" w:type="dxa"/>
              <w:bottom w:w="68" w:type="dxa"/>
              <w:end w:w="100" w:type="dxa"/>
            </w:tcMar>
            <w:vAlign w:val="top"/>
          </w:tcPr>
          <w:p>
            <w:pPr>
              <w:spacing w:after="0" w:line="235" w:lineRule="auto"/>
            </w:pPr>
            <w:r>
              <w:rPr>
                <w:rFonts w:ascii="Arial" w:hAnsi="Arial"/>
                <w:b w:val="0"/>
                <w:i w:val="0"/>
                <w:color w:val="111111"/>
                <w:sz w:val="15"/>
              </w:rPr>
              <w:t>Confirm active fleet, duty cycle, service plan, spare ratio, and replacement phasing by corridor.</w:t>
            </w:r>
          </w:p>
        </w:tc>
      </w:tr>
      <w:tr>
        <w:trPr>
          <w:cantSplit/>
        </w:trPr>
        <w:tc>
          <w:tcPr>
            <w:tcW w:type="dxa" w:w="1656"/>
            <w:tcBorders>
              <w:top w:val="single" w:sz="9" w:color="000000"/>
              <w:left w:val="single" w:sz="9" w:color="000000"/>
              <w:bottom w:val="single" w:sz="9" w:color="000000"/>
              <w:right w:val="single" w:sz="9" w:color="000000"/>
              <w:insideH w:val="single" w:sz="9" w:color="000000"/>
              <w:insideV w:val="single" w:sz="9" w:color="000000"/>
            </w:tcBorders>
            <w:tcMar>
              <w:top w:w="68" w:type="dxa"/>
              <w:start w:w="100" w:type="dxa"/>
              <w:bottom w:w="68" w:type="dxa"/>
              <w:end w:w="100" w:type="dxa"/>
            </w:tcMar>
            <w:shd w:fill="F8FAFC"/>
            <w:vAlign w:val="top"/>
          </w:tcPr>
          <w:p>
            <w:pPr>
              <w:spacing w:after="0" w:line="235" w:lineRule="auto"/>
            </w:pPr>
            <w:r>
              <w:rPr>
                <w:rFonts w:ascii="Arial" w:hAnsi="Arial"/>
                <w:b w:val="0"/>
                <w:i w:val="0"/>
                <w:color w:val="111111"/>
                <w:sz w:val="15"/>
              </w:rPr>
              <w:t>Vehicle cost</w:t>
            </w:r>
          </w:p>
        </w:tc>
        <w:tc>
          <w:tcPr>
            <w:tcW w:type="dxa" w:w="2376"/>
            <w:tcBorders>
              <w:top w:val="single" w:sz="9" w:color="000000"/>
              <w:left w:val="single" w:sz="9" w:color="000000"/>
              <w:bottom w:val="single" w:sz="9" w:color="000000"/>
              <w:right w:val="single" w:sz="9" w:color="000000"/>
              <w:insideH w:val="single" w:sz="9" w:color="000000"/>
              <w:insideV w:val="single" w:sz="9" w:color="000000"/>
            </w:tcBorders>
            <w:tcMar>
              <w:top w:w="68" w:type="dxa"/>
              <w:start w:w="100" w:type="dxa"/>
              <w:bottom w:w="68" w:type="dxa"/>
              <w:end w:w="100" w:type="dxa"/>
            </w:tcMar>
            <w:shd w:fill="F8FAFC"/>
            <w:vAlign w:val="top"/>
          </w:tcPr>
          <w:p>
            <w:pPr>
              <w:spacing w:after="0" w:line="235" w:lineRule="auto"/>
            </w:pPr>
            <w:r>
              <w:rPr>
                <w:rFonts w:ascii="Arial" w:hAnsi="Arial"/>
                <w:b w:val="0"/>
                <w:i w:val="0"/>
                <w:color w:val="111111"/>
                <w:sz w:val="15"/>
              </w:rPr>
              <w:t>PHP 2.5M/unit | PROXY</w:t>
            </w:r>
          </w:p>
        </w:tc>
        <w:tc>
          <w:tcPr>
            <w:tcW w:type="dxa" w:w="5645"/>
            <w:tcBorders>
              <w:top w:val="single" w:sz="9" w:color="000000"/>
              <w:left w:val="single" w:sz="9" w:color="000000"/>
              <w:bottom w:val="single" w:sz="9" w:color="000000"/>
              <w:right w:val="single" w:sz="9" w:color="000000"/>
              <w:insideH w:val="single" w:sz="9" w:color="000000"/>
              <w:insideV w:val="single" w:sz="9" w:color="000000"/>
            </w:tcBorders>
            <w:tcMar>
              <w:top w:w="68" w:type="dxa"/>
              <w:start w:w="100" w:type="dxa"/>
              <w:bottom w:w="68" w:type="dxa"/>
              <w:end w:w="100" w:type="dxa"/>
            </w:tcMar>
            <w:shd w:fill="F8FAFC"/>
            <w:vAlign w:val="top"/>
          </w:tcPr>
          <w:p>
            <w:pPr>
              <w:spacing w:after="0" w:line="235" w:lineRule="auto"/>
            </w:pPr>
            <w:r>
              <w:rPr>
                <w:rFonts w:ascii="Arial" w:hAnsi="Arial"/>
                <w:b w:val="0"/>
                <w:i w:val="0"/>
                <w:color w:val="111111"/>
                <w:sz w:val="15"/>
              </w:rPr>
              <w:t>Obtain supplier-neutral market evidence and define vehicle specification; do not treat the DOE planning value as a jeepney quote.</w:t>
            </w:r>
          </w:p>
        </w:tc>
      </w:tr>
      <w:tr>
        <w:trPr>
          <w:cantSplit/>
        </w:trPr>
        <w:tc>
          <w:tcPr>
            <w:tcW w:type="dxa" w:w="1656"/>
            <w:tcBorders>
              <w:top w:val="single" w:sz="9" w:color="000000"/>
              <w:left w:val="single" w:sz="9" w:color="000000"/>
              <w:bottom w:val="single" w:sz="9" w:color="000000"/>
              <w:right w:val="single" w:sz="9" w:color="000000"/>
              <w:insideH w:val="single" w:sz="9" w:color="000000"/>
              <w:insideV w:val="single" w:sz="9" w:color="000000"/>
            </w:tcBorders>
            <w:tcMar>
              <w:top w:w="68" w:type="dxa"/>
              <w:start w:w="100" w:type="dxa"/>
              <w:bottom w:w="68" w:type="dxa"/>
              <w:end w:w="100" w:type="dxa"/>
            </w:tcMar>
            <w:vAlign w:val="top"/>
          </w:tcPr>
          <w:p>
            <w:pPr>
              <w:spacing w:after="0" w:line="235" w:lineRule="auto"/>
            </w:pPr>
            <w:r>
              <w:rPr>
                <w:rFonts w:ascii="Arial" w:hAnsi="Arial"/>
                <w:b w:val="0"/>
                <w:i w:val="0"/>
                <w:color w:val="111111"/>
                <w:sz w:val="15"/>
              </w:rPr>
              <w:t>Charging</w:t>
            </w:r>
          </w:p>
        </w:tc>
        <w:tc>
          <w:tcPr>
            <w:tcW w:type="dxa" w:w="2376"/>
            <w:tcBorders>
              <w:top w:val="single" w:sz="9" w:color="000000"/>
              <w:left w:val="single" w:sz="9" w:color="000000"/>
              <w:bottom w:val="single" w:sz="9" w:color="000000"/>
              <w:right w:val="single" w:sz="9" w:color="000000"/>
              <w:insideH w:val="single" w:sz="9" w:color="000000"/>
              <w:insideV w:val="single" w:sz="9" w:color="000000"/>
            </w:tcBorders>
            <w:tcMar>
              <w:top w:w="68" w:type="dxa"/>
              <w:start w:w="100" w:type="dxa"/>
              <w:bottom w:w="68" w:type="dxa"/>
              <w:end w:w="100" w:type="dxa"/>
            </w:tcMar>
            <w:vAlign w:val="top"/>
          </w:tcPr>
          <w:p>
            <w:pPr>
              <w:spacing w:after="0" w:line="235" w:lineRule="auto"/>
            </w:pPr>
            <w:r>
              <w:rPr>
                <w:rFonts w:ascii="Arial" w:hAnsi="Arial"/>
                <w:b w:val="0"/>
                <w:i w:val="0"/>
                <w:color w:val="111111"/>
                <w:sz w:val="15"/>
              </w:rPr>
              <w:t>102 stations | PROXY</w:t>
            </w:r>
          </w:p>
        </w:tc>
        <w:tc>
          <w:tcPr>
            <w:tcW w:type="dxa" w:w="5645"/>
            <w:tcBorders>
              <w:top w:val="single" w:sz="9" w:color="000000"/>
              <w:left w:val="single" w:sz="9" w:color="000000"/>
              <w:bottom w:val="single" w:sz="9" w:color="000000"/>
              <w:right w:val="single" w:sz="9" w:color="000000"/>
              <w:insideH w:val="single" w:sz="9" w:color="000000"/>
              <w:insideV w:val="single" w:sz="9" w:color="000000"/>
            </w:tcBorders>
            <w:tcMar>
              <w:top w:w="68" w:type="dxa"/>
              <w:start w:w="100" w:type="dxa"/>
              <w:bottom w:w="68" w:type="dxa"/>
              <w:end w:w="100" w:type="dxa"/>
            </w:tcMar>
            <w:vAlign w:val="top"/>
          </w:tcPr>
          <w:p>
            <w:pPr>
              <w:spacing w:after="0" w:line="235" w:lineRule="auto"/>
            </w:pPr>
            <w:r>
              <w:rPr>
                <w:rFonts w:ascii="Arial" w:hAnsi="Arial"/>
                <w:b w:val="0"/>
                <w:i w:val="0"/>
                <w:color w:val="111111"/>
                <w:sz w:val="15"/>
              </w:rPr>
              <w:t>Validate charger power, depot layout, operating windows, utility capacity, interconnection, and civil works.</w:t>
            </w:r>
          </w:p>
        </w:tc>
      </w:tr>
      <w:tr>
        <w:trPr>
          <w:cantSplit/>
        </w:trPr>
        <w:tc>
          <w:tcPr>
            <w:tcW w:type="dxa" w:w="1656"/>
            <w:tcBorders>
              <w:top w:val="single" w:sz="9" w:color="000000"/>
              <w:left w:val="single" w:sz="9" w:color="000000"/>
              <w:bottom w:val="single" w:sz="9" w:color="000000"/>
              <w:right w:val="single" w:sz="9" w:color="000000"/>
              <w:insideH w:val="single" w:sz="9" w:color="000000"/>
              <w:insideV w:val="single" w:sz="9" w:color="000000"/>
            </w:tcBorders>
            <w:tcMar>
              <w:top w:w="68" w:type="dxa"/>
              <w:start w:w="100" w:type="dxa"/>
              <w:bottom w:w="68" w:type="dxa"/>
              <w:end w:w="100" w:type="dxa"/>
            </w:tcMar>
            <w:shd w:fill="F8FAFC"/>
            <w:vAlign w:val="top"/>
          </w:tcPr>
          <w:p>
            <w:pPr>
              <w:spacing w:after="0" w:line="235" w:lineRule="auto"/>
            </w:pPr>
            <w:r>
              <w:rPr>
                <w:rFonts w:ascii="Arial" w:hAnsi="Arial"/>
                <w:b w:val="0"/>
                <w:i w:val="0"/>
                <w:color w:val="111111"/>
                <w:sz w:val="15"/>
              </w:rPr>
              <w:t>Financing</w:t>
            </w:r>
          </w:p>
        </w:tc>
        <w:tc>
          <w:tcPr>
            <w:tcW w:type="dxa" w:w="2376"/>
            <w:tcBorders>
              <w:top w:val="single" w:sz="9" w:color="000000"/>
              <w:left w:val="single" w:sz="9" w:color="000000"/>
              <w:bottom w:val="single" w:sz="9" w:color="000000"/>
              <w:right w:val="single" w:sz="9" w:color="000000"/>
              <w:insideH w:val="single" w:sz="9" w:color="000000"/>
              <w:insideV w:val="single" w:sz="9" w:color="000000"/>
            </w:tcBorders>
            <w:tcMar>
              <w:top w:w="68" w:type="dxa"/>
              <w:start w:w="100" w:type="dxa"/>
              <w:bottom w:w="68" w:type="dxa"/>
              <w:end w:w="100" w:type="dxa"/>
            </w:tcMar>
            <w:shd w:fill="F8FAFC"/>
            <w:vAlign w:val="top"/>
          </w:tcPr>
          <w:p>
            <w:pPr>
              <w:spacing w:after="0" w:line="235" w:lineRule="auto"/>
            </w:pPr>
            <w:r>
              <w:rPr>
                <w:rFonts w:ascii="Arial" w:hAnsi="Arial"/>
                <w:b w:val="0"/>
                <w:i w:val="0"/>
                <w:color w:val="111111"/>
                <w:sz w:val="15"/>
              </w:rPr>
              <w:t>MISSING</w:t>
            </w:r>
          </w:p>
        </w:tc>
        <w:tc>
          <w:tcPr>
            <w:tcW w:type="dxa" w:w="5645"/>
            <w:tcBorders>
              <w:top w:val="single" w:sz="9" w:color="000000"/>
              <w:left w:val="single" w:sz="9" w:color="000000"/>
              <w:bottom w:val="single" w:sz="9" w:color="000000"/>
              <w:right w:val="single" w:sz="9" w:color="000000"/>
              <w:insideH w:val="single" w:sz="9" w:color="000000"/>
              <w:insideV w:val="single" w:sz="9" w:color="000000"/>
            </w:tcBorders>
            <w:tcMar>
              <w:top w:w="68" w:type="dxa"/>
              <w:start w:w="100" w:type="dxa"/>
              <w:bottom w:w="68" w:type="dxa"/>
              <w:end w:w="100" w:type="dxa"/>
            </w:tcMar>
            <w:shd w:fill="F8FAFC"/>
            <w:vAlign w:val="top"/>
          </w:tcPr>
          <w:p>
            <w:pPr>
              <w:spacing w:after="0" w:line="235" w:lineRule="auto"/>
            </w:pPr>
            <w:r>
              <w:rPr>
                <w:rFonts w:ascii="Arial" w:hAnsi="Arial"/>
                <w:b w:val="0"/>
                <w:i w:val="0"/>
                <w:color w:val="111111"/>
                <w:sz w:val="15"/>
              </w:rPr>
              <w:t>Confirm tariff structure, equity/debt source, grants or subsidy, repayment terms, insurance, and ownership model.</w:t>
            </w:r>
          </w:p>
        </w:tc>
      </w:tr>
    </w:tbl>
    <w:p>
      <w:pPr>
        <w:spacing w:before="0" w:after="60" w:line="254" w:lineRule="auto"/>
      </w:pPr>
      <w:r>
        <w:rPr>
          <w:rFonts w:ascii="Arial" w:hAnsi="Arial"/>
          <w:b w:val="0"/>
          <w:i w:val="0"/>
          <w:color w:val="111111"/>
          <w:sz w:val="16"/>
        </w:rPr>
        <w:t>Excluded from the current capital proxy: land or depot acquisition, civil works, distribution-system upgrades, interconnection fees, battery replacement, taxes, insurance, financing costs, and operations and maintenance.</w:t>
      </w:r>
    </w:p>
    <w:p>
      <w:pPr>
        <w:pStyle w:val="Heading1"/>
        <w:keepNext/>
        <w:spacing w:before="80" w:after="40"/>
      </w:pPr>
      <w:r>
        <w:rPr>
          <w:rFonts w:ascii="Arial" w:hAnsi="Arial"/>
          <w:b/>
          <w:i w:val="0"/>
          <w:color w:val="0B2E59"/>
          <w:sz w:val="23"/>
        </w:rPr>
        <w:t>DATA LICENSING &amp; ATTRIBUTION</w:t>
      </w:r>
    </w:p>
    <w:p>
      <w:pPr>
        <w:pStyle w:val="ListBullet"/>
        <w:spacing w:before="0" w:after="20" w:line="240" w:lineRule="auto"/>
        <w:ind w:left="317" w:hanging="202"/>
      </w:pPr>
      <w:r>
        <w:rPr>
          <w:rFonts w:ascii="Arial" w:hAnsi="Arial"/>
          <w:b w:val="0"/>
          <w:i w:val="0"/>
          <w:color w:val="111111"/>
          <w:sz w:val="16"/>
        </w:rPr>
        <w:t>Project code is MIT-licensed; source data retain their own licenses and conditions.</w:t>
      </w:r>
    </w:p>
    <w:p>
      <w:pPr>
        <w:pStyle w:val="ListBullet"/>
        <w:spacing w:before="0" w:after="20" w:line="240" w:lineRule="auto"/>
        <w:ind w:left="317" w:hanging="202"/>
      </w:pPr>
      <w:r>
        <w:rPr>
          <w:rFonts w:ascii="Arial" w:hAnsi="Arial"/>
          <w:b w:val="0"/>
          <w:i w:val="0"/>
          <w:color w:val="111111"/>
          <w:sz w:val="16"/>
        </w:rPr>
        <w:t>OpenStreetMap route and infrastructure data require attribution to OpenStreetMap contributors and are used under ODbL. Attribution must remain visible in maps, exports, decision packs, and future field-data updates.</w:t>
      </w:r>
    </w:p>
    <w:p>
      <w:pPr>
        <w:pStyle w:val="ListBullet"/>
        <w:spacing w:before="0" w:after="20" w:line="240" w:lineRule="auto"/>
        <w:ind w:left="317" w:hanging="202"/>
      </w:pPr>
      <w:r>
        <w:rPr>
          <w:rFonts w:ascii="Arial" w:hAnsi="Arial"/>
          <w:b w:val="0"/>
          <w:i w:val="0"/>
          <w:color w:val="111111"/>
          <w:sz w:val="16"/>
        </w:rPr>
        <w:t>The source registry records URLs, retrieval dates, license notes, checksums, and claim scope. Pilot owners review these before every release.</w:t>
      </w:r>
    </w:p>
    <w:p>
      <w:pPr>
        <w:pStyle w:val="ListBullet"/>
        <w:spacing w:before="0" w:after="20" w:line="240" w:lineRule="auto"/>
        <w:ind w:left="317" w:hanging="202"/>
      </w:pPr>
      <w:r>
        <w:rPr>
          <w:rFonts w:ascii="Arial" w:hAnsi="Arial"/>
          <w:b w:val="0"/>
          <w:i w:val="0"/>
          <w:color w:val="111111"/>
          <w:sz w:val="16"/>
        </w:rPr>
        <w:t>New local evidence is accepted only with an accountable source, observation date, permission basis where relevant, and a field-level claim status.</w:t>
      </w:r>
    </w:p>
    <w:p>
      <w:pPr>
        <w:pStyle w:val="Heading1"/>
        <w:keepNext/>
        <w:spacing w:before="80" w:after="40"/>
      </w:pPr>
      <w:r>
        <w:rPr>
          <w:rFonts w:ascii="Arial" w:hAnsi="Arial"/>
          <w:b/>
          <w:i w:val="0"/>
          <w:color w:val="0B2E59"/>
          <w:sz w:val="23"/>
        </w:rPr>
        <w:t>SUBMISSION HEAD START</w:t>
      </w:r>
    </w:p>
    <w:p>
      <w:pPr>
        <w:spacing w:before="0" w:after="60" w:line="254" w:lineRule="auto"/>
      </w:pPr>
      <w:r>
        <w:rPr>
          <w:rFonts w:ascii="Arial" w:hAnsi="Arial"/>
          <w:b w:val="0"/>
          <w:i w:val="0"/>
          <w:color w:val="111111"/>
          <w:sz w:val="16"/>
        </w:rPr>
        <w:t>The evidence set includes 20 dated OSM route matches, 20 observed member-way geometries, and 22 usable source geometries. These records reduce the initial desk-review burden but do not prove active operations or franchise authority.</w:t>
      </w:r>
    </w:p>
    <w:p>
      <w:pPr>
        <w:spacing w:before="0" w:after="0" w:line="254" w:lineRule="auto"/>
      </w:pPr>
      <w:r>
        <w:rPr>
          <w:rFonts w:ascii="Arial" w:hAnsi="Arial"/>
          <w:b w:val="0"/>
          <w:i w:val="0"/>
          <w:color w:val="111111"/>
          <w:sz w:val="14"/>
        </w:rPr>
        <w:t>Baseline traceability: build r2z-a7181752a17d | scenario scn-e0f12f397e | portfolio prt-fd6de9d793</w:t>
      </w:r>
    </w:p>
    <w:p>
      <w:pPr>
        <w:keepNext/>
        <w:pageBreakBefore/>
        <w:spacing w:after="20"/>
        <w:ind w:left="-1123" w:right="-1123"/>
      </w:pPr>
      <w:r>
        <w:drawing>
          <wp:inline xmlns:a="http://schemas.openxmlformats.org/drawingml/2006/main" xmlns:pic="http://schemas.openxmlformats.org/drawingml/2006/picture">
            <wp:extent cx="7560000" cy="935728"/>
            <wp:docPr id="5" name="Picture 5" descr="AI x City Climate Action Hackathon 2026 partner banner" title="AI x City Climate Action Hackathon 20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ackathon-template-banner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9357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0" w:after="20"/>
      </w:pPr>
      <w:hyperlink r:id="rId11">
        <w:r>
          <w:rPr>
            <w:rFonts w:ascii="Arial" w:hAnsi="Arial"/>
            <w:color w:val="075A91"/>
            <w:u w:val="single"/>
            <w:sz w:val="17"/>
          </w:rPr>
          <w:t>GitHub: https://github.com/qjmre23/Route2Zero</w:t>
        </w:r>
      </w:hyperlink>
      <w:r>
        <w:rPr>
          <w:rFonts w:ascii="Arial" w:hAnsi="Arial"/>
          <w:b w:val="0"/>
          <w:i w:val="0"/>
          <w:color w:val="4B5563"/>
          <w:sz w:val="16"/>
        </w:rPr>
        <w:t xml:space="preserve">   |   </w:t>
      </w:r>
      <w:hyperlink r:id="rId12">
        <w:r>
          <w:rPr>
            <w:rFonts w:ascii="Arial" w:hAnsi="Arial"/>
            <w:color w:val="075A91"/>
            <w:u w:val="single"/>
            <w:sz w:val="17"/>
          </w:rPr>
          <w:t>Live dashboard: https://route2zero.netlify.app/</w:t>
        </w:r>
      </w:hyperlink>
    </w:p>
    <w:p>
      <w:pPr>
        <w:keepNext/>
        <w:spacing w:before="0" w:after="40"/>
        <w:jc w:val="right"/>
      </w:pPr>
      <w:r>
        <w:rPr>
          <w:rFonts w:ascii="Arial" w:hAnsi="Arial"/>
          <w:b/>
          <w:i w:val="0"/>
          <w:color w:val="4B5563"/>
          <w:sz w:val="14"/>
        </w:rPr>
        <w:t>TEAM STRUCTURE / PARTNERS / HANDOVER</w:t>
      </w:r>
    </w:p>
    <w:p>
      <w:pPr>
        <w:pStyle w:val="Title"/>
        <w:keepNext/>
        <w:spacing w:before="20" w:after="40"/>
      </w:pPr>
      <w:r>
        <w:rPr>
          <w:rFonts w:ascii="Arial" w:hAnsi="Arial"/>
          <w:b/>
          <w:i w:val="0"/>
          <w:color w:val="111111"/>
          <w:sz w:val="38"/>
        </w:rPr>
        <w:t>Named owners from data collection to city handover</w:t>
      </w:r>
    </w:p>
    <w:p>
      <w:pPr>
        <w:pStyle w:val="Heading1"/>
        <w:keepNext/>
        <w:spacing w:before="80" w:after="40"/>
      </w:pPr>
      <w:r>
        <w:rPr>
          <w:rFonts w:ascii="Arial" w:hAnsi="Arial"/>
          <w:b/>
          <w:i w:val="0"/>
          <w:color w:val="0B2E59"/>
          <w:sz w:val="23"/>
        </w:rPr>
        <w:t>TEAM STRUCTURE</w:t>
      </w:r>
    </w:p>
    <w:tbl>
      <w:tblPr>
        <w:tblW w:type="dxa" w:w="9677"/>
        <w:jc w:val="center"/>
        <w:tblLayout w:type="fixed"/>
        <w:tblLook w:firstColumn="1" w:firstRow="1" w:lastColumn="0" w:lastRow="0" w:noHBand="0" w:noVBand="1" w:val="04A0"/>
        <w:tblInd w:w="100" w:type="dxa"/>
      </w:tblPr>
      <w:tblGrid>
        <w:gridCol w:w="2765"/>
        <w:gridCol w:w="2592"/>
        <w:gridCol w:w="4320"/>
      </w:tblGrid>
      <w:tr>
        <w:trPr>
          <w:tblHeader w:val="true"/>
          <w:cantSplit/>
        </w:trPr>
        <w:tc>
          <w:tcPr>
            <w:tcW w:type="dxa" w:w="2765"/>
            <w:shd w:fill="CFE2F3"/>
            <w:tcBorders>
              <w:top w:val="single" w:sz="9" w:color="000000"/>
              <w:left w:val="single" w:sz="9" w:color="000000"/>
              <w:bottom w:val="single" w:sz="9" w:color="000000"/>
              <w:right w:val="single" w:sz="9" w:color="000000"/>
              <w:insideH w:val="single" w:sz="9" w:color="000000"/>
              <w:insideV w:val="single" w:sz="9" w:color="000000"/>
            </w:tcBorders>
            <w:tcMar>
              <w:top w:w="82" w:type="dxa"/>
              <w:start w:w="100" w:type="dxa"/>
              <w:bottom w:w="82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11111"/>
                <w:sz w:val="14"/>
              </w:rPr>
              <w:t>Name</w:t>
            </w:r>
          </w:p>
        </w:tc>
        <w:tc>
          <w:tcPr>
            <w:tcW w:type="dxa" w:w="2592"/>
            <w:shd w:fill="CFE2F3"/>
            <w:tcBorders>
              <w:top w:val="single" w:sz="9" w:color="000000"/>
              <w:left w:val="single" w:sz="9" w:color="000000"/>
              <w:bottom w:val="single" w:sz="9" w:color="000000"/>
              <w:right w:val="single" w:sz="9" w:color="000000"/>
              <w:insideH w:val="single" w:sz="9" w:color="000000"/>
              <w:insideV w:val="single" w:sz="9" w:color="000000"/>
            </w:tcBorders>
            <w:tcMar>
              <w:top w:w="82" w:type="dxa"/>
              <w:start w:w="100" w:type="dxa"/>
              <w:bottom w:w="82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11111"/>
                <w:sz w:val="14"/>
              </w:rPr>
              <w:t>Role</w:t>
            </w:r>
          </w:p>
        </w:tc>
        <w:tc>
          <w:tcPr>
            <w:tcW w:type="dxa" w:w="4320"/>
            <w:shd w:fill="CFE2F3"/>
            <w:tcBorders>
              <w:top w:val="single" w:sz="9" w:color="000000"/>
              <w:left w:val="single" w:sz="9" w:color="000000"/>
              <w:bottom w:val="single" w:sz="9" w:color="000000"/>
              <w:right w:val="single" w:sz="9" w:color="000000"/>
              <w:insideH w:val="single" w:sz="9" w:color="000000"/>
              <w:insideV w:val="single" w:sz="9" w:color="000000"/>
            </w:tcBorders>
            <w:tcMar>
              <w:top w:w="82" w:type="dxa"/>
              <w:start w:w="100" w:type="dxa"/>
              <w:bottom w:w="82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11111"/>
                <w:sz w:val="14"/>
              </w:rPr>
              <w:t>Relevant background / experience / skills for this role</w:t>
            </w:r>
          </w:p>
        </w:tc>
      </w:tr>
      <w:tr>
        <w:trPr>
          <w:cantSplit/>
        </w:trPr>
        <w:tc>
          <w:tcPr>
            <w:tcW w:type="dxa" w:w="2765"/>
            <w:tcBorders>
              <w:top w:val="single" w:sz="9" w:color="000000"/>
              <w:left w:val="single" w:sz="9" w:color="000000"/>
              <w:bottom w:val="single" w:sz="9" w:color="000000"/>
              <w:right w:val="single" w:sz="9" w:color="000000"/>
              <w:insideH w:val="single" w:sz="9" w:color="000000"/>
              <w:insideV w:val="single" w:sz="9" w:color="000000"/>
            </w:tcBorders>
            <w:tcMar>
              <w:top w:w="68" w:type="dxa"/>
              <w:start w:w="100" w:type="dxa"/>
              <w:bottom w:w="68" w:type="dxa"/>
              <w:end w:w="100" w:type="dxa"/>
            </w:tcMar>
            <w:vAlign w:val="top"/>
          </w:tcPr>
          <w:p>
            <w:pPr>
              <w:spacing w:after="0" w:line="235" w:lineRule="auto"/>
            </w:pPr>
            <w:r>
              <w:rPr>
                <w:rFonts w:ascii="Arial" w:hAnsi="Arial"/>
                <w:b w:val="0"/>
                <w:i w:val="0"/>
                <w:color w:val="111111"/>
                <w:sz w:val="14"/>
              </w:rPr>
              <w:t>John Marwin Ebona</w:t>
            </w:r>
          </w:p>
        </w:tc>
        <w:tc>
          <w:tcPr>
            <w:tcW w:type="dxa" w:w="2592"/>
            <w:tcBorders>
              <w:top w:val="single" w:sz="9" w:color="000000"/>
              <w:left w:val="single" w:sz="9" w:color="000000"/>
              <w:bottom w:val="single" w:sz="9" w:color="000000"/>
              <w:right w:val="single" w:sz="9" w:color="000000"/>
              <w:insideH w:val="single" w:sz="9" w:color="000000"/>
              <w:insideV w:val="single" w:sz="9" w:color="000000"/>
            </w:tcBorders>
            <w:tcMar>
              <w:top w:w="68" w:type="dxa"/>
              <w:start w:w="100" w:type="dxa"/>
              <w:bottom w:w="68" w:type="dxa"/>
              <w:end w:w="100" w:type="dxa"/>
            </w:tcMar>
            <w:vAlign w:val="top"/>
          </w:tcPr>
          <w:p>
            <w:pPr>
              <w:spacing w:after="0" w:line="235" w:lineRule="auto"/>
            </w:pPr>
            <w:r>
              <w:rPr>
                <w:rFonts w:ascii="Arial" w:hAnsi="Arial"/>
                <w:b w:val="0"/>
                <w:i w:val="0"/>
                <w:color w:val="111111"/>
                <w:sz w:val="14"/>
              </w:rPr>
              <w:t>Product &amp; Pilot Lead</w:t>
            </w:r>
          </w:p>
        </w:tc>
        <w:tc>
          <w:tcPr>
            <w:tcW w:type="dxa" w:w="4320"/>
            <w:tcBorders>
              <w:top w:val="single" w:sz="9" w:color="000000"/>
              <w:left w:val="single" w:sz="9" w:color="000000"/>
              <w:bottom w:val="single" w:sz="9" w:color="000000"/>
              <w:right w:val="single" w:sz="9" w:color="000000"/>
              <w:insideH w:val="single" w:sz="9" w:color="000000"/>
              <w:insideV w:val="single" w:sz="9" w:color="000000"/>
            </w:tcBorders>
            <w:tcMar>
              <w:top w:w="68" w:type="dxa"/>
              <w:start w:w="100" w:type="dxa"/>
              <w:bottom w:w="68" w:type="dxa"/>
              <w:end w:w="100" w:type="dxa"/>
            </w:tcMar>
            <w:vAlign w:val="top"/>
          </w:tcPr>
          <w:p>
            <w:pPr>
              <w:spacing w:after="0" w:line="235" w:lineRule="auto"/>
            </w:pPr>
            <w:r>
              <w:rPr>
                <w:rFonts w:ascii="Arial" w:hAnsi="Arial"/>
                <w:b w:val="0"/>
                <w:i w:val="0"/>
                <w:color w:val="111111"/>
                <w:sz w:val="14"/>
              </w:rPr>
              <w:t>City coordination, decision question, gates, integration, decision pack, handover.</w:t>
            </w:r>
          </w:p>
        </w:tc>
      </w:tr>
      <w:tr>
        <w:trPr>
          <w:cantSplit/>
        </w:trPr>
        <w:tc>
          <w:tcPr>
            <w:tcW w:type="dxa" w:w="2765"/>
            <w:tcBorders>
              <w:top w:val="single" w:sz="9" w:color="000000"/>
              <w:left w:val="single" w:sz="9" w:color="000000"/>
              <w:bottom w:val="single" w:sz="9" w:color="000000"/>
              <w:right w:val="single" w:sz="9" w:color="000000"/>
              <w:insideH w:val="single" w:sz="9" w:color="000000"/>
              <w:insideV w:val="single" w:sz="9" w:color="000000"/>
            </w:tcBorders>
            <w:tcMar>
              <w:top w:w="68" w:type="dxa"/>
              <w:start w:w="100" w:type="dxa"/>
              <w:bottom w:w="68" w:type="dxa"/>
              <w:end w:w="100" w:type="dxa"/>
            </w:tcMar>
            <w:shd w:fill="F8FAFC"/>
            <w:vAlign w:val="top"/>
          </w:tcPr>
          <w:p>
            <w:pPr>
              <w:spacing w:after="0" w:line="235" w:lineRule="auto"/>
            </w:pPr>
            <w:r>
              <w:rPr>
                <w:rFonts w:ascii="Arial" w:hAnsi="Arial"/>
                <w:b w:val="0"/>
                <w:i w:val="0"/>
                <w:color w:val="111111"/>
                <w:sz w:val="14"/>
              </w:rPr>
              <w:t>Isaac Marcus</w:t>
            </w:r>
          </w:p>
        </w:tc>
        <w:tc>
          <w:tcPr>
            <w:tcW w:type="dxa" w:w="2592"/>
            <w:tcBorders>
              <w:top w:val="single" w:sz="9" w:color="000000"/>
              <w:left w:val="single" w:sz="9" w:color="000000"/>
              <w:bottom w:val="single" w:sz="9" w:color="000000"/>
              <w:right w:val="single" w:sz="9" w:color="000000"/>
              <w:insideH w:val="single" w:sz="9" w:color="000000"/>
              <w:insideV w:val="single" w:sz="9" w:color="000000"/>
            </w:tcBorders>
            <w:tcMar>
              <w:top w:w="68" w:type="dxa"/>
              <w:start w:w="100" w:type="dxa"/>
              <w:bottom w:w="68" w:type="dxa"/>
              <w:end w:w="100" w:type="dxa"/>
            </w:tcMar>
            <w:shd w:fill="F8FAFC"/>
            <w:vAlign w:val="top"/>
          </w:tcPr>
          <w:p>
            <w:pPr>
              <w:spacing w:after="0" w:line="235" w:lineRule="auto"/>
            </w:pPr>
            <w:r>
              <w:rPr>
                <w:rFonts w:ascii="Arial" w:hAnsi="Arial"/>
                <w:b w:val="0"/>
                <w:i w:val="0"/>
                <w:color w:val="111111"/>
                <w:sz w:val="14"/>
              </w:rPr>
              <w:t>Engineering &amp; Deployment Lead</w:t>
            </w:r>
          </w:p>
        </w:tc>
        <w:tc>
          <w:tcPr>
            <w:tcW w:type="dxa" w:w="4320"/>
            <w:tcBorders>
              <w:top w:val="single" w:sz="9" w:color="000000"/>
              <w:left w:val="single" w:sz="9" w:color="000000"/>
              <w:bottom w:val="single" w:sz="9" w:color="000000"/>
              <w:right w:val="single" w:sz="9" w:color="000000"/>
              <w:insideH w:val="single" w:sz="9" w:color="000000"/>
              <w:insideV w:val="single" w:sz="9" w:color="000000"/>
            </w:tcBorders>
            <w:tcMar>
              <w:top w:w="68" w:type="dxa"/>
              <w:start w:w="100" w:type="dxa"/>
              <w:bottom w:w="68" w:type="dxa"/>
              <w:end w:w="100" w:type="dxa"/>
            </w:tcMar>
            <w:shd w:fill="F8FAFC"/>
            <w:vAlign w:val="top"/>
          </w:tcPr>
          <w:p>
            <w:pPr>
              <w:spacing w:after="0" w:line="235" w:lineRule="auto"/>
            </w:pPr>
            <w:r>
              <w:rPr>
                <w:rFonts w:ascii="Arial" w:hAnsi="Arial"/>
                <w:b w:val="0"/>
                <w:i w:val="0"/>
                <w:color w:val="111111"/>
                <w:sz w:val="14"/>
              </w:rPr>
              <w:t>Dashboard, scenarios, Netlify, Mapbox, reliability, and deterministic fallbacks.</w:t>
            </w:r>
          </w:p>
        </w:tc>
      </w:tr>
      <w:tr>
        <w:trPr>
          <w:cantSplit/>
        </w:trPr>
        <w:tc>
          <w:tcPr>
            <w:tcW w:type="dxa" w:w="2765"/>
            <w:tcBorders>
              <w:top w:val="single" w:sz="9" w:color="000000"/>
              <w:left w:val="single" w:sz="9" w:color="000000"/>
              <w:bottom w:val="single" w:sz="9" w:color="000000"/>
              <w:right w:val="single" w:sz="9" w:color="000000"/>
              <w:insideH w:val="single" w:sz="9" w:color="000000"/>
              <w:insideV w:val="single" w:sz="9" w:color="000000"/>
            </w:tcBorders>
            <w:tcMar>
              <w:top w:w="68" w:type="dxa"/>
              <w:start w:w="100" w:type="dxa"/>
              <w:bottom w:w="68" w:type="dxa"/>
              <w:end w:w="100" w:type="dxa"/>
            </w:tcMar>
            <w:vAlign w:val="top"/>
          </w:tcPr>
          <w:p>
            <w:pPr>
              <w:spacing w:after="0" w:line="235" w:lineRule="auto"/>
            </w:pPr>
            <w:r>
              <w:rPr>
                <w:rFonts w:ascii="Arial" w:hAnsi="Arial"/>
                <w:b w:val="0"/>
                <w:i w:val="0"/>
                <w:color w:val="111111"/>
                <w:sz w:val="14"/>
              </w:rPr>
              <w:t>Andrei Dela Cruz</w:t>
            </w:r>
          </w:p>
        </w:tc>
        <w:tc>
          <w:tcPr>
            <w:tcW w:type="dxa" w:w="2592"/>
            <w:tcBorders>
              <w:top w:val="single" w:sz="9" w:color="000000"/>
              <w:left w:val="single" w:sz="9" w:color="000000"/>
              <w:bottom w:val="single" w:sz="9" w:color="000000"/>
              <w:right w:val="single" w:sz="9" w:color="000000"/>
              <w:insideH w:val="single" w:sz="9" w:color="000000"/>
              <w:insideV w:val="single" w:sz="9" w:color="000000"/>
            </w:tcBorders>
            <w:tcMar>
              <w:top w:w="68" w:type="dxa"/>
              <w:start w:w="100" w:type="dxa"/>
              <w:bottom w:w="68" w:type="dxa"/>
              <w:end w:w="100" w:type="dxa"/>
            </w:tcMar>
            <w:vAlign w:val="top"/>
          </w:tcPr>
          <w:p>
            <w:pPr>
              <w:spacing w:after="0" w:line="235" w:lineRule="auto"/>
            </w:pPr>
            <w:r>
              <w:rPr>
                <w:rFonts w:ascii="Arial" w:hAnsi="Arial"/>
                <w:b w:val="0"/>
                <w:i w:val="0"/>
                <w:color w:val="111111"/>
                <w:sz w:val="14"/>
              </w:rPr>
              <w:t>Policy &amp; Responsible AI Lead</w:t>
            </w:r>
          </w:p>
        </w:tc>
        <w:tc>
          <w:tcPr>
            <w:tcW w:type="dxa" w:w="4320"/>
            <w:tcBorders>
              <w:top w:val="single" w:sz="9" w:color="000000"/>
              <w:left w:val="single" w:sz="9" w:color="000000"/>
              <w:bottom w:val="single" w:sz="9" w:color="000000"/>
              <w:right w:val="single" w:sz="9" w:color="000000"/>
              <w:insideH w:val="single" w:sz="9" w:color="000000"/>
              <w:insideV w:val="single" w:sz="9" w:color="000000"/>
            </w:tcBorders>
            <w:tcMar>
              <w:top w:w="68" w:type="dxa"/>
              <w:start w:w="100" w:type="dxa"/>
              <w:bottom w:w="68" w:type="dxa"/>
              <w:end w:w="100" w:type="dxa"/>
            </w:tcMar>
            <w:vAlign w:val="top"/>
          </w:tcPr>
          <w:p>
            <w:pPr>
              <w:spacing w:after="0" w:line="235" w:lineRule="auto"/>
            </w:pPr>
            <w:r>
              <w:rPr>
                <w:rFonts w:ascii="Arial" w:hAnsi="Arial"/>
                <w:b w:val="0"/>
                <w:i w:val="0"/>
                <w:color w:val="111111"/>
                <w:sz w:val="14"/>
              </w:rPr>
              <w:t>Policy controls, decision rights, workshops, risk controls, and responsible AI.</w:t>
            </w:r>
          </w:p>
        </w:tc>
      </w:tr>
      <w:tr>
        <w:trPr>
          <w:cantSplit/>
        </w:trPr>
        <w:tc>
          <w:tcPr>
            <w:tcW w:type="dxa" w:w="2765"/>
            <w:tcBorders>
              <w:top w:val="single" w:sz="9" w:color="000000"/>
              <w:left w:val="single" w:sz="9" w:color="000000"/>
              <w:bottom w:val="single" w:sz="9" w:color="000000"/>
              <w:right w:val="single" w:sz="9" w:color="000000"/>
              <w:insideH w:val="single" w:sz="9" w:color="000000"/>
              <w:insideV w:val="single" w:sz="9" w:color="000000"/>
            </w:tcBorders>
            <w:tcMar>
              <w:top w:w="68" w:type="dxa"/>
              <w:start w:w="100" w:type="dxa"/>
              <w:bottom w:w="68" w:type="dxa"/>
              <w:end w:w="100" w:type="dxa"/>
            </w:tcMar>
            <w:shd w:fill="F8FAFC"/>
            <w:vAlign w:val="top"/>
          </w:tcPr>
          <w:p>
            <w:pPr>
              <w:spacing w:after="0" w:line="235" w:lineRule="auto"/>
            </w:pPr>
            <w:r>
              <w:rPr>
                <w:rFonts w:ascii="Arial" w:hAnsi="Arial"/>
                <w:b w:val="0"/>
                <w:i w:val="0"/>
                <w:color w:val="111111"/>
                <w:sz w:val="14"/>
              </w:rPr>
              <w:t>Russel Mendez</w:t>
            </w:r>
          </w:p>
        </w:tc>
        <w:tc>
          <w:tcPr>
            <w:tcW w:type="dxa" w:w="2592"/>
            <w:tcBorders>
              <w:top w:val="single" w:sz="9" w:color="000000"/>
              <w:left w:val="single" w:sz="9" w:color="000000"/>
              <w:bottom w:val="single" w:sz="9" w:color="000000"/>
              <w:right w:val="single" w:sz="9" w:color="000000"/>
              <w:insideH w:val="single" w:sz="9" w:color="000000"/>
              <w:insideV w:val="single" w:sz="9" w:color="000000"/>
            </w:tcBorders>
            <w:tcMar>
              <w:top w:w="68" w:type="dxa"/>
              <w:start w:w="100" w:type="dxa"/>
              <w:bottom w:w="68" w:type="dxa"/>
              <w:end w:w="100" w:type="dxa"/>
            </w:tcMar>
            <w:shd w:fill="F8FAFC"/>
            <w:vAlign w:val="top"/>
          </w:tcPr>
          <w:p>
            <w:pPr>
              <w:spacing w:after="0" w:line="235" w:lineRule="auto"/>
            </w:pPr>
            <w:r>
              <w:rPr>
                <w:rFonts w:ascii="Arial" w:hAnsi="Arial"/>
                <w:b w:val="0"/>
                <w:i w:val="0"/>
                <w:color w:val="111111"/>
                <w:sz w:val="14"/>
              </w:rPr>
              <w:t>Climate &amp; Evidence Lead</w:t>
            </w:r>
          </w:p>
        </w:tc>
        <w:tc>
          <w:tcPr>
            <w:tcW w:type="dxa" w:w="4320"/>
            <w:tcBorders>
              <w:top w:val="single" w:sz="9" w:color="000000"/>
              <w:left w:val="single" w:sz="9" w:color="000000"/>
              <w:bottom w:val="single" w:sz="9" w:color="000000"/>
              <w:right w:val="single" w:sz="9" w:color="000000"/>
              <w:insideH w:val="single" w:sz="9" w:color="000000"/>
              <w:insideV w:val="single" w:sz="9" w:color="000000"/>
            </w:tcBorders>
            <w:tcMar>
              <w:top w:w="68" w:type="dxa"/>
              <w:start w:w="100" w:type="dxa"/>
              <w:bottom w:w="68" w:type="dxa"/>
              <w:end w:w="100" w:type="dxa"/>
            </w:tcMar>
            <w:shd w:fill="F8FAFC"/>
            <w:vAlign w:val="top"/>
          </w:tcPr>
          <w:p>
            <w:pPr>
              <w:spacing w:after="0" w:line="235" w:lineRule="auto"/>
            </w:pPr>
            <w:r>
              <w:rPr>
                <w:rFonts w:ascii="Arial" w:hAnsi="Arial"/>
                <w:b w:val="0"/>
                <w:i w:val="0"/>
                <w:color w:val="111111"/>
                <w:sz w:val="14"/>
              </w:rPr>
              <w:t>Climate and energy method, source review, evidence confidence, and documentation.</w:t>
            </w:r>
          </w:p>
        </w:tc>
      </w:tr>
      <w:tr>
        <w:trPr>
          <w:cantSplit/>
        </w:trPr>
        <w:tc>
          <w:tcPr>
            <w:tcW w:type="dxa" w:w="2765"/>
            <w:tcBorders>
              <w:top w:val="single" w:sz="9" w:color="000000"/>
              <w:left w:val="single" w:sz="9" w:color="000000"/>
              <w:bottom w:val="single" w:sz="9" w:color="000000"/>
              <w:right w:val="single" w:sz="9" w:color="000000"/>
              <w:insideH w:val="single" w:sz="9" w:color="000000"/>
              <w:insideV w:val="single" w:sz="9" w:color="000000"/>
            </w:tcBorders>
            <w:tcMar>
              <w:top w:w="68" w:type="dxa"/>
              <w:start w:w="100" w:type="dxa"/>
              <w:bottom w:w="68" w:type="dxa"/>
              <w:end w:w="100" w:type="dxa"/>
            </w:tcMar>
            <w:vAlign w:val="top"/>
          </w:tcPr>
          <w:p>
            <w:pPr>
              <w:spacing w:after="0" w:line="235" w:lineRule="auto"/>
            </w:pPr>
            <w:r>
              <w:rPr>
                <w:rFonts w:ascii="Arial" w:hAnsi="Arial"/>
                <w:b w:val="0"/>
                <w:i w:val="0"/>
                <w:color w:val="111111"/>
                <w:sz w:val="14"/>
              </w:rPr>
              <w:t>Joaquin Sarmiento</w:t>
            </w:r>
          </w:p>
        </w:tc>
        <w:tc>
          <w:tcPr>
            <w:tcW w:type="dxa" w:w="2592"/>
            <w:tcBorders>
              <w:top w:val="single" w:sz="9" w:color="000000"/>
              <w:left w:val="single" w:sz="9" w:color="000000"/>
              <w:bottom w:val="single" w:sz="9" w:color="000000"/>
              <w:right w:val="single" w:sz="9" w:color="000000"/>
              <w:insideH w:val="single" w:sz="9" w:color="000000"/>
              <w:insideV w:val="single" w:sz="9" w:color="000000"/>
            </w:tcBorders>
            <w:tcMar>
              <w:top w:w="68" w:type="dxa"/>
              <w:start w:w="100" w:type="dxa"/>
              <w:bottom w:w="68" w:type="dxa"/>
              <w:end w:w="100" w:type="dxa"/>
            </w:tcMar>
            <w:vAlign w:val="top"/>
          </w:tcPr>
          <w:p>
            <w:pPr>
              <w:spacing w:after="0" w:line="235" w:lineRule="auto"/>
            </w:pPr>
            <w:r>
              <w:rPr>
                <w:rFonts w:ascii="Arial" w:hAnsi="Arial"/>
                <w:b w:val="0"/>
                <w:i w:val="0"/>
                <w:color w:val="111111"/>
                <w:sz w:val="14"/>
              </w:rPr>
              <w:t>Data &amp; ML Lead</w:t>
            </w:r>
          </w:p>
        </w:tc>
        <w:tc>
          <w:tcPr>
            <w:tcW w:type="dxa" w:w="4320"/>
            <w:tcBorders>
              <w:top w:val="single" w:sz="9" w:color="000000"/>
              <w:left w:val="single" w:sz="9" w:color="000000"/>
              <w:bottom w:val="single" w:sz="9" w:color="000000"/>
              <w:right w:val="single" w:sz="9" w:color="000000"/>
              <w:insideH w:val="single" w:sz="9" w:color="000000"/>
              <w:insideV w:val="single" w:sz="9" w:color="000000"/>
            </w:tcBorders>
            <w:tcMar>
              <w:top w:w="68" w:type="dxa"/>
              <w:start w:w="100" w:type="dxa"/>
              <w:bottom w:w="68" w:type="dxa"/>
              <w:end w:w="100" w:type="dxa"/>
            </w:tcMar>
            <w:vAlign w:val="top"/>
          </w:tcPr>
          <w:p>
            <w:pPr>
              <w:spacing w:after="0" w:line="235" w:lineRule="auto"/>
            </w:pPr>
            <w:r>
              <w:rPr>
                <w:rFonts w:ascii="Arial" w:hAnsi="Arial"/>
                <w:b w:val="0"/>
                <w:i w:val="0"/>
                <w:color w:val="111111"/>
                <w:sz w:val="14"/>
              </w:rPr>
              <w:t>Source registry, feature store, service model, metrics, manifest, and model refresh.</w:t>
            </w:r>
          </w:p>
        </w:tc>
      </w:tr>
      <w:tr>
        <w:trPr>
          <w:cantSplit/>
        </w:trPr>
        <w:tc>
          <w:tcPr>
            <w:tcW w:type="dxa" w:w="2765"/>
            <w:tcBorders>
              <w:top w:val="single" w:sz="9" w:color="000000"/>
              <w:left w:val="single" w:sz="9" w:color="000000"/>
              <w:bottom w:val="single" w:sz="9" w:color="000000"/>
              <w:right w:val="single" w:sz="9" w:color="000000"/>
              <w:insideH w:val="single" w:sz="9" w:color="000000"/>
              <w:insideV w:val="single" w:sz="9" w:color="000000"/>
            </w:tcBorders>
            <w:tcMar>
              <w:top w:w="68" w:type="dxa"/>
              <w:start w:w="100" w:type="dxa"/>
              <w:bottom w:w="68" w:type="dxa"/>
              <w:end w:w="100" w:type="dxa"/>
            </w:tcMar>
            <w:shd w:fill="F8FAFC"/>
            <w:vAlign w:val="top"/>
          </w:tcPr>
          <w:p>
            <w:pPr>
              <w:spacing w:after="0" w:line="235" w:lineRule="auto"/>
            </w:pPr>
            <w:r>
              <w:rPr>
                <w:rFonts w:ascii="Arial" w:hAnsi="Arial"/>
                <w:b w:val="0"/>
                <w:i w:val="0"/>
                <w:color w:val="111111"/>
                <w:sz w:val="14"/>
              </w:rPr>
              <w:t>Prince Marl Mirasol</w:t>
            </w:r>
          </w:p>
        </w:tc>
        <w:tc>
          <w:tcPr>
            <w:tcW w:type="dxa" w:w="2592"/>
            <w:tcBorders>
              <w:top w:val="single" w:sz="9" w:color="000000"/>
              <w:left w:val="single" w:sz="9" w:color="000000"/>
              <w:bottom w:val="single" w:sz="9" w:color="000000"/>
              <w:right w:val="single" w:sz="9" w:color="000000"/>
              <w:insideH w:val="single" w:sz="9" w:color="000000"/>
              <w:insideV w:val="single" w:sz="9" w:color="000000"/>
            </w:tcBorders>
            <w:tcMar>
              <w:top w:w="68" w:type="dxa"/>
              <w:start w:w="100" w:type="dxa"/>
              <w:bottom w:w="68" w:type="dxa"/>
              <w:end w:w="100" w:type="dxa"/>
            </w:tcMar>
            <w:shd w:fill="F8FAFC"/>
            <w:vAlign w:val="top"/>
          </w:tcPr>
          <w:p>
            <w:pPr>
              <w:spacing w:after="0" w:line="235" w:lineRule="auto"/>
            </w:pPr>
            <w:r>
              <w:rPr>
                <w:rFonts w:ascii="Arial" w:hAnsi="Arial"/>
                <w:b w:val="0"/>
                <w:i w:val="0"/>
                <w:color w:val="111111"/>
                <w:sz w:val="14"/>
              </w:rPr>
              <w:t>QA &amp; Documentation Lead</w:t>
            </w:r>
          </w:p>
        </w:tc>
        <w:tc>
          <w:tcPr>
            <w:tcW w:type="dxa" w:w="4320"/>
            <w:tcBorders>
              <w:top w:val="single" w:sz="9" w:color="000000"/>
              <w:left w:val="single" w:sz="9" w:color="000000"/>
              <w:bottom w:val="single" w:sz="9" w:color="000000"/>
              <w:right w:val="single" w:sz="9" w:color="000000"/>
              <w:insideH w:val="single" w:sz="9" w:color="000000"/>
              <w:insideV w:val="single" w:sz="9" w:color="000000"/>
            </w:tcBorders>
            <w:tcMar>
              <w:top w:w="68" w:type="dxa"/>
              <w:start w:w="100" w:type="dxa"/>
              <w:bottom w:w="68" w:type="dxa"/>
              <w:end w:w="100" w:type="dxa"/>
            </w:tcMar>
            <w:shd w:fill="F8FAFC"/>
            <w:vAlign w:val="top"/>
          </w:tcPr>
          <w:p>
            <w:pPr>
              <w:spacing w:after="0" w:line="235" w:lineRule="auto"/>
            </w:pPr>
            <w:r>
              <w:rPr>
                <w:rFonts w:ascii="Arial" w:hAnsi="Arial"/>
                <w:b w:val="0"/>
                <w:i w:val="0"/>
                <w:color w:val="111111"/>
                <w:sz w:val="14"/>
              </w:rPr>
              <w:t>Testing, accessibility, artifact QA, claim checks, and issue tracking.</w:t>
            </w:r>
          </w:p>
        </w:tc>
      </w:tr>
      <w:tr>
        <w:trPr>
          <w:cantSplit/>
        </w:trPr>
        <w:tc>
          <w:tcPr>
            <w:tcW w:type="dxa" w:w="2765"/>
            <w:tcBorders>
              <w:top w:val="single" w:sz="9" w:color="000000"/>
              <w:left w:val="single" w:sz="9" w:color="000000"/>
              <w:bottom w:val="single" w:sz="9" w:color="000000"/>
              <w:right w:val="single" w:sz="9" w:color="000000"/>
              <w:insideH w:val="single" w:sz="9" w:color="000000"/>
              <w:insideV w:val="single" w:sz="9" w:color="000000"/>
            </w:tcBorders>
            <w:tcMar>
              <w:top w:w="68" w:type="dxa"/>
              <w:start w:w="100" w:type="dxa"/>
              <w:bottom w:w="68" w:type="dxa"/>
              <w:end w:w="100" w:type="dxa"/>
            </w:tcMar>
            <w:vAlign w:val="top"/>
          </w:tcPr>
          <w:p>
            <w:pPr>
              <w:spacing w:after="0" w:line="235" w:lineRule="auto"/>
            </w:pPr>
            <w:r>
              <w:rPr>
                <w:rFonts w:ascii="Arial" w:hAnsi="Arial"/>
                <w:b w:val="0"/>
                <w:i w:val="0"/>
                <w:color w:val="111111"/>
                <w:sz w:val="14"/>
              </w:rPr>
              <w:t>Carl Nueva</w:t>
            </w:r>
          </w:p>
        </w:tc>
        <w:tc>
          <w:tcPr>
            <w:tcW w:type="dxa" w:w="2592"/>
            <w:tcBorders>
              <w:top w:val="single" w:sz="9" w:color="000000"/>
              <w:left w:val="single" w:sz="9" w:color="000000"/>
              <w:bottom w:val="single" w:sz="9" w:color="000000"/>
              <w:right w:val="single" w:sz="9" w:color="000000"/>
              <w:insideH w:val="single" w:sz="9" w:color="000000"/>
              <w:insideV w:val="single" w:sz="9" w:color="000000"/>
            </w:tcBorders>
            <w:tcMar>
              <w:top w:w="68" w:type="dxa"/>
              <w:start w:w="100" w:type="dxa"/>
              <w:bottom w:w="68" w:type="dxa"/>
              <w:end w:w="100" w:type="dxa"/>
            </w:tcMar>
            <w:vAlign w:val="top"/>
          </w:tcPr>
          <w:p>
            <w:pPr>
              <w:spacing w:after="0" w:line="235" w:lineRule="auto"/>
            </w:pPr>
            <w:r>
              <w:rPr>
                <w:rFonts w:ascii="Arial" w:hAnsi="Arial"/>
                <w:b w:val="0"/>
                <w:i w:val="0"/>
                <w:color w:val="111111"/>
                <w:sz w:val="14"/>
              </w:rPr>
              <w:t>Geospatial &amp; Infrastructure Analyst</w:t>
            </w:r>
          </w:p>
        </w:tc>
        <w:tc>
          <w:tcPr>
            <w:tcW w:type="dxa" w:w="4320"/>
            <w:tcBorders>
              <w:top w:val="single" w:sz="9" w:color="000000"/>
              <w:left w:val="single" w:sz="9" w:color="000000"/>
              <w:bottom w:val="single" w:sz="9" w:color="000000"/>
              <w:right w:val="single" w:sz="9" w:color="000000"/>
              <w:insideH w:val="single" w:sz="9" w:color="000000"/>
              <w:insideV w:val="single" w:sz="9" w:color="000000"/>
            </w:tcBorders>
            <w:tcMar>
              <w:top w:w="68" w:type="dxa"/>
              <w:start w:w="100" w:type="dxa"/>
              <w:bottom w:w="68" w:type="dxa"/>
              <w:end w:w="100" w:type="dxa"/>
            </w:tcMar>
            <w:vAlign w:val="top"/>
          </w:tcPr>
          <w:p>
            <w:pPr>
              <w:spacing w:after="0" w:line="235" w:lineRule="auto"/>
            </w:pPr>
            <w:r>
              <w:rPr>
                <w:rFonts w:ascii="Arial" w:hAnsi="Arial"/>
                <w:b w:val="0"/>
                <w:i w:val="0"/>
                <w:color w:val="111111"/>
                <w:sz w:val="14"/>
              </w:rPr>
              <w:t>Geometry review, spatial joins, equity layers, power evidence, and map QA.</w:t>
            </w:r>
          </w:p>
        </w:tc>
      </w:tr>
      <w:tr>
        <w:trPr>
          <w:cantSplit/>
        </w:trPr>
        <w:tc>
          <w:tcPr>
            <w:tcW w:type="dxa" w:w="2765"/>
            <w:tcBorders>
              <w:top w:val="single" w:sz="9" w:color="000000"/>
              <w:left w:val="single" w:sz="9" w:color="000000"/>
              <w:bottom w:val="single" w:sz="9" w:color="000000"/>
              <w:right w:val="single" w:sz="9" w:color="000000"/>
              <w:insideH w:val="single" w:sz="9" w:color="000000"/>
              <w:insideV w:val="single" w:sz="9" w:color="000000"/>
            </w:tcBorders>
            <w:tcMar>
              <w:top w:w="68" w:type="dxa"/>
              <w:start w:w="100" w:type="dxa"/>
              <w:bottom w:w="68" w:type="dxa"/>
              <w:end w:w="100" w:type="dxa"/>
            </w:tcMar>
            <w:shd w:fill="F8FAFC"/>
            <w:vAlign w:val="top"/>
          </w:tcPr>
          <w:p>
            <w:pPr>
              <w:spacing w:after="0" w:line="235" w:lineRule="auto"/>
            </w:pPr>
            <w:r>
              <w:rPr>
                <w:rFonts w:ascii="Arial" w:hAnsi="Arial"/>
                <w:b w:val="0"/>
                <w:i w:val="0"/>
                <w:color w:val="111111"/>
                <w:sz w:val="14"/>
              </w:rPr>
              <w:t>JOSEPH CLARENCE PARAYAOAN</w:t>
            </w:r>
          </w:p>
        </w:tc>
        <w:tc>
          <w:tcPr>
            <w:tcW w:type="dxa" w:w="2592"/>
            <w:tcBorders>
              <w:top w:val="single" w:sz="9" w:color="000000"/>
              <w:left w:val="single" w:sz="9" w:color="000000"/>
              <w:bottom w:val="single" w:sz="9" w:color="000000"/>
              <w:right w:val="single" w:sz="9" w:color="000000"/>
              <w:insideH w:val="single" w:sz="9" w:color="000000"/>
              <w:insideV w:val="single" w:sz="9" w:color="000000"/>
            </w:tcBorders>
            <w:tcMar>
              <w:top w:w="68" w:type="dxa"/>
              <w:start w:w="100" w:type="dxa"/>
              <w:bottom w:w="68" w:type="dxa"/>
              <w:end w:w="100" w:type="dxa"/>
            </w:tcMar>
            <w:shd w:fill="F8FAFC"/>
            <w:vAlign w:val="top"/>
          </w:tcPr>
          <w:p>
            <w:pPr>
              <w:spacing w:after="0" w:line="235" w:lineRule="auto"/>
            </w:pPr>
            <w:r>
              <w:rPr>
                <w:rFonts w:ascii="Arial" w:hAnsi="Arial"/>
                <w:b w:val="0"/>
                <w:i w:val="0"/>
                <w:color w:val="111111"/>
                <w:sz w:val="14"/>
              </w:rPr>
              <w:t>Field Validation &amp; Partnerships Lead</w:t>
            </w:r>
          </w:p>
        </w:tc>
        <w:tc>
          <w:tcPr>
            <w:tcW w:type="dxa" w:w="4320"/>
            <w:tcBorders>
              <w:top w:val="single" w:sz="9" w:color="000000"/>
              <w:left w:val="single" w:sz="9" w:color="000000"/>
              <w:bottom w:val="single" w:sz="9" w:color="000000"/>
              <w:right w:val="single" w:sz="9" w:color="000000"/>
              <w:insideH w:val="single" w:sz="9" w:color="000000"/>
              <w:insideV w:val="single" w:sz="9" w:color="000000"/>
            </w:tcBorders>
            <w:tcMar>
              <w:top w:w="68" w:type="dxa"/>
              <w:start w:w="100" w:type="dxa"/>
              <w:bottom w:w="68" w:type="dxa"/>
              <w:end w:w="100" w:type="dxa"/>
            </w:tcMar>
            <w:shd w:fill="F8FAFC"/>
            <w:vAlign w:val="top"/>
          </w:tcPr>
          <w:p>
            <w:pPr>
              <w:spacing w:after="0" w:line="235" w:lineRule="auto"/>
            </w:pPr>
            <w:r>
              <w:rPr>
                <w:rFonts w:ascii="Arial" w:hAnsi="Arial"/>
                <w:b w:val="0"/>
                <w:i w:val="0"/>
                <w:color w:val="111111"/>
                <w:sz w:val="14"/>
              </w:rPr>
              <w:t>Field plans, route checks, operator and partner coordination, and evidence handoff.</w:t>
            </w:r>
          </w:p>
        </w:tc>
      </w:tr>
    </w:tbl>
    <w:p>
      <w:pPr>
        <w:pStyle w:val="Heading1"/>
        <w:keepNext/>
        <w:spacing w:before="80" w:after="40"/>
      </w:pPr>
      <w:r>
        <w:rPr>
          <w:rFonts w:ascii="Arial" w:hAnsi="Arial"/>
          <w:b/>
          <w:i w:val="0"/>
          <w:color w:val="0B2E59"/>
          <w:sz w:val="23"/>
        </w:rPr>
        <w:t>PARTNER RESPONSIBILITIES</w:t>
      </w:r>
    </w:p>
    <w:tbl>
      <w:tblPr>
        <w:tblW w:type="dxa" w:w="9677"/>
        <w:jc w:val="center"/>
        <w:tblLayout w:type="fixed"/>
        <w:tblLook w:firstColumn="1" w:firstRow="1" w:lastColumn="0" w:lastRow="0" w:noHBand="0" w:noVBand="1" w:val="04A0"/>
        <w:tblInd w:w="100" w:type="dxa"/>
      </w:tblPr>
      <w:tblGrid>
        <w:gridCol w:w="2088"/>
        <w:gridCol w:w="7589"/>
      </w:tblGrid>
      <w:tr>
        <w:trPr>
          <w:tblHeader w:val="true"/>
          <w:cantSplit/>
        </w:trPr>
        <w:tc>
          <w:tcPr>
            <w:tcW w:type="dxa" w:w="2088"/>
            <w:shd w:fill="CFE2F3"/>
            <w:tcBorders>
              <w:top w:val="single" w:sz="9" w:color="000000"/>
              <w:left w:val="single" w:sz="9" w:color="000000"/>
              <w:bottom w:val="single" w:sz="9" w:color="000000"/>
              <w:right w:val="single" w:sz="9" w:color="000000"/>
              <w:insideH w:val="single" w:sz="9" w:color="000000"/>
              <w:insideV w:val="single" w:sz="9" w:color="000000"/>
            </w:tcBorders>
            <w:tcMar>
              <w:top w:w="82" w:type="dxa"/>
              <w:start w:w="100" w:type="dxa"/>
              <w:bottom w:w="82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11111"/>
                <w:sz w:val="15"/>
              </w:rPr>
              <w:t>Partner</w:t>
            </w:r>
          </w:p>
        </w:tc>
        <w:tc>
          <w:tcPr>
            <w:tcW w:type="dxa" w:w="7589"/>
            <w:shd w:fill="CFE2F3"/>
            <w:tcBorders>
              <w:top w:val="single" w:sz="9" w:color="000000"/>
              <w:left w:val="single" w:sz="9" w:color="000000"/>
              <w:bottom w:val="single" w:sz="9" w:color="000000"/>
              <w:right w:val="single" w:sz="9" w:color="000000"/>
              <w:insideH w:val="single" w:sz="9" w:color="000000"/>
              <w:insideV w:val="single" w:sz="9" w:color="000000"/>
            </w:tcBorders>
            <w:tcMar>
              <w:top w:w="82" w:type="dxa"/>
              <w:start w:w="100" w:type="dxa"/>
              <w:bottom w:w="82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11111"/>
                <w:sz w:val="15"/>
              </w:rPr>
              <w:t>Pilot responsibility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9" w:color="000000"/>
              <w:left w:val="single" w:sz="9" w:color="000000"/>
              <w:bottom w:val="single" w:sz="9" w:color="000000"/>
              <w:right w:val="single" w:sz="9" w:color="000000"/>
              <w:insideH w:val="single" w:sz="9" w:color="000000"/>
              <w:insideV w:val="single" w:sz="9" w:color="000000"/>
            </w:tcBorders>
            <w:tcMar>
              <w:top w:w="68" w:type="dxa"/>
              <w:start w:w="100" w:type="dxa"/>
              <w:bottom w:w="68" w:type="dxa"/>
              <w:end w:w="100" w:type="dxa"/>
            </w:tcMar>
            <w:vAlign w:val="top"/>
          </w:tcPr>
          <w:p>
            <w:pPr>
              <w:spacing w:after="0" w:line="235" w:lineRule="auto"/>
            </w:pPr>
            <w:r>
              <w:rPr>
                <w:rFonts w:ascii="Arial" w:hAnsi="Arial"/>
                <w:b w:val="0"/>
                <w:i w:val="0"/>
                <w:color w:val="111111"/>
                <w:sz w:val="13"/>
              </w:rPr>
              <w:t>LGU</w:t>
            </w:r>
          </w:p>
        </w:tc>
        <w:tc>
          <w:tcPr>
            <w:tcW w:type="dxa" w:w="7589"/>
            <w:tcBorders>
              <w:top w:val="single" w:sz="9" w:color="000000"/>
              <w:left w:val="single" w:sz="9" w:color="000000"/>
              <w:bottom w:val="single" w:sz="9" w:color="000000"/>
              <w:right w:val="single" w:sz="9" w:color="000000"/>
              <w:insideH w:val="single" w:sz="9" w:color="000000"/>
              <w:insideV w:val="single" w:sz="9" w:color="000000"/>
            </w:tcBorders>
            <w:tcMar>
              <w:top w:w="68" w:type="dxa"/>
              <w:start w:w="100" w:type="dxa"/>
              <w:bottom w:w="68" w:type="dxa"/>
              <w:end w:w="100" w:type="dxa"/>
            </w:tcMar>
            <w:vAlign w:val="top"/>
          </w:tcPr>
          <w:p>
            <w:pPr>
              <w:spacing w:after="0" w:line="235" w:lineRule="auto"/>
            </w:pPr>
            <w:r>
              <w:rPr>
                <w:rFonts w:ascii="Arial" w:hAnsi="Arial"/>
                <w:b w:val="0"/>
                <w:i w:val="0"/>
                <w:color w:val="111111"/>
                <w:sz w:val="13"/>
              </w:rPr>
              <w:t>Define decision context, validate evidence, join scenario workshops, review outputs, accept handover.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9" w:color="000000"/>
              <w:left w:val="single" w:sz="9" w:color="000000"/>
              <w:bottom w:val="single" w:sz="9" w:color="000000"/>
              <w:right w:val="single" w:sz="9" w:color="000000"/>
              <w:insideH w:val="single" w:sz="9" w:color="000000"/>
              <w:insideV w:val="single" w:sz="9" w:color="000000"/>
            </w:tcBorders>
            <w:tcMar>
              <w:top w:w="68" w:type="dxa"/>
              <w:start w:w="100" w:type="dxa"/>
              <w:bottom w:w="68" w:type="dxa"/>
              <w:end w:w="100" w:type="dxa"/>
            </w:tcMar>
            <w:shd w:fill="F8FAFC"/>
            <w:vAlign w:val="top"/>
          </w:tcPr>
          <w:p>
            <w:pPr>
              <w:spacing w:after="0" w:line="235" w:lineRule="auto"/>
            </w:pPr>
            <w:r>
              <w:rPr>
                <w:rFonts w:ascii="Arial" w:hAnsi="Arial"/>
                <w:b w:val="0"/>
                <w:i w:val="0"/>
                <w:color w:val="111111"/>
                <w:sz w:val="13"/>
              </w:rPr>
              <w:t>Operator / cooperative</w:t>
            </w:r>
          </w:p>
        </w:tc>
        <w:tc>
          <w:tcPr>
            <w:tcW w:type="dxa" w:w="7589"/>
            <w:tcBorders>
              <w:top w:val="single" w:sz="9" w:color="000000"/>
              <w:left w:val="single" w:sz="9" w:color="000000"/>
              <w:bottom w:val="single" w:sz="9" w:color="000000"/>
              <w:right w:val="single" w:sz="9" w:color="000000"/>
              <w:insideH w:val="single" w:sz="9" w:color="000000"/>
              <w:insideV w:val="single" w:sz="9" w:color="000000"/>
            </w:tcBorders>
            <w:tcMar>
              <w:top w:w="68" w:type="dxa"/>
              <w:start w:w="100" w:type="dxa"/>
              <w:bottom w:w="68" w:type="dxa"/>
              <w:end w:w="100" w:type="dxa"/>
            </w:tcMar>
            <w:shd w:fill="F8FAFC"/>
            <w:vAlign w:val="top"/>
          </w:tcPr>
          <w:p>
            <w:pPr>
              <w:spacing w:after="0" w:line="235" w:lineRule="auto"/>
            </w:pPr>
            <w:r>
              <w:rPr>
                <w:rFonts w:ascii="Arial" w:hAnsi="Arial"/>
                <w:b w:val="0"/>
                <w:i w:val="0"/>
                <w:color w:val="111111"/>
                <w:sz w:val="13"/>
              </w:rPr>
              <w:t>Validate operations, fleet/depot constraints, readiness, and feasibility.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9" w:color="000000"/>
              <w:left w:val="single" w:sz="9" w:color="000000"/>
              <w:bottom w:val="single" w:sz="9" w:color="000000"/>
              <w:right w:val="single" w:sz="9" w:color="000000"/>
              <w:insideH w:val="single" w:sz="9" w:color="000000"/>
              <w:insideV w:val="single" w:sz="9" w:color="000000"/>
            </w:tcBorders>
            <w:tcMar>
              <w:top w:w="68" w:type="dxa"/>
              <w:start w:w="100" w:type="dxa"/>
              <w:bottom w:w="68" w:type="dxa"/>
              <w:end w:w="100" w:type="dxa"/>
            </w:tcMar>
            <w:vAlign w:val="top"/>
          </w:tcPr>
          <w:p>
            <w:pPr>
              <w:spacing w:after="0" w:line="235" w:lineRule="auto"/>
            </w:pPr>
            <w:r>
              <w:rPr>
                <w:rFonts w:ascii="Arial" w:hAnsi="Arial"/>
                <w:b w:val="0"/>
                <w:i w:val="0"/>
                <w:color w:val="111111"/>
                <w:sz w:val="13"/>
              </w:rPr>
              <w:t>Utility / energy</w:t>
            </w:r>
          </w:p>
        </w:tc>
        <w:tc>
          <w:tcPr>
            <w:tcW w:type="dxa" w:w="7589"/>
            <w:tcBorders>
              <w:top w:val="single" w:sz="9" w:color="000000"/>
              <w:left w:val="single" w:sz="9" w:color="000000"/>
              <w:bottom w:val="single" w:sz="9" w:color="000000"/>
              <w:right w:val="single" w:sz="9" w:color="000000"/>
              <w:insideH w:val="single" w:sz="9" w:color="000000"/>
              <w:insideV w:val="single" w:sz="9" w:color="000000"/>
            </w:tcBorders>
            <w:tcMar>
              <w:top w:w="68" w:type="dxa"/>
              <w:start w:w="100" w:type="dxa"/>
              <w:bottom w:w="68" w:type="dxa"/>
              <w:end w:w="100" w:type="dxa"/>
            </w:tcMar>
            <w:vAlign w:val="top"/>
          </w:tcPr>
          <w:p>
            <w:pPr>
              <w:spacing w:after="0" w:line="235" w:lineRule="auto"/>
            </w:pPr>
            <w:r>
              <w:rPr>
                <w:rFonts w:ascii="Arial" w:hAnsi="Arial"/>
                <w:b w:val="0"/>
                <w:i w:val="0"/>
                <w:color w:val="111111"/>
                <w:sz w:val="13"/>
              </w:rPr>
              <w:t>Review charging assumptions and flag formal capacity/interconnection studies.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9" w:color="000000"/>
              <w:left w:val="single" w:sz="9" w:color="000000"/>
              <w:bottom w:val="single" w:sz="9" w:color="000000"/>
              <w:right w:val="single" w:sz="9" w:color="000000"/>
              <w:insideH w:val="single" w:sz="9" w:color="000000"/>
              <w:insideV w:val="single" w:sz="9" w:color="000000"/>
            </w:tcBorders>
            <w:tcMar>
              <w:top w:w="68" w:type="dxa"/>
              <w:start w:w="100" w:type="dxa"/>
              <w:bottom w:w="68" w:type="dxa"/>
              <w:end w:w="100" w:type="dxa"/>
            </w:tcMar>
            <w:shd w:fill="F8FAFC"/>
            <w:vAlign w:val="top"/>
          </w:tcPr>
          <w:p>
            <w:pPr>
              <w:spacing w:after="0" w:line="235" w:lineRule="auto"/>
            </w:pPr>
            <w:r>
              <w:rPr>
                <w:rFonts w:ascii="Arial" w:hAnsi="Arial"/>
                <w:b w:val="0"/>
                <w:i w:val="0"/>
                <w:color w:val="111111"/>
                <w:sz w:val="13"/>
              </w:rPr>
              <w:t>Riders / community</w:t>
            </w:r>
          </w:p>
        </w:tc>
        <w:tc>
          <w:tcPr>
            <w:tcW w:type="dxa" w:w="7589"/>
            <w:tcBorders>
              <w:top w:val="single" w:sz="9" w:color="000000"/>
              <w:left w:val="single" w:sz="9" w:color="000000"/>
              <w:bottom w:val="single" w:sz="9" w:color="000000"/>
              <w:right w:val="single" w:sz="9" w:color="000000"/>
              <w:insideH w:val="single" w:sz="9" w:color="000000"/>
              <w:insideV w:val="single" w:sz="9" w:color="000000"/>
            </w:tcBorders>
            <w:tcMar>
              <w:top w:w="68" w:type="dxa"/>
              <w:start w:w="100" w:type="dxa"/>
              <w:bottom w:w="68" w:type="dxa"/>
              <w:end w:w="100" w:type="dxa"/>
            </w:tcMar>
            <w:shd w:fill="F8FAFC"/>
            <w:vAlign w:val="top"/>
          </w:tcPr>
          <w:p>
            <w:pPr>
              <w:spacing w:after="0" w:line="235" w:lineRule="auto"/>
            </w:pPr>
            <w:r>
              <w:rPr>
                <w:rFonts w:ascii="Arial" w:hAnsi="Arial"/>
                <w:b w:val="0"/>
                <w:i w:val="0"/>
                <w:color w:val="111111"/>
                <w:sz w:val="13"/>
              </w:rPr>
              <w:t>Validate access concerns and challenge equity assumptions where relevant.</w:t>
            </w:r>
          </w:p>
        </w:tc>
      </w:tr>
    </w:tbl>
    <w:p>
      <w:pPr>
        <w:pStyle w:val="Heading1"/>
        <w:keepNext/>
        <w:spacing w:before="80" w:after="40"/>
      </w:pPr>
      <w:r>
        <w:rPr>
          <w:rFonts w:ascii="Arial" w:hAnsi="Arial"/>
          <w:b/>
          <w:i w:val="0"/>
          <w:color w:val="0B2E59"/>
          <w:sz w:val="23"/>
        </w:rPr>
        <w:t>HANDOVER AND SCALE</w:t>
      </w:r>
    </w:p>
    <w:p>
      <w:pPr>
        <w:spacing w:before="0" w:after="0" w:line="254" w:lineRule="auto"/>
      </w:pPr>
      <w:r>
        <w:rPr>
          <w:rFonts w:ascii="Arial" w:hAnsi="Arial"/>
          <w:b w:val="0"/>
          <w:i w:val="0"/>
          <w:color w:val="111111"/>
          <w:sz w:val="14"/>
        </w:rPr>
        <w:t>Handover: final build, model card, source registry, field-observation template, validation ledgers, scenario library, decision pack, issue register, scheduled source-freshness check, refresh/retraining runbook, governance notes, and a city owner for each unresolved issue. Scale requires local adapters, recalibration, and validation; the Metro Manila model is not copied unchanged.</w:t>
      </w:r>
    </w:p>
    <w:sectPr w:rsidR="00FC693F" w:rsidRPr="0006063C" w:rsidSect="00034616">
      <w:footerReference w:type="default" r:id="rId9"/>
      <w:pgSz w:w="11906" w:h="16838"/>
      <w:pgMar w:top="216" w:right="1123" w:bottom="605" w:left="1123" w:header="144" w:footer="25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b w:val="0"/>
        <w:i w:val="0"/>
        <w:color w:val="4B5563"/>
        <w:sz w:val="11"/>
      </w:rPr>
      <w:t xml:space="preserve">Team Larpers | Route2Zero | r2z-a7181752a17d | scn-e0f12f397e | prt-fd6de9d793 | </w:t>
    </w:r>
    <w:r>
      <w:rPr>
        <w:rFonts w:ascii="Arial" w:hAnsi="Arial"/>
        <w:b w:val="0"/>
        <w:i w:val="0"/>
        <w:color w:val="4B5563"/>
        <w:sz w:val="14"/>
      </w:rPr>
      <w:t xml:space="preserve">Page </w:t>
    </w:r>
    <w:fldSimple w:instr="PAGE"/>
    <w:r>
      <w:rPr>
        <w:rFonts w:ascii="Arial" w:hAnsi="Arial"/>
        <w:b w:val="0"/>
        <w:i w:val="0"/>
        <w:color w:val="4B5563"/>
        <w:sz w:val="14"/>
      </w:rPr>
      <w:t xml:space="preserve"> of 5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/>
    </w:pPr>
    <w:rPr>
      <w:rFonts w:ascii="Arial" w:hAnsi="Arial"/>
      <w:color w:val="111111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0B2E59"/>
      <w:sz w:val="23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111111"/>
      <w:spacing w:val="5"/>
      <w:kern w:val="28"/>
      <w:sz w:val="3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hyperlink" Target="https://github.com/qjmre23/Route2Zero" TargetMode="External"/><Relationship Id="rId12" Type="http://schemas.openxmlformats.org/officeDocument/2006/relationships/hyperlink" Target="https://route2zero.netlify.app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Team Larpers - Route2Zero Six-Month City Pilot Plan</dc:title>
  <dc:subject>AI x City Climate Action Hackathon 2026 Pilot Plan</dc:subject>
  <dc:creator>Team Larpers</dc:creator>
  <cp:keywords>Route2Zero, e-jeepney, climate action, urban transportation, pilot plan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