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264" w:lineRule="auto"/>
      </w:pPr>
      <w:r>
        <w:rPr>
          <w:rFonts w:ascii="Calibri" w:hAnsi="Calibri"/>
          <w:b/>
          <w:i w:val="0"/>
          <w:color w:val="087F8C"/>
          <w:sz w:val="18"/>
        </w:rPr>
        <w:t>ROUTE2ZERO PILOT EXECUTION PLAN</w:t>
      </w:r>
    </w:p>
    <w:p>
      <w:pPr>
        <w:keepNext/>
        <w:spacing w:before="0" w:after="60" w:line="264" w:lineRule="auto"/>
      </w:pPr>
      <w:r>
        <w:rPr>
          <w:rFonts w:ascii="Calibri" w:hAnsi="Calibri"/>
          <w:b/>
          <w:i w:val="0"/>
          <w:color w:val="0B3C5D"/>
          <w:sz w:val="48"/>
        </w:rPr>
        <w:t>Route2Zero Pilot Plan</w:t>
      </w:r>
    </w:p>
    <w:p>
      <w:pPr>
        <w:spacing w:before="0" w:after="240" w:line="264" w:lineRule="auto"/>
      </w:pPr>
      <w:r>
        <w:rPr>
          <w:rFonts w:ascii="Calibri" w:hAnsi="Calibri"/>
          <w:b w:val="0"/>
          <w:i w:val="0"/>
          <w:color w:val="5C6B73"/>
          <w:sz w:val="22"/>
        </w:rPr>
        <w:t>A six-month, evidence-first pilot for equitable e-jeepney corridor prioritization in Metro Manila</w:t>
      </w:r>
    </w:p>
    <w:p>
      <w:pPr>
        <w:spacing w:before="0" w:after="40" w:line="264" w:lineRule="auto"/>
      </w:pPr>
      <w:r>
        <w:rPr>
          <w:rFonts w:ascii="Calibri" w:hAnsi="Calibri"/>
          <w:b/>
          <w:i w:val="0"/>
          <w:color w:val="087F8C"/>
          <w:sz w:val="18"/>
        </w:rPr>
        <w:t>PILOT INTENT</w:t>
      </w:r>
    </w:p>
    <w:p>
      <w:pPr>
        <w:spacing w:before="0" w:after="240" w:line="264" w:lineRule="auto"/>
      </w:pPr>
      <w:r>
        <w:rPr>
          <w:rFonts w:ascii="Calibri" w:hAnsi="Calibri"/>
          <w:b/>
          <w:i w:val="0"/>
          <w:color w:val="0B3C5D"/>
          <w:sz w:val="22"/>
        </w:rPr>
        <w:t>Move Route2Zero from a transparent historic-data MVP to a city-validated decision-support process that identifies which corridors are ready for deeper electrification planning, what evidence is still missing, and who owns each next action.</w:t>
      </w:r>
    </w:p>
    <w:tbl>
      <w:tblPr>
        <w:tblW w:type="dxa" w:w="9893"/>
        <w:jc w:val="left"/>
        <w:tblLayout w:type="fixed"/>
        <w:tblLook w:firstColumn="1" w:firstRow="1" w:lastColumn="0" w:lastRow="0" w:noHBand="0" w:noVBand="1" w:val="04A0"/>
        <w:tblInd w:w="120" w:type="dxa"/>
        <w:tblBorders>
          <w:top w:val="single" w:sz="5" w:color="B8D8D3"/>
          <w:left w:val="single" w:sz="5" w:color="B8D8D3"/>
          <w:bottom w:val="single" w:sz="5" w:color="B8D8D3"/>
          <w:right w:val="single" w:sz="5" w:color="B8D8D3"/>
          <w:insideH w:val="single" w:sz="5" w:color="B8D8D3"/>
          <w:insideV w:val="single" w:sz="5" w:color="B8D8D3"/>
        </w:tblBorders>
      </w:tblPr>
      <w:tblGrid>
        <w:gridCol w:w="3298"/>
        <w:gridCol w:w="3298"/>
        <w:gridCol w:w="3297"/>
      </w:tblGrid>
      <w:tr>
        <w:tc>
          <w:tcPr>
            <w:tcW w:type="dxa" w:w="3298"/>
            <w:tcMar>
              <w:top w:w="100" w:type="dxa"/>
              <w:start w:w="120" w:type="dxa"/>
              <w:bottom w:w="100" w:type="dxa"/>
              <w:end w:w="120" w:type="dxa"/>
            </w:tcMar>
            <w:vAlign w:val="center"/>
            <w:shd w:fill="DFF4EE"/>
          </w:tcPr>
          <w:p>
            <w:pPr>
              <w:spacing w:before="0" w:after="20" w:line="240" w:lineRule="auto"/>
            </w:pPr>
            <w:r/>
            <w:r>
              <w:rPr>
                <w:rFonts w:ascii="Calibri" w:hAnsi="Calibri"/>
                <w:b/>
                <w:i w:val="0"/>
                <w:color w:val="087F8C"/>
                <w:sz w:val="15"/>
              </w:rPr>
              <w:t>COVERAGE TARGET</w:t>
            </w:r>
          </w:p>
          <w:p>
            <w:pPr>
              <w:spacing w:before="0" w:after="0" w:line="252" w:lineRule="auto"/>
            </w:pPr>
            <w:r>
              <w:rPr>
                <w:rFonts w:ascii="Calibri" w:hAnsi="Calibri"/>
                <w:b/>
                <w:i w:val="0"/>
                <w:color w:val="0B3C5D"/>
                <w:sz w:val="27"/>
              </w:rPr>
              <w:t>3 spotlight LGUs</w:t>
            </w:r>
          </w:p>
        </w:tc>
        <w:tc>
          <w:tcPr>
            <w:tcW w:type="dxa" w:w="3298"/>
            <w:tcMar>
              <w:top w:w="100" w:type="dxa"/>
              <w:start w:w="120" w:type="dxa"/>
              <w:bottom w:w="100" w:type="dxa"/>
              <w:end w:w="120" w:type="dxa"/>
            </w:tcMar>
            <w:vAlign w:val="center"/>
            <w:shd w:fill="DFF4EE"/>
          </w:tcPr>
          <w:p>
            <w:pPr>
              <w:spacing w:before="0" w:after="20" w:line="240" w:lineRule="auto"/>
            </w:pPr>
            <w:r/>
            <w:r>
              <w:rPr>
                <w:rFonts w:ascii="Calibri" w:hAnsi="Calibri"/>
                <w:b/>
                <w:i w:val="0"/>
                <w:color w:val="087F8C"/>
                <w:sz w:val="15"/>
              </w:rPr>
              <w:t>EVIDENCE STANDARD</w:t>
            </w:r>
          </w:p>
          <w:p>
            <w:pPr>
              <w:spacing w:before="0" w:after="0" w:line="252" w:lineRule="auto"/>
            </w:pPr>
            <w:r>
              <w:rPr>
                <w:rFonts w:ascii="Calibri" w:hAnsi="Calibri"/>
                <w:b/>
                <w:i w:val="0"/>
                <w:color w:val="0B3C5D"/>
                <w:sz w:val="27"/>
              </w:rPr>
              <w:t>100% source-labeled</w:t>
            </w:r>
          </w:p>
        </w:tc>
        <w:tc>
          <w:tcPr>
            <w:tcW w:type="dxa" w:w="3297"/>
            <w:tcMar>
              <w:top w:w="100" w:type="dxa"/>
              <w:start w:w="120" w:type="dxa"/>
              <w:bottom w:w="100" w:type="dxa"/>
              <w:end w:w="120" w:type="dxa"/>
            </w:tcMar>
            <w:vAlign w:val="center"/>
            <w:shd w:fill="DFF4EE"/>
          </w:tcPr>
          <w:p>
            <w:pPr>
              <w:spacing w:before="0" w:after="20" w:line="240" w:lineRule="auto"/>
            </w:pPr>
            <w:r/>
            <w:r>
              <w:rPr>
                <w:rFonts w:ascii="Calibri" w:hAnsi="Calibri"/>
                <w:b/>
                <w:i w:val="0"/>
                <w:color w:val="087F8C"/>
                <w:sz w:val="15"/>
              </w:rPr>
              <w:t>DECISION OUTPUT</w:t>
            </w:r>
          </w:p>
          <w:p>
            <w:pPr>
              <w:spacing w:before="0" w:after="0" w:line="252" w:lineRule="auto"/>
            </w:pPr>
            <w:r>
              <w:rPr>
                <w:rFonts w:ascii="Calibri" w:hAnsi="Calibri"/>
                <w:b/>
                <w:i w:val="0"/>
                <w:color w:val="0B3C5D"/>
                <w:sz w:val="27"/>
              </w:rPr>
              <w:t>1 validated shortlist</w:t>
            </w:r>
          </w:p>
        </w:tc>
      </w:tr>
    </w:tbl>
    <w:p>
      <w:pPr>
        <w:pStyle w:val="Heading1"/>
        <w:keepNext/>
      </w:pPr>
      <w:r>
        <w:t>Pilot objectives</w:t>
      </w:r>
    </w:p>
    <w:tbl>
      <w:tblPr>
        <w:tblW w:type="dxa" w:w="9893"/>
        <w:jc w:val="left"/>
        <w:tblLayout w:type="fixed"/>
        <w:tblLook w:firstColumn="1" w:firstRow="1" w:lastColumn="0" w:lastRow="0" w:noHBand="0" w:noVBand="1" w:val="04A0"/>
        <w:tblInd w:w="120" w:type="dxa"/>
        <w:tblBorders>
          <w:top w:val="single" w:sz="4" w:color="D5E3EA"/>
          <w:left w:val="single" w:sz="4" w:color="D5E3EA"/>
          <w:bottom w:val="single" w:sz="4" w:color="D5E3EA"/>
          <w:right w:val="single" w:sz="4" w:color="D5E3EA"/>
          <w:insideH w:val="single" w:sz="4" w:color="D5E3EA"/>
          <w:insideV w:val="single" w:sz="4" w:color="D5E3EA"/>
        </w:tblBorders>
      </w:tblPr>
      <w:tblGrid>
        <w:gridCol w:w="2500"/>
        <w:gridCol w:w="7393"/>
      </w:tblGrid>
      <w:tr>
        <w:tc>
          <w:tcPr>
            <w:tcW w:type="dxa" w:w="2500"/>
            <w:shd w:fill="EEF5FA"/>
          </w:tcPr>
          <w:p>
            <w:pPr>
              <w:spacing w:before="0" w:after="40" w:line="252" w:lineRule="auto"/>
            </w:pPr>
            <w:r/>
            <w:r>
              <w:rPr>
                <w:rFonts w:ascii="Calibri" w:hAnsi="Calibri"/>
                <w:b/>
                <w:i w:val="0"/>
                <w:color w:val="2E74B5"/>
                <w:sz w:val="18"/>
              </w:rPr>
              <w:t>Refresh the baseline</w:t>
            </w:r>
          </w:p>
        </w:tc>
        <w:tc>
          <w:tcPr>
            <w:tcW w:type="dxa" w:w="7393"/>
          </w:tcPr>
          <w:p>
            <w:pPr>
              <w:spacing w:before="0" w:after="40" w:line="252" w:lineRule="auto"/>
            </w:pPr>
            <w:r/>
            <w:r>
              <w:rPr>
                <w:rFonts w:ascii="Calibri" w:hAnsi="Calibri"/>
                <w:b w:val="0"/>
                <w:i w:val="0"/>
                <w:color w:val="1F2933"/>
                <w:sz w:val="18"/>
              </w:rPr>
              <w:t>Confirm current route, service, operator, and depot evidence instead of treating the 2013-2020 feed as live service.</w:t>
            </w:r>
          </w:p>
        </w:tc>
      </w:tr>
      <w:tr>
        <w:tc>
          <w:tcPr>
            <w:tcW w:type="dxa" w:w="2500"/>
            <w:shd w:fill="EEF5FA"/>
          </w:tcPr>
          <w:p>
            <w:pPr>
              <w:spacing w:before="0" w:after="40" w:line="252" w:lineRule="auto"/>
            </w:pPr>
            <w:r/>
            <w:r>
              <w:rPr>
                <w:rFonts w:ascii="Calibri" w:hAnsi="Calibri"/>
                <w:b/>
                <w:i w:val="0"/>
                <w:color w:val="2E74B5"/>
                <w:sz w:val="18"/>
              </w:rPr>
              <w:t>Co-design the ranking</w:t>
            </w:r>
          </w:p>
        </w:tc>
        <w:tc>
          <w:tcPr>
            <w:tcW w:type="dxa" w:w="7393"/>
          </w:tcPr>
          <w:p>
            <w:pPr>
              <w:spacing w:before="0" w:after="40" w:line="252" w:lineRule="auto"/>
            </w:pPr>
            <w:r/>
            <w:r>
              <w:rPr>
                <w:rFonts w:ascii="Calibri" w:hAnsi="Calibri"/>
                <w:b w:val="0"/>
                <w:i w:val="0"/>
                <w:color w:val="1F2933"/>
                <w:sz w:val="18"/>
              </w:rPr>
              <w:t>Test criteria, weights, confidence language, and safeguards with city offices, operators, drivers, and rider/community representatives.</w:t>
            </w:r>
          </w:p>
        </w:tc>
      </w:tr>
      <w:tr>
        <w:tc>
          <w:tcPr>
            <w:tcW w:type="dxa" w:w="2500"/>
            <w:shd w:fill="EEF5FA"/>
          </w:tcPr>
          <w:p>
            <w:pPr>
              <w:spacing w:before="0" w:after="40" w:line="252" w:lineRule="auto"/>
            </w:pPr>
            <w:r/>
            <w:r>
              <w:rPr>
                <w:rFonts w:ascii="Calibri" w:hAnsi="Calibri"/>
                <w:b/>
                <w:i w:val="0"/>
                <w:color w:val="2E74B5"/>
                <w:sz w:val="18"/>
              </w:rPr>
              <w:t>Validate feasibility</w:t>
            </w:r>
          </w:p>
        </w:tc>
        <w:tc>
          <w:tcPr>
            <w:tcW w:type="dxa" w:w="7393"/>
          </w:tcPr>
          <w:p>
            <w:pPr>
              <w:spacing w:before="0" w:after="40" w:line="252" w:lineRule="auto"/>
            </w:pPr>
            <w:r/>
            <w:r>
              <w:rPr>
                <w:rFonts w:ascii="Calibri" w:hAnsi="Calibri"/>
                <w:b w:val="0"/>
                <w:i w:val="0"/>
                <w:color w:val="1F2933"/>
                <w:sz w:val="18"/>
              </w:rPr>
              <w:t>Screen shortlisted corridors for service continuity, depot and charging constraints, operator finance, and implementation dependencies.</w:t>
            </w:r>
          </w:p>
        </w:tc>
      </w:tr>
      <w:tr>
        <w:tc>
          <w:tcPr>
            <w:tcW w:type="dxa" w:w="2500"/>
            <w:shd w:fill="EEF5FA"/>
          </w:tcPr>
          <w:p>
            <w:pPr>
              <w:spacing w:before="0" w:after="40" w:line="252" w:lineRule="auto"/>
            </w:pPr>
            <w:r/>
            <w:r>
              <w:rPr>
                <w:rFonts w:ascii="Calibri" w:hAnsi="Calibri"/>
                <w:b/>
                <w:i w:val="0"/>
                <w:color w:val="2E74B5"/>
                <w:sz w:val="18"/>
              </w:rPr>
              <w:t>Leave a maintainable tool</w:t>
            </w:r>
          </w:p>
        </w:tc>
        <w:tc>
          <w:tcPr>
            <w:tcW w:type="dxa" w:w="7393"/>
          </w:tcPr>
          <w:p>
            <w:pPr>
              <w:spacing w:before="0" w:after="40" w:line="252" w:lineRule="auto"/>
            </w:pPr>
            <w:r/>
            <w:r>
              <w:rPr>
                <w:rFonts w:ascii="Calibri" w:hAnsi="Calibri"/>
                <w:b w:val="0"/>
                <w:i w:val="0"/>
                <w:color w:val="1F2933"/>
                <w:sz w:val="18"/>
              </w:rPr>
              <w:t>Hand over documented data, editable overrides, reproducible scripts, trained owners, and a prioritized next-phase roadmap.</w:t>
            </w:r>
          </w:p>
        </w:tc>
      </w:tr>
    </w:tbl>
    <w:p>
      <w:pPr>
        <w:spacing w:before="0" w:after="0" w:line="264" w:lineRule="auto"/>
      </w:pPr>
      <w:r>
        <w:rPr>
          <w:rFonts w:ascii="Calibri" w:hAnsi="Calibri"/>
          <w:b w:val="0"/>
          <w:i/>
          <w:color w:val="5C6B73"/>
          <w:sz w:val="17"/>
        </w:rPr>
        <w:t>Proposed pilot period: six months after award. Exact dates, partner commitments, and city scope will be confirmed during mobilization.</w:t>
      </w:r>
    </w:p>
    <w:p>
      <w:r>
        <w:br w:type="page"/>
      </w:r>
    </w:p>
    <w:p>
      <w:pPr>
        <w:keepNext/>
        <w:spacing w:before="0" w:after="40" w:line="264" w:lineRule="auto"/>
      </w:pPr>
      <w:r>
        <w:rPr>
          <w:rFonts w:ascii="Calibri" w:hAnsi="Calibri"/>
          <w:b/>
          <w:i w:val="0"/>
          <w:color w:val="087F8C"/>
          <w:sz w:val="18"/>
        </w:rPr>
        <w:t>ROUTE2ZERO PILOT EXECUTION PLAN</w:t>
      </w:r>
    </w:p>
    <w:p>
      <w:pPr>
        <w:keepNext/>
        <w:spacing w:before="0" w:after="60" w:line="264" w:lineRule="auto"/>
      </w:pPr>
      <w:r>
        <w:rPr>
          <w:rFonts w:ascii="Calibri" w:hAnsi="Calibri"/>
          <w:b/>
          <w:i w:val="0"/>
          <w:color w:val="0B3C5D"/>
          <w:sz w:val="48"/>
        </w:rPr>
        <w:t>Activities and execution timeline</w:t>
      </w:r>
    </w:p>
    <w:p>
      <w:pPr>
        <w:spacing w:before="0" w:after="240" w:line="264" w:lineRule="auto"/>
      </w:pPr>
      <w:r>
        <w:rPr>
          <w:rFonts w:ascii="Calibri" w:hAnsi="Calibri"/>
          <w:b w:val="0"/>
          <w:i w:val="0"/>
          <w:color w:val="5C6B73"/>
          <w:sz w:val="22"/>
        </w:rPr>
        <w:t>Five gated stages connect data refresh, co-design, field validation, decision packaging, and handover.</w:t>
      </w:r>
    </w:p>
    <w:tbl>
      <w:tblPr>
        <w:tblStyle w:val="TableGrid"/>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1500"/>
        <w:gridCol w:w="3900"/>
        <w:gridCol w:w="4493"/>
      </w:tblGrid>
      <w:tr>
        <w:trPr>
          <w:tblHeader w:val="true"/>
        </w:trPr>
        <w:tc>
          <w:tcPr>
            <w:tcW w:type="dxa" w:w="15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Timeline</w:t>
            </w:r>
          </w:p>
        </w:tc>
        <w:tc>
          <w:tcPr>
            <w:tcW w:type="dxa" w:w="39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Activity / milestone</w:t>
            </w:r>
          </w:p>
        </w:tc>
        <w:tc>
          <w:tcPr>
            <w:tcW w:type="dxa" w:w="4493"/>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Outcome</w:t>
            </w:r>
          </w:p>
        </w:tc>
      </w:tr>
      <w:tr>
        <w:tc>
          <w:tcPr>
            <w:tcW w:type="dxa" w:w="1500"/>
          </w:tcPr>
          <w:p>
            <w:pPr>
              <w:spacing w:before="0" w:after="40" w:line="252" w:lineRule="auto"/>
            </w:pPr>
            <w:r/>
            <w:r>
              <w:rPr>
                <w:rFonts w:ascii="Calibri" w:hAnsi="Calibri"/>
                <w:b/>
                <w:i w:val="0"/>
                <w:color w:val="087F8C"/>
                <w:sz w:val="18"/>
              </w:rPr>
              <w:t>Months 1-2</w:t>
            </w:r>
          </w:p>
        </w:tc>
        <w:tc>
          <w:tcPr>
            <w:tcW w:type="dxa" w:w="3900"/>
          </w:tcPr>
          <w:p>
            <w:pPr>
              <w:spacing w:before="0" w:after="60" w:line="247" w:lineRule="auto"/>
            </w:pPr>
            <w:r/>
            <w:r>
              <w:rPr>
                <w:rFonts w:ascii="Calibri" w:hAnsi="Calibri"/>
                <w:b/>
                <w:i w:val="0"/>
                <w:color w:val="0B3C5D"/>
                <w:sz w:val="18"/>
              </w:rPr>
              <w:t>Mobilize, refresh, and agree</w:t>
            </w:r>
          </w:p>
          <w:p>
            <w:pPr>
              <w:spacing w:before="0" w:after="0" w:line="254" w:lineRule="auto"/>
            </w:pPr>
            <w:r>
              <w:rPr>
                <w:rFonts w:ascii="Calibri" w:hAnsi="Calibri"/>
                <w:b w:val="0"/>
                <w:i w:val="0"/>
                <w:color w:val="1F2933"/>
                <w:sz w:val="17"/>
              </w:rPr>
              <w:t>Confirm pilot governance; inventory current route, fleet, ridership, settlement, depot, and grid evidence; agree validation protocol and safeguards.</w:t>
            </w:r>
          </w:p>
        </w:tc>
        <w:tc>
          <w:tcPr>
            <w:tcW w:type="dxa" w:w="4493"/>
          </w:tcPr>
          <w:p>
            <w:pPr>
              <w:spacing w:before="0" w:after="0" w:line="252" w:lineRule="auto"/>
            </w:pPr>
            <w:r/>
            <w:r>
              <w:rPr>
                <w:rFonts w:ascii="Calibri" w:hAnsi="Calibri"/>
                <w:b w:val="0"/>
                <w:i w:val="0"/>
                <w:color w:val="1F2933"/>
                <w:sz w:val="17"/>
              </w:rPr>
              <w:t>Signed pilot charter; data inventory; GTFS refresh plan; ethics and risk register; workshop calendar.</w:t>
            </w:r>
          </w:p>
        </w:tc>
      </w:tr>
      <w:tr>
        <w:tc>
          <w:tcPr>
            <w:tcW w:type="dxa" w:w="1500"/>
          </w:tcPr>
          <w:p>
            <w:pPr>
              <w:spacing w:before="0" w:after="40" w:line="252" w:lineRule="auto"/>
            </w:pPr>
            <w:r/>
            <w:r>
              <w:rPr>
                <w:rFonts w:ascii="Calibri" w:hAnsi="Calibri"/>
                <w:b/>
                <w:i w:val="0"/>
                <w:color w:val="087F8C"/>
                <w:sz w:val="18"/>
              </w:rPr>
              <w:t>Month 3</w:t>
            </w:r>
          </w:p>
        </w:tc>
        <w:tc>
          <w:tcPr>
            <w:tcW w:type="dxa" w:w="3900"/>
          </w:tcPr>
          <w:p>
            <w:pPr>
              <w:spacing w:before="0" w:after="60" w:line="247" w:lineRule="auto"/>
            </w:pPr>
            <w:r/>
            <w:r>
              <w:rPr>
                <w:rFonts w:ascii="Calibri" w:hAnsi="Calibri"/>
                <w:b/>
                <w:i w:val="0"/>
                <w:color w:val="0B3C5D"/>
                <w:sz w:val="18"/>
              </w:rPr>
              <w:t>Co-design the evidence model</w:t>
            </w:r>
          </w:p>
          <w:p>
            <w:pPr>
              <w:spacing w:before="0" w:after="0" w:line="254" w:lineRule="auto"/>
            </w:pPr>
            <w:r>
              <w:rPr>
                <w:rFonts w:ascii="Calibri" w:hAnsi="Calibri"/>
                <w:b w:val="0"/>
                <w:i w:val="0"/>
                <w:color w:val="1F2933"/>
                <w:sz w:val="17"/>
              </w:rPr>
              <w:t>Run city, operator, and rider sessions; test scoring definitions and weights; populate operator-readiness evidence; log contested assumptions.</w:t>
            </w:r>
          </w:p>
        </w:tc>
        <w:tc>
          <w:tcPr>
            <w:tcW w:type="dxa" w:w="4493"/>
          </w:tcPr>
          <w:p>
            <w:pPr>
              <w:spacing w:before="0" w:after="0" w:line="252" w:lineRule="auto"/>
            </w:pPr>
            <w:r/>
            <w:r>
              <w:rPr>
                <w:rFonts w:ascii="Calibri" w:hAnsi="Calibri"/>
                <w:b w:val="0"/>
                <w:i w:val="0"/>
                <w:color w:val="1F2933"/>
                <w:sz w:val="17"/>
              </w:rPr>
              <w:t>Validated criteria and evidence rubric; operator override register; documented weight proposals; community issue log.</w:t>
            </w:r>
          </w:p>
        </w:tc>
      </w:tr>
      <w:tr>
        <w:tc>
          <w:tcPr>
            <w:tcW w:type="dxa" w:w="1500"/>
          </w:tcPr>
          <w:p>
            <w:pPr>
              <w:spacing w:before="0" w:after="40" w:line="252" w:lineRule="auto"/>
            </w:pPr>
            <w:r/>
            <w:r>
              <w:rPr>
                <w:rFonts w:ascii="Calibri" w:hAnsi="Calibri"/>
                <w:b/>
                <w:i w:val="0"/>
                <w:color w:val="087F8C"/>
                <w:sz w:val="18"/>
              </w:rPr>
              <w:t>Month 4</w:t>
            </w:r>
          </w:p>
        </w:tc>
        <w:tc>
          <w:tcPr>
            <w:tcW w:type="dxa" w:w="3900"/>
          </w:tcPr>
          <w:p>
            <w:pPr>
              <w:spacing w:before="0" w:after="60" w:line="247" w:lineRule="auto"/>
            </w:pPr>
            <w:r/>
            <w:r>
              <w:rPr>
                <w:rFonts w:ascii="Calibri" w:hAnsi="Calibri"/>
                <w:b/>
                <w:i w:val="0"/>
                <w:color w:val="0B3C5D"/>
                <w:sz w:val="18"/>
              </w:rPr>
              <w:t>Validate routes and charging feasibility</w:t>
            </w:r>
          </w:p>
          <w:p>
            <w:pPr>
              <w:spacing w:before="0" w:after="0" w:line="254" w:lineRule="auto"/>
            </w:pPr>
            <w:r>
              <w:rPr>
                <w:rFonts w:ascii="Calibri" w:hAnsi="Calibri"/>
                <w:b w:val="0"/>
                <w:i w:val="0"/>
                <w:color w:val="1F2933"/>
                <w:sz w:val="17"/>
              </w:rPr>
              <w:t>Ground-check shortlisted corridors; verify stop order and service pattern; screen candidate depots, feeder constraints, tariffs, and charging operating windows.</w:t>
            </w:r>
          </w:p>
        </w:tc>
        <w:tc>
          <w:tcPr>
            <w:tcW w:type="dxa" w:w="4493"/>
          </w:tcPr>
          <w:p>
            <w:pPr>
              <w:spacing w:before="0" w:after="0" w:line="252" w:lineRule="auto"/>
            </w:pPr>
            <w:r/>
            <w:r>
              <w:rPr>
                <w:rFonts w:ascii="Calibri" w:hAnsi="Calibri"/>
                <w:b w:val="0"/>
                <w:i w:val="0"/>
                <w:color w:val="1F2933"/>
                <w:sz w:val="17"/>
              </w:rPr>
              <w:t>Verified pilot-route geometry; depot/charging options matrix; updated confidence grades; routes removed or escalated with reasons.</w:t>
            </w:r>
          </w:p>
        </w:tc>
      </w:tr>
      <w:tr>
        <w:tc>
          <w:tcPr>
            <w:tcW w:type="dxa" w:w="1500"/>
          </w:tcPr>
          <w:p>
            <w:pPr>
              <w:spacing w:before="0" w:after="40" w:line="252" w:lineRule="auto"/>
            </w:pPr>
            <w:r/>
            <w:r>
              <w:rPr>
                <w:rFonts w:ascii="Calibri" w:hAnsi="Calibri"/>
                <w:b/>
                <w:i w:val="0"/>
                <w:color w:val="087F8C"/>
                <w:sz w:val="18"/>
              </w:rPr>
              <w:t>Month 5</w:t>
            </w:r>
          </w:p>
        </w:tc>
        <w:tc>
          <w:tcPr>
            <w:tcW w:type="dxa" w:w="3900"/>
          </w:tcPr>
          <w:p>
            <w:pPr>
              <w:spacing w:before="0" w:after="60" w:line="247" w:lineRule="auto"/>
            </w:pPr>
            <w:r/>
            <w:r>
              <w:rPr>
                <w:rFonts w:ascii="Calibri" w:hAnsi="Calibri"/>
                <w:b/>
                <w:i w:val="0"/>
                <w:color w:val="0B3C5D"/>
                <w:sz w:val="18"/>
              </w:rPr>
              <w:t>Calibrate and package decisions</w:t>
            </w:r>
          </w:p>
          <w:p>
            <w:pPr>
              <w:spacing w:before="0" w:after="0" w:line="254" w:lineRule="auto"/>
            </w:pPr>
            <w:r>
              <w:rPr>
                <w:rFonts w:ascii="Calibri" w:hAnsi="Calibri"/>
                <w:b w:val="0"/>
                <w:i w:val="0"/>
                <w:color w:val="1F2933"/>
                <w:sz w:val="17"/>
              </w:rPr>
              <w:t>Re-run scoring and sensitivity scenarios; produce city shortlists, policy briefs, finance questions, and implementation dependencies.</w:t>
            </w:r>
          </w:p>
        </w:tc>
        <w:tc>
          <w:tcPr>
            <w:tcW w:type="dxa" w:w="4493"/>
          </w:tcPr>
          <w:p>
            <w:pPr>
              <w:spacing w:before="0" w:after="0" w:line="252" w:lineRule="auto"/>
            </w:pPr>
            <w:r/>
            <w:r>
              <w:rPr>
                <w:rFonts w:ascii="Calibri" w:hAnsi="Calibri"/>
                <w:b w:val="0"/>
                <w:i w:val="0"/>
                <w:color w:val="1F2933"/>
                <w:sz w:val="17"/>
              </w:rPr>
              <w:t>Decision-ready shortlist; sensitivity report; policy briefs; financing and procurement question set; dashboard release candidate.</w:t>
            </w:r>
          </w:p>
        </w:tc>
      </w:tr>
      <w:tr>
        <w:tc>
          <w:tcPr>
            <w:tcW w:type="dxa" w:w="1500"/>
          </w:tcPr>
          <w:p>
            <w:pPr>
              <w:spacing w:before="0" w:after="40" w:line="252" w:lineRule="auto"/>
            </w:pPr>
            <w:r/>
            <w:r>
              <w:rPr>
                <w:rFonts w:ascii="Calibri" w:hAnsi="Calibri"/>
                <w:b/>
                <w:i w:val="0"/>
                <w:color w:val="087F8C"/>
                <w:sz w:val="18"/>
              </w:rPr>
              <w:t>Month 6</w:t>
            </w:r>
          </w:p>
        </w:tc>
        <w:tc>
          <w:tcPr>
            <w:tcW w:type="dxa" w:w="3900"/>
          </w:tcPr>
          <w:p>
            <w:pPr>
              <w:spacing w:before="0" w:after="60" w:line="247" w:lineRule="auto"/>
            </w:pPr>
            <w:r/>
            <w:r>
              <w:rPr>
                <w:rFonts w:ascii="Calibri" w:hAnsi="Calibri"/>
                <w:b/>
                <w:i w:val="0"/>
                <w:color w:val="0B3C5D"/>
                <w:sz w:val="18"/>
              </w:rPr>
              <w:t>Demonstrate, hand off, and decide scale</w:t>
            </w:r>
          </w:p>
          <w:p>
            <w:pPr>
              <w:spacing w:before="0" w:after="0" w:line="254" w:lineRule="auto"/>
            </w:pPr>
            <w:r>
              <w:rPr>
                <w:rFonts w:ascii="Calibri" w:hAnsi="Calibri"/>
                <w:b w:val="0"/>
                <w:i w:val="0"/>
                <w:color w:val="1F2933"/>
                <w:sz w:val="17"/>
              </w:rPr>
              <w:t>Train city and partner users; conduct final review; compare outputs with stakeholder judgment; agree ownership and next-phase data sharing.</w:t>
            </w:r>
          </w:p>
        </w:tc>
        <w:tc>
          <w:tcPr>
            <w:tcW w:type="dxa" w:w="4493"/>
          </w:tcPr>
          <w:p>
            <w:pPr>
              <w:spacing w:before="0" w:after="0" w:line="252" w:lineRule="auto"/>
            </w:pPr>
            <w:r/>
            <w:r>
              <w:rPr>
                <w:rFonts w:ascii="Calibri" w:hAnsi="Calibri"/>
                <w:b w:val="0"/>
                <w:i w:val="0"/>
                <w:color w:val="1F2933"/>
                <w:sz w:val="17"/>
              </w:rPr>
              <w:t>Pilot evaluation; trained owners; handover pack; public methodology; scale/no-scale decision and 12-month roadmap.</w:t>
            </w:r>
          </w:p>
        </w:tc>
      </w:tr>
    </w:tbl>
    <w:p>
      <w:pPr>
        <w:spacing w:before="0" w:after="60" w:line="264" w:lineRule="auto"/>
      </w:pPr>
      <w:r>
        <w:rPr>
          <w:rFonts w:ascii="Calibri" w:hAnsi="Calibri"/>
          <w:b/>
          <w:i w:val="0"/>
          <w:color w:val="087F8C"/>
          <w:sz w:val="18"/>
        </w:rPr>
        <w:t>Decision gates</w:t>
      </w:r>
    </w:p>
    <w:tbl>
      <w:tblPr>
        <w:tblW w:type="dxa" w:w="9893"/>
        <w:jc w:val="left"/>
        <w:tblLayout w:type="fixed"/>
        <w:tblLook w:firstColumn="1" w:firstRow="1" w:lastColumn="0" w:lastRow="0" w:noHBand="0" w:noVBand="1" w:val="04A0"/>
        <w:tblInd w:w="120" w:type="dxa"/>
        <w:tblBorders>
          <w:top w:val="single" w:sz="5" w:color="E1C66A"/>
          <w:left w:val="single" w:sz="5" w:color="E1C66A"/>
          <w:bottom w:val="single" w:sz="5" w:color="E1C66A"/>
          <w:right w:val="single" w:sz="5" w:color="E1C66A"/>
          <w:insideH w:val="single" w:sz="5" w:color="E1C66A"/>
          <w:insideV w:val="single" w:sz="5" w:color="E1C66A"/>
        </w:tblBorders>
      </w:tblPr>
      <w:tblGrid>
        <w:gridCol w:w="3298"/>
        <w:gridCol w:w="3298"/>
        <w:gridCol w:w="3297"/>
      </w:tblGrid>
      <w:tr>
        <w:tc>
          <w:tcPr>
            <w:tcW w:type="dxa" w:w="3298"/>
            <w:tcMar>
              <w:top w:w="100" w:type="dxa"/>
              <w:start w:w="120" w:type="dxa"/>
              <w:bottom w:w="100" w:type="dxa"/>
              <w:end w:w="120" w:type="dxa"/>
            </w:tcMar>
            <w:vAlign w:val="center"/>
            <w:shd w:fill="FFF7DE"/>
          </w:tcPr>
          <w:p>
            <w:pPr>
              <w:spacing w:before="0" w:after="20" w:line="240" w:lineRule="auto"/>
            </w:pPr>
            <w:r/>
            <w:r>
              <w:rPr>
                <w:rFonts w:ascii="Calibri" w:hAnsi="Calibri"/>
                <w:b/>
                <w:i w:val="0"/>
                <w:color w:val="8A6500"/>
                <w:sz w:val="15"/>
              </w:rPr>
              <w:t>GATE 1 · END M2</w:t>
            </w:r>
          </w:p>
          <w:p>
            <w:pPr>
              <w:spacing w:before="0" w:after="0" w:line="252" w:lineRule="auto"/>
            </w:pPr>
            <w:r>
              <w:rPr>
                <w:rFonts w:ascii="Calibri" w:hAnsi="Calibri"/>
                <w:b/>
                <w:i w:val="0"/>
                <w:color w:val="0B3C5D"/>
                <w:sz w:val="27"/>
              </w:rPr>
              <w:t>Enough current evidence to begin co-design</w:t>
            </w:r>
          </w:p>
        </w:tc>
        <w:tc>
          <w:tcPr>
            <w:tcW w:type="dxa" w:w="3298"/>
            <w:tcMar>
              <w:top w:w="100" w:type="dxa"/>
              <w:start w:w="120" w:type="dxa"/>
              <w:bottom w:w="100" w:type="dxa"/>
              <w:end w:w="120" w:type="dxa"/>
            </w:tcMar>
            <w:vAlign w:val="center"/>
            <w:shd w:fill="FFF7DE"/>
          </w:tcPr>
          <w:p>
            <w:pPr>
              <w:spacing w:before="0" w:after="20" w:line="240" w:lineRule="auto"/>
            </w:pPr>
            <w:r/>
            <w:r>
              <w:rPr>
                <w:rFonts w:ascii="Calibri" w:hAnsi="Calibri"/>
                <w:b/>
                <w:i w:val="0"/>
                <w:color w:val="8A6500"/>
                <w:sz w:val="15"/>
              </w:rPr>
              <w:t>GATE 2 · END M4</w:t>
            </w:r>
          </w:p>
          <w:p>
            <w:pPr>
              <w:spacing w:before="0" w:after="0" w:line="252" w:lineRule="auto"/>
            </w:pPr>
            <w:r>
              <w:rPr>
                <w:rFonts w:ascii="Calibri" w:hAnsi="Calibri"/>
                <w:b/>
                <w:i w:val="0"/>
                <w:color w:val="0B3C5D"/>
                <w:sz w:val="27"/>
              </w:rPr>
              <w:t>Shortlist survives route and depot validation</w:t>
            </w:r>
          </w:p>
        </w:tc>
        <w:tc>
          <w:tcPr>
            <w:tcW w:type="dxa" w:w="3297"/>
            <w:tcMar>
              <w:top w:w="100" w:type="dxa"/>
              <w:start w:w="120" w:type="dxa"/>
              <w:bottom w:w="100" w:type="dxa"/>
              <w:end w:w="120" w:type="dxa"/>
            </w:tcMar>
            <w:vAlign w:val="center"/>
            <w:shd w:fill="FFF7DE"/>
          </w:tcPr>
          <w:p>
            <w:pPr>
              <w:spacing w:before="0" w:after="20" w:line="240" w:lineRule="auto"/>
            </w:pPr>
            <w:r/>
            <w:r>
              <w:rPr>
                <w:rFonts w:ascii="Calibri" w:hAnsi="Calibri"/>
                <w:b/>
                <w:i w:val="0"/>
                <w:color w:val="8A6500"/>
                <w:sz w:val="15"/>
              </w:rPr>
              <w:t>GATE 3 · END M6</w:t>
            </w:r>
          </w:p>
          <w:p>
            <w:pPr>
              <w:spacing w:before="0" w:after="0" w:line="252" w:lineRule="auto"/>
            </w:pPr>
            <w:r>
              <w:rPr>
                <w:rFonts w:ascii="Calibri" w:hAnsi="Calibri"/>
                <w:b/>
                <w:i w:val="0"/>
                <w:color w:val="0B3C5D"/>
                <w:sz w:val="27"/>
              </w:rPr>
              <w:t>Named owners and data-sharing path support scale</w:t>
            </w:r>
          </w:p>
        </w:tc>
      </w:tr>
    </w:tbl>
    <w:p>
      <w:r>
        <w:br w:type="page"/>
      </w:r>
    </w:p>
    <w:p>
      <w:pPr>
        <w:keepNext/>
        <w:spacing w:before="0" w:after="40" w:line="264" w:lineRule="auto"/>
      </w:pPr>
      <w:r>
        <w:rPr>
          <w:rFonts w:ascii="Calibri" w:hAnsi="Calibri"/>
          <w:b/>
          <w:i w:val="0"/>
          <w:color w:val="087F8C"/>
          <w:sz w:val="18"/>
        </w:rPr>
        <w:t>ROUTE2ZERO PILOT EXECUTION PLAN</w:t>
      </w:r>
    </w:p>
    <w:p>
      <w:pPr>
        <w:keepNext/>
        <w:spacing w:before="0" w:after="60" w:line="264" w:lineRule="auto"/>
      </w:pPr>
      <w:r>
        <w:rPr>
          <w:rFonts w:ascii="Calibri" w:hAnsi="Calibri"/>
          <w:b/>
          <w:i w:val="0"/>
          <w:color w:val="0B3C5D"/>
          <w:sz w:val="48"/>
        </w:rPr>
        <w:t>Workstreams, deliverables, and acceptance</w:t>
      </w:r>
    </w:p>
    <w:p>
      <w:pPr>
        <w:spacing w:before="0" w:after="240" w:line="264" w:lineRule="auto"/>
      </w:pPr>
      <w:r>
        <w:rPr>
          <w:rFonts w:ascii="Calibri" w:hAnsi="Calibri"/>
          <w:b w:val="0"/>
          <w:i w:val="0"/>
          <w:color w:val="5C6B73"/>
          <w:sz w:val="22"/>
        </w:rPr>
        <w:t>Each workstream has a named evidence boundary and a concrete handoff.</w:t>
      </w:r>
    </w:p>
    <w:tbl>
      <w:tblPr>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1450"/>
        <w:gridCol w:w="3150"/>
        <w:gridCol w:w="2793"/>
        <w:gridCol w:w="2500"/>
      </w:tblGrid>
      <w:tr>
        <w:trPr>
          <w:tblHeader w:val="true"/>
        </w:trPr>
        <w:tc>
          <w:tcPr>
            <w:tcW w:type="dxa" w:w="145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Workstream</w:t>
            </w:r>
          </w:p>
        </w:tc>
        <w:tc>
          <w:tcPr>
            <w:tcW w:type="dxa" w:w="315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Core activities</w:t>
            </w:r>
          </w:p>
        </w:tc>
        <w:tc>
          <w:tcPr>
            <w:tcW w:type="dxa" w:w="2793"/>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Deliverables</w:t>
            </w:r>
          </w:p>
        </w:tc>
        <w:tc>
          <w:tcPr>
            <w:tcW w:type="dxa" w:w="25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Acceptance test</w:t>
            </w:r>
          </w:p>
        </w:tc>
      </w:tr>
      <w:tr>
        <w:tc>
          <w:tcPr>
            <w:tcW w:type="dxa" w:w="1450"/>
            <w:shd w:fill="EEF5FA"/>
          </w:tcPr>
          <w:p>
            <w:pPr>
              <w:spacing w:before="0" w:after="40" w:line="252" w:lineRule="auto"/>
            </w:pPr>
            <w:r/>
            <w:r>
              <w:rPr>
                <w:rFonts w:ascii="Calibri" w:hAnsi="Calibri"/>
                <w:b/>
                <w:i w:val="0"/>
                <w:color w:val="087F8C"/>
                <w:sz w:val="18"/>
              </w:rPr>
              <w:t>A · Data and model</w:t>
            </w:r>
          </w:p>
        </w:tc>
        <w:tc>
          <w:tcPr>
            <w:tcW w:type="dxa" w:w="3150"/>
          </w:tcPr>
          <w:p>
            <w:pPr>
              <w:spacing w:before="0" w:after="40" w:line="252" w:lineRule="auto"/>
            </w:pPr>
            <w:r/>
            <w:r>
              <w:rPr>
                <w:rFonts w:ascii="Calibri" w:hAnsi="Calibri"/>
                <w:b w:val="0"/>
                <w:i w:val="0"/>
                <w:color w:val="1F2933"/>
                <w:sz w:val="17"/>
              </w:rPr>
              <w:t>Refresh GTFS and reference layers; maintain provenance; run sensitivity analysis; protect nulls and proxy labels.</w:t>
            </w:r>
          </w:p>
        </w:tc>
        <w:tc>
          <w:tcPr>
            <w:tcW w:type="dxa" w:w="2793"/>
          </w:tcPr>
          <w:p>
            <w:pPr>
              <w:spacing w:before="0" w:after="40" w:line="252" w:lineRule="auto"/>
            </w:pPr>
            <w:r/>
            <w:r>
              <w:rPr>
                <w:rFonts w:ascii="Calibri" w:hAnsi="Calibri"/>
                <w:b w:val="0"/>
                <w:i w:val="0"/>
                <w:color w:val="1F2933"/>
                <w:sz w:val="17"/>
              </w:rPr>
              <w:t>Versioned data inventory, reproducible pipeline, score cards, confidence ledger.</w:t>
            </w:r>
          </w:p>
        </w:tc>
        <w:tc>
          <w:tcPr>
            <w:tcW w:type="dxa" w:w="2500"/>
          </w:tcPr>
          <w:p>
            <w:pPr>
              <w:spacing w:before="0" w:after="40" w:line="252" w:lineRule="auto"/>
            </w:pPr>
            <w:r/>
            <w:r>
              <w:rPr>
                <w:rFonts w:ascii="Calibri" w:hAnsi="Calibri"/>
                <w:b/>
                <w:i w:val="0"/>
                <w:color w:val="0B3C5D"/>
                <w:sz w:val="17"/>
              </w:rPr>
              <w:t>Every score traces to source, proxy, placeholder, or explicit missing state.</w:t>
            </w:r>
          </w:p>
        </w:tc>
      </w:tr>
      <w:tr>
        <w:tc>
          <w:tcPr>
            <w:tcW w:type="dxa" w:w="1450"/>
            <w:shd w:fill="EEF5FA"/>
          </w:tcPr>
          <w:p>
            <w:pPr>
              <w:spacing w:before="0" w:after="40" w:line="252" w:lineRule="auto"/>
            </w:pPr>
            <w:r/>
            <w:r>
              <w:rPr>
                <w:rFonts w:ascii="Calibri" w:hAnsi="Calibri"/>
                <w:b/>
                <w:i w:val="0"/>
                <w:color w:val="087F8C"/>
                <w:sz w:val="18"/>
              </w:rPr>
              <w:t>B · City and community validation</w:t>
            </w:r>
          </w:p>
        </w:tc>
        <w:tc>
          <w:tcPr>
            <w:tcW w:type="dxa" w:w="3150"/>
          </w:tcPr>
          <w:p>
            <w:pPr>
              <w:spacing w:before="0" w:after="40" w:line="252" w:lineRule="auto"/>
            </w:pPr>
            <w:r/>
            <w:r>
              <w:rPr>
                <w:rFonts w:ascii="Calibri" w:hAnsi="Calibri"/>
                <w:b w:val="0"/>
                <w:i w:val="0"/>
                <w:color w:val="1F2933"/>
                <w:sz w:val="17"/>
              </w:rPr>
              <w:t>Facilitate LGU, operator, driver, and rider sessions; verify route realities and equity concerns; record disagreement.</w:t>
            </w:r>
          </w:p>
        </w:tc>
        <w:tc>
          <w:tcPr>
            <w:tcW w:type="dxa" w:w="2793"/>
          </w:tcPr>
          <w:p>
            <w:pPr>
              <w:spacing w:before="0" w:after="40" w:line="252" w:lineRule="auto"/>
            </w:pPr>
            <w:r/>
            <w:r>
              <w:rPr>
                <w:rFonts w:ascii="Calibri" w:hAnsi="Calibri"/>
                <w:b w:val="0"/>
                <w:i w:val="0"/>
                <w:color w:val="1F2933"/>
                <w:sz w:val="17"/>
              </w:rPr>
              <w:t>Workshop records, validated issue map, equity evidence requests, agreed review criteria.</w:t>
            </w:r>
          </w:p>
        </w:tc>
        <w:tc>
          <w:tcPr>
            <w:tcW w:type="dxa" w:w="2500"/>
          </w:tcPr>
          <w:p>
            <w:pPr>
              <w:spacing w:before="0" w:after="40" w:line="252" w:lineRule="auto"/>
            </w:pPr>
            <w:r/>
            <w:r>
              <w:rPr>
                <w:rFonts w:ascii="Calibri" w:hAnsi="Calibri"/>
                <w:b/>
                <w:i w:val="0"/>
                <w:color w:val="0B3C5D"/>
                <w:sz w:val="17"/>
              </w:rPr>
              <w:t>No corridor is called ‘equitable’ solely from WorldPop density.</w:t>
            </w:r>
          </w:p>
        </w:tc>
      </w:tr>
      <w:tr>
        <w:tc>
          <w:tcPr>
            <w:tcW w:type="dxa" w:w="1450"/>
            <w:shd w:fill="EEF5FA"/>
          </w:tcPr>
          <w:p>
            <w:pPr>
              <w:spacing w:before="0" w:after="40" w:line="252" w:lineRule="auto"/>
            </w:pPr>
            <w:r/>
            <w:r>
              <w:rPr>
                <w:rFonts w:ascii="Calibri" w:hAnsi="Calibri"/>
                <w:b/>
                <w:i w:val="0"/>
                <w:color w:val="087F8C"/>
                <w:sz w:val="18"/>
              </w:rPr>
              <w:t>C · Grid and depot feasibility</w:t>
            </w:r>
          </w:p>
        </w:tc>
        <w:tc>
          <w:tcPr>
            <w:tcW w:type="dxa" w:w="3150"/>
          </w:tcPr>
          <w:p>
            <w:pPr>
              <w:spacing w:before="0" w:after="40" w:line="252" w:lineRule="auto"/>
            </w:pPr>
            <w:r/>
            <w:r>
              <w:rPr>
                <w:rFonts w:ascii="Calibri" w:hAnsi="Calibri"/>
                <w:b w:val="0"/>
                <w:i w:val="0"/>
                <w:color w:val="1F2933"/>
                <w:sz w:val="17"/>
              </w:rPr>
              <w:t>Screen candidate depots, charging windows, distribution constraints, tariffs, resiliency, and solar/storage pairing.</w:t>
            </w:r>
          </w:p>
        </w:tc>
        <w:tc>
          <w:tcPr>
            <w:tcW w:type="dxa" w:w="2793"/>
          </w:tcPr>
          <w:p>
            <w:pPr>
              <w:spacing w:before="0" w:after="40" w:line="252" w:lineRule="auto"/>
            </w:pPr>
            <w:r/>
            <w:r>
              <w:rPr>
                <w:rFonts w:ascii="Calibri" w:hAnsi="Calibri"/>
                <w:b w:val="0"/>
                <w:i w:val="0"/>
                <w:color w:val="1F2933"/>
                <w:sz w:val="17"/>
              </w:rPr>
              <w:t>Depot options matrix, utility question list, interconnection risks, refinement backlog.</w:t>
            </w:r>
          </w:p>
        </w:tc>
        <w:tc>
          <w:tcPr>
            <w:tcW w:type="dxa" w:w="2500"/>
          </w:tcPr>
          <w:p>
            <w:pPr>
              <w:spacing w:before="0" w:after="40" w:line="252" w:lineRule="auto"/>
            </w:pPr>
            <w:r/>
            <w:r>
              <w:rPr>
                <w:rFonts w:ascii="Calibri" w:hAnsi="Calibri"/>
                <w:b/>
                <w:i w:val="0"/>
                <w:color w:val="0B3C5D"/>
                <w:sz w:val="17"/>
              </w:rPr>
              <w:t>Regional grid share is never presented as local charger capacity.</w:t>
            </w:r>
          </w:p>
        </w:tc>
      </w:tr>
      <w:tr>
        <w:tc>
          <w:tcPr>
            <w:tcW w:type="dxa" w:w="1450"/>
            <w:shd w:fill="EEF5FA"/>
          </w:tcPr>
          <w:p>
            <w:pPr>
              <w:spacing w:before="0" w:after="40" w:line="252" w:lineRule="auto"/>
            </w:pPr>
            <w:r/>
            <w:r>
              <w:rPr>
                <w:rFonts w:ascii="Calibri" w:hAnsi="Calibri"/>
                <w:b/>
                <w:i w:val="0"/>
                <w:color w:val="087F8C"/>
                <w:sz w:val="18"/>
              </w:rPr>
              <w:t>D · Decision products and adoption</w:t>
            </w:r>
          </w:p>
        </w:tc>
        <w:tc>
          <w:tcPr>
            <w:tcW w:type="dxa" w:w="3150"/>
          </w:tcPr>
          <w:p>
            <w:pPr>
              <w:spacing w:before="0" w:after="40" w:line="252" w:lineRule="auto"/>
            </w:pPr>
            <w:r/>
            <w:r>
              <w:rPr>
                <w:rFonts w:ascii="Calibri" w:hAnsi="Calibri"/>
                <w:b w:val="0"/>
                <w:i w:val="0"/>
                <w:color w:val="1F2933"/>
                <w:sz w:val="17"/>
              </w:rPr>
              <w:t>Publish city views, briefs, exportable rankings, training, governance, and scale decision pack.</w:t>
            </w:r>
          </w:p>
        </w:tc>
        <w:tc>
          <w:tcPr>
            <w:tcW w:type="dxa" w:w="2793"/>
          </w:tcPr>
          <w:p>
            <w:pPr>
              <w:spacing w:before="0" w:after="40" w:line="252" w:lineRule="auto"/>
            </w:pPr>
            <w:r/>
            <w:r>
              <w:rPr>
                <w:rFonts w:ascii="Calibri" w:hAnsi="Calibri"/>
                <w:b w:val="0"/>
                <w:i w:val="0"/>
                <w:color w:val="1F2933"/>
                <w:sz w:val="17"/>
              </w:rPr>
              <w:t>Dashboard release, policy briefs, operator override workflow, handover and roadmap.</w:t>
            </w:r>
          </w:p>
        </w:tc>
        <w:tc>
          <w:tcPr>
            <w:tcW w:type="dxa" w:w="2500"/>
          </w:tcPr>
          <w:p>
            <w:pPr>
              <w:spacing w:before="0" w:after="40" w:line="252" w:lineRule="auto"/>
            </w:pPr>
            <w:r/>
            <w:r>
              <w:rPr>
                <w:rFonts w:ascii="Calibri" w:hAnsi="Calibri"/>
                <w:b/>
                <w:i w:val="0"/>
                <w:color w:val="0B3C5D"/>
                <w:sz w:val="17"/>
              </w:rPr>
              <w:t>A city user can reproduce, challenge, export, and update the shortlist.</w:t>
            </w:r>
          </w:p>
        </w:tc>
      </w:tr>
    </w:tbl>
    <w:p>
      <w:pPr>
        <w:pStyle w:val="Heading1"/>
        <w:keepNext/>
      </w:pPr>
      <w:r>
        <w:t>Success measures</w:t>
      </w:r>
    </w:p>
    <w:tbl>
      <w:tblPr>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2400"/>
        <w:gridCol w:w="3593"/>
        <w:gridCol w:w="3900"/>
      </w:tblGrid>
      <w:tr>
        <w:tc>
          <w:tcPr>
            <w:tcW w:type="dxa" w:w="2400"/>
            <w:tcMar>
              <w:top w:w="100" w:type="dxa"/>
              <w:start w:w="120" w:type="dxa"/>
              <w:bottom w:w="100" w:type="dxa"/>
              <w:end w:w="120" w:type="dxa"/>
            </w:tcMar>
            <w:vAlign w:val="center"/>
            <w:shd w:fill="DFF4EE"/>
          </w:tcPr>
          <w:p>
            <w:pPr>
              <w:spacing w:before="0" w:after="40" w:line="252" w:lineRule="auto"/>
            </w:pPr>
            <w:r/>
            <w:r>
              <w:rPr>
                <w:rFonts w:ascii="Calibri" w:hAnsi="Calibri"/>
                <w:b/>
                <w:i w:val="0"/>
                <w:color w:val="0B3C5D"/>
                <w:sz w:val="18"/>
              </w:rPr>
              <w:t>Measure</w:t>
            </w:r>
          </w:p>
        </w:tc>
        <w:tc>
          <w:tcPr>
            <w:tcW w:type="dxa" w:w="3593"/>
            <w:tcMar>
              <w:top w:w="100" w:type="dxa"/>
              <w:start w:w="120" w:type="dxa"/>
              <w:bottom w:w="100" w:type="dxa"/>
              <w:end w:w="120" w:type="dxa"/>
            </w:tcMar>
            <w:vAlign w:val="center"/>
            <w:shd w:fill="DFF4EE"/>
          </w:tcPr>
          <w:p>
            <w:pPr>
              <w:spacing w:before="0" w:after="40" w:line="252" w:lineRule="auto"/>
            </w:pPr>
            <w:r/>
            <w:r>
              <w:rPr>
                <w:rFonts w:ascii="Calibri" w:hAnsi="Calibri"/>
                <w:b/>
                <w:i w:val="0"/>
                <w:color w:val="0B3C5D"/>
                <w:sz w:val="18"/>
              </w:rPr>
              <w:t>Pilot target</w:t>
            </w:r>
          </w:p>
        </w:tc>
        <w:tc>
          <w:tcPr>
            <w:tcW w:type="dxa" w:w="3900"/>
            <w:tcMar>
              <w:top w:w="100" w:type="dxa"/>
              <w:start w:w="120" w:type="dxa"/>
              <w:bottom w:w="100" w:type="dxa"/>
              <w:end w:w="120" w:type="dxa"/>
            </w:tcMar>
            <w:vAlign w:val="center"/>
            <w:shd w:fill="DFF4EE"/>
          </w:tcPr>
          <w:p>
            <w:pPr>
              <w:spacing w:before="0" w:after="40" w:line="252" w:lineRule="auto"/>
            </w:pPr>
            <w:r/>
            <w:r>
              <w:rPr>
                <w:rFonts w:ascii="Calibri" w:hAnsi="Calibri"/>
                <w:b/>
                <w:i w:val="0"/>
                <w:color w:val="0B3C5D"/>
                <w:sz w:val="18"/>
              </w:rPr>
              <w:t>Evidence</w:t>
            </w:r>
          </w:p>
        </w:tc>
      </w:tr>
      <w:tr>
        <w:tc>
          <w:tcPr>
            <w:tcW w:type="dxa" w:w="2400"/>
          </w:tcPr>
          <w:p>
            <w:pPr>
              <w:spacing w:before="0" w:after="40" w:line="252" w:lineRule="auto"/>
            </w:pPr>
            <w:r/>
            <w:r>
              <w:rPr>
                <w:rFonts w:ascii="Calibri" w:hAnsi="Calibri"/>
                <w:b/>
                <w:i w:val="0"/>
                <w:color w:val="087F8C"/>
                <w:sz w:val="17"/>
              </w:rPr>
              <w:t>Data transparency</w:t>
            </w:r>
          </w:p>
        </w:tc>
        <w:tc>
          <w:tcPr>
            <w:tcW w:type="dxa" w:w="3593"/>
          </w:tcPr>
          <w:p>
            <w:pPr>
              <w:spacing w:before="0" w:after="40" w:line="252" w:lineRule="auto"/>
            </w:pPr>
            <w:r/>
            <w:r>
              <w:rPr>
                <w:rFonts w:ascii="Calibri" w:hAnsi="Calibri"/>
                <w:b w:val="0"/>
                <w:i w:val="0"/>
                <w:color w:val="1F2933"/>
                <w:sz w:val="17"/>
              </w:rPr>
              <w:t>100% of scored fields retain source and confidence labels</w:t>
            </w:r>
          </w:p>
        </w:tc>
        <w:tc>
          <w:tcPr>
            <w:tcW w:type="dxa" w:w="3900"/>
          </w:tcPr>
          <w:p>
            <w:pPr>
              <w:spacing w:before="0" w:after="40" w:line="252" w:lineRule="auto"/>
            </w:pPr>
            <w:r/>
            <w:r>
              <w:rPr>
                <w:rFonts w:ascii="Calibri" w:hAnsi="Calibri"/>
                <w:b w:val="0"/>
                <w:i w:val="0"/>
                <w:color w:val="1F2933"/>
                <w:sz w:val="17"/>
              </w:rPr>
              <w:t>Automated data audit and route-level export</w:t>
            </w:r>
          </w:p>
        </w:tc>
      </w:tr>
      <w:tr>
        <w:tc>
          <w:tcPr>
            <w:tcW w:type="dxa" w:w="2400"/>
          </w:tcPr>
          <w:p>
            <w:pPr>
              <w:spacing w:before="0" w:after="40" w:line="252" w:lineRule="auto"/>
            </w:pPr>
            <w:r/>
            <w:r>
              <w:rPr>
                <w:rFonts w:ascii="Calibri" w:hAnsi="Calibri"/>
                <w:b/>
                <w:i w:val="0"/>
                <w:color w:val="087F8C"/>
                <w:sz w:val="17"/>
              </w:rPr>
              <w:t>Stakeholder validation</w:t>
            </w:r>
          </w:p>
        </w:tc>
        <w:tc>
          <w:tcPr>
            <w:tcW w:type="dxa" w:w="3593"/>
          </w:tcPr>
          <w:p>
            <w:pPr>
              <w:spacing w:before="0" w:after="40" w:line="252" w:lineRule="auto"/>
            </w:pPr>
            <w:r/>
            <w:r>
              <w:rPr>
                <w:rFonts w:ascii="Calibri" w:hAnsi="Calibri"/>
                <w:b w:val="0"/>
                <w:i w:val="0"/>
                <w:color w:val="1F2933"/>
                <w:sz w:val="17"/>
              </w:rPr>
              <w:t>At least one structured validation cycle per spotlight LGU</w:t>
            </w:r>
          </w:p>
        </w:tc>
        <w:tc>
          <w:tcPr>
            <w:tcW w:type="dxa" w:w="3900"/>
          </w:tcPr>
          <w:p>
            <w:pPr>
              <w:spacing w:before="0" w:after="40" w:line="252" w:lineRule="auto"/>
            </w:pPr>
            <w:r/>
            <w:r>
              <w:rPr>
                <w:rFonts w:ascii="Calibri" w:hAnsi="Calibri"/>
                <w:b w:val="0"/>
                <w:i w:val="0"/>
                <w:color w:val="1F2933"/>
                <w:sz w:val="17"/>
              </w:rPr>
              <w:t>Attendance, issues, decisions, and unresolved items log</w:t>
            </w:r>
          </w:p>
        </w:tc>
      </w:tr>
      <w:tr>
        <w:tc>
          <w:tcPr>
            <w:tcW w:type="dxa" w:w="2400"/>
          </w:tcPr>
          <w:p>
            <w:pPr>
              <w:spacing w:before="0" w:after="40" w:line="252" w:lineRule="auto"/>
            </w:pPr>
            <w:r/>
            <w:r>
              <w:rPr>
                <w:rFonts w:ascii="Calibri" w:hAnsi="Calibri"/>
                <w:b/>
                <w:i w:val="0"/>
                <w:color w:val="087F8C"/>
                <w:sz w:val="17"/>
              </w:rPr>
              <w:t>Decision usability</w:t>
            </w:r>
          </w:p>
        </w:tc>
        <w:tc>
          <w:tcPr>
            <w:tcW w:type="dxa" w:w="3593"/>
          </w:tcPr>
          <w:p>
            <w:pPr>
              <w:spacing w:before="0" w:after="40" w:line="252" w:lineRule="auto"/>
            </w:pPr>
            <w:r/>
            <w:r>
              <w:rPr>
                <w:rFonts w:ascii="Calibri" w:hAnsi="Calibri"/>
                <w:b w:val="0"/>
                <w:i w:val="0"/>
                <w:color w:val="1F2933"/>
                <w:sz w:val="17"/>
              </w:rPr>
              <w:t>Partner users can filter, challenge weights, export, and explain a shortlist</w:t>
            </w:r>
          </w:p>
        </w:tc>
        <w:tc>
          <w:tcPr>
            <w:tcW w:type="dxa" w:w="3900"/>
          </w:tcPr>
          <w:p>
            <w:pPr>
              <w:spacing w:before="0" w:after="40" w:line="252" w:lineRule="auto"/>
            </w:pPr>
            <w:r/>
            <w:r>
              <w:rPr>
                <w:rFonts w:ascii="Calibri" w:hAnsi="Calibri"/>
                <w:b w:val="0"/>
                <w:i w:val="0"/>
                <w:color w:val="1F2933"/>
                <w:sz w:val="17"/>
              </w:rPr>
              <w:t>Observed task test and closing survey</w:t>
            </w:r>
          </w:p>
        </w:tc>
      </w:tr>
      <w:tr>
        <w:tc>
          <w:tcPr>
            <w:tcW w:type="dxa" w:w="2400"/>
          </w:tcPr>
          <w:p>
            <w:pPr>
              <w:spacing w:before="0" w:after="40" w:line="252" w:lineRule="auto"/>
            </w:pPr>
            <w:r/>
            <w:r>
              <w:rPr>
                <w:rFonts w:ascii="Calibri" w:hAnsi="Calibri"/>
                <w:b/>
                <w:i w:val="0"/>
                <w:color w:val="087F8C"/>
                <w:sz w:val="17"/>
              </w:rPr>
              <w:t>Handover readiness</w:t>
            </w:r>
          </w:p>
        </w:tc>
        <w:tc>
          <w:tcPr>
            <w:tcW w:type="dxa" w:w="3593"/>
          </w:tcPr>
          <w:p>
            <w:pPr>
              <w:spacing w:before="0" w:after="40" w:line="252" w:lineRule="auto"/>
            </w:pPr>
            <w:r/>
            <w:r>
              <w:rPr>
                <w:rFonts w:ascii="Calibri" w:hAnsi="Calibri"/>
                <w:b w:val="0"/>
                <w:i w:val="0"/>
                <w:color w:val="1F2933"/>
                <w:sz w:val="17"/>
              </w:rPr>
              <w:t>Named owners for data refresh, overrides, and public methodology</w:t>
            </w:r>
          </w:p>
        </w:tc>
        <w:tc>
          <w:tcPr>
            <w:tcW w:type="dxa" w:w="3900"/>
          </w:tcPr>
          <w:p>
            <w:pPr>
              <w:spacing w:before="0" w:after="40" w:line="252" w:lineRule="auto"/>
            </w:pPr>
            <w:r/>
            <w:r>
              <w:rPr>
                <w:rFonts w:ascii="Calibri" w:hAnsi="Calibri"/>
                <w:b w:val="0"/>
                <w:i w:val="0"/>
                <w:color w:val="1F2933"/>
                <w:sz w:val="17"/>
              </w:rPr>
              <w:t>Signed handover and 12-month roadmap</w:t>
            </w:r>
          </w:p>
        </w:tc>
      </w:tr>
    </w:tbl>
    <w:p>
      <w:r>
        <w:br w:type="page"/>
      </w:r>
    </w:p>
    <w:p>
      <w:pPr>
        <w:keepNext/>
        <w:spacing w:before="0" w:after="40" w:line="264" w:lineRule="auto"/>
      </w:pPr>
      <w:r>
        <w:rPr>
          <w:rFonts w:ascii="Calibri" w:hAnsi="Calibri"/>
          <w:b/>
          <w:i w:val="0"/>
          <w:color w:val="087F8C"/>
          <w:sz w:val="18"/>
        </w:rPr>
        <w:t>ROUTE2ZERO PILOT EXECUTION PLAN</w:t>
      </w:r>
    </w:p>
    <w:p>
      <w:pPr>
        <w:keepNext/>
        <w:spacing w:before="0" w:after="60" w:line="264" w:lineRule="auto"/>
      </w:pPr>
      <w:r>
        <w:rPr>
          <w:rFonts w:ascii="Calibri" w:hAnsi="Calibri"/>
          <w:b/>
          <w:i w:val="0"/>
          <w:color w:val="0B3C5D"/>
          <w:sz w:val="48"/>
        </w:rPr>
        <w:t>Team structure · Product and evidence</w:t>
      </w:r>
    </w:p>
    <w:p>
      <w:pPr>
        <w:spacing w:before="0" w:after="240" w:line="264" w:lineRule="auto"/>
      </w:pPr>
      <w:r>
        <w:rPr>
          <w:rFonts w:ascii="Calibri" w:hAnsi="Calibri"/>
          <w:b w:val="0"/>
          <w:i w:val="0"/>
          <w:color w:val="5C6B73"/>
          <w:sz w:val="22"/>
        </w:rPr>
        <w:t>Role allocations define pilot accountability. Personal biographies and CV evidence can be appended if requested by the organizers.</w:t>
      </w:r>
    </w:p>
    <w:tbl>
      <w:tblPr>
        <w:tblStyle w:val="TableGrid"/>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2100"/>
        <w:gridCol w:w="2700"/>
        <w:gridCol w:w="5093"/>
      </w:tblGrid>
      <w:tr>
        <w:trPr>
          <w:tblHeader w:val="true"/>
        </w:trPr>
        <w:tc>
          <w:tcPr>
            <w:tcW w:type="dxa" w:w="21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Name</w:t>
            </w:r>
          </w:p>
        </w:tc>
        <w:tc>
          <w:tcPr>
            <w:tcW w:type="dxa" w:w="27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Pilot role</w:t>
            </w:r>
          </w:p>
        </w:tc>
        <w:tc>
          <w:tcPr>
            <w:tcW w:type="dxa" w:w="5093"/>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Relevant skills applied / accountable outputs</w:t>
            </w:r>
          </w:p>
        </w:tc>
      </w:tr>
      <w:tr>
        <w:tc>
          <w:tcPr>
            <w:tcW w:type="dxa" w:w="2100"/>
          </w:tcPr>
          <w:p>
            <w:pPr>
              <w:spacing w:before="0" w:after="40" w:line="252" w:lineRule="auto"/>
            </w:pPr>
            <w:r/>
            <w:r>
              <w:rPr>
                <w:rFonts w:ascii="Calibri" w:hAnsi="Calibri"/>
                <w:b/>
                <w:i w:val="0"/>
                <w:color w:val="0B3C5D"/>
                <w:sz w:val="18"/>
              </w:rPr>
              <w:t>John Marwin Ebona</w:t>
            </w:r>
          </w:p>
        </w:tc>
        <w:tc>
          <w:tcPr>
            <w:tcW w:type="dxa" w:w="2700"/>
          </w:tcPr>
          <w:p>
            <w:pPr>
              <w:spacing w:before="0" w:after="40" w:line="252" w:lineRule="auto"/>
            </w:pPr>
            <w:r/>
            <w:r>
              <w:rPr>
                <w:rFonts w:ascii="Calibri" w:hAnsi="Calibri"/>
                <w:b/>
                <w:i w:val="0"/>
                <w:color w:val="087F8C"/>
                <w:sz w:val="18"/>
              </w:rPr>
              <w:t>Project Lead and Policy Integration</w:t>
            </w:r>
          </w:p>
        </w:tc>
        <w:tc>
          <w:tcPr>
            <w:tcW w:type="dxa" w:w="5093"/>
          </w:tcPr>
          <w:p>
            <w:pPr>
              <w:spacing w:before="0" w:after="40" w:line="252" w:lineRule="auto"/>
            </w:pPr>
            <w:r/>
            <w:r>
              <w:rPr>
                <w:rFonts w:ascii="Calibri" w:hAnsi="Calibri"/>
                <w:b w:val="0"/>
                <w:i w:val="0"/>
                <w:color w:val="1F2933"/>
                <w:sz w:val="17"/>
              </w:rPr>
              <w:t>Project coordination, decision framing, partner governance, risk escalation, and final pilot acceptance. Accountable for charter, decision gates, and scale recommendation.</w:t>
            </w:r>
          </w:p>
        </w:tc>
      </w:tr>
      <w:tr>
        <w:tc>
          <w:tcPr>
            <w:tcW w:type="dxa" w:w="2100"/>
          </w:tcPr>
          <w:p>
            <w:pPr>
              <w:spacing w:before="0" w:after="40" w:line="252" w:lineRule="auto"/>
            </w:pPr>
            <w:r/>
            <w:r>
              <w:rPr>
                <w:rFonts w:ascii="Calibri" w:hAnsi="Calibri"/>
                <w:b/>
                <w:i w:val="0"/>
                <w:color w:val="0B3C5D"/>
                <w:sz w:val="18"/>
              </w:rPr>
              <w:t>Prince Marl</w:t>
            </w:r>
          </w:p>
        </w:tc>
        <w:tc>
          <w:tcPr>
            <w:tcW w:type="dxa" w:w="2700"/>
          </w:tcPr>
          <w:p>
            <w:pPr>
              <w:spacing w:before="0" w:after="40" w:line="252" w:lineRule="auto"/>
            </w:pPr>
            <w:r/>
            <w:r>
              <w:rPr>
                <w:rFonts w:ascii="Calibri" w:hAnsi="Calibri"/>
                <w:b/>
                <w:i w:val="0"/>
                <w:color w:val="087F8C"/>
                <w:sz w:val="18"/>
              </w:rPr>
              <w:t>Lead Data Engineer</w:t>
            </w:r>
          </w:p>
        </w:tc>
        <w:tc>
          <w:tcPr>
            <w:tcW w:type="dxa" w:w="5093"/>
          </w:tcPr>
          <w:p>
            <w:pPr>
              <w:spacing w:before="0" w:after="40" w:line="252" w:lineRule="auto"/>
            </w:pPr>
            <w:r/>
            <w:r>
              <w:rPr>
                <w:rFonts w:ascii="Calibri" w:hAnsi="Calibri"/>
                <w:b w:val="0"/>
                <w:i w:val="0"/>
                <w:color w:val="1F2933"/>
                <w:sz w:val="17"/>
              </w:rPr>
              <w:t>Data ingestion, validation, reproducibility, source controls, processed outputs, and operator-override workflow. Accountable for pipeline reliability and audit results.</w:t>
            </w:r>
          </w:p>
        </w:tc>
      </w:tr>
      <w:tr>
        <w:tc>
          <w:tcPr>
            <w:tcW w:type="dxa" w:w="2100"/>
          </w:tcPr>
          <w:p>
            <w:pPr>
              <w:spacing w:before="0" w:after="40" w:line="252" w:lineRule="auto"/>
            </w:pPr>
            <w:r/>
            <w:r>
              <w:rPr>
                <w:rFonts w:ascii="Calibri" w:hAnsi="Calibri"/>
                <w:b/>
                <w:i w:val="0"/>
                <w:color w:val="0B3C5D"/>
                <w:sz w:val="18"/>
              </w:rPr>
              <w:t>Joaquin Sarmiento</w:t>
            </w:r>
          </w:p>
        </w:tc>
        <w:tc>
          <w:tcPr>
            <w:tcW w:type="dxa" w:w="2700"/>
          </w:tcPr>
          <w:p>
            <w:pPr>
              <w:spacing w:before="0" w:after="40" w:line="252" w:lineRule="auto"/>
            </w:pPr>
            <w:r/>
            <w:r>
              <w:rPr>
                <w:rFonts w:ascii="Calibri" w:hAnsi="Calibri"/>
                <w:b/>
                <w:i w:val="0"/>
                <w:color w:val="087F8C"/>
                <w:sz w:val="18"/>
              </w:rPr>
              <w:t>Geospatial and Transport Analytics Lead</w:t>
            </w:r>
          </w:p>
        </w:tc>
        <w:tc>
          <w:tcPr>
            <w:tcW w:type="dxa" w:w="5093"/>
          </w:tcPr>
          <w:p>
            <w:pPr>
              <w:spacing w:before="0" w:after="40" w:line="252" w:lineRule="auto"/>
            </w:pPr>
            <w:r/>
            <w:r>
              <w:rPr>
                <w:rFonts w:ascii="Calibri" w:hAnsi="Calibri"/>
                <w:b w:val="0"/>
                <w:i w:val="0"/>
                <w:color w:val="1F2933"/>
                <w:sz w:val="17"/>
              </w:rPr>
              <w:t>GTFS route logic, representative trips, geometry confidence, route-city tagging, field-validation protocol, and corridor map QA.</w:t>
            </w:r>
          </w:p>
        </w:tc>
      </w:tr>
      <w:tr>
        <w:tc>
          <w:tcPr>
            <w:tcW w:type="dxa" w:w="2100"/>
          </w:tcPr>
          <w:p>
            <w:pPr>
              <w:spacing w:before="0" w:after="40" w:line="252" w:lineRule="auto"/>
            </w:pPr>
            <w:r/>
            <w:r>
              <w:rPr>
                <w:rFonts w:ascii="Calibri" w:hAnsi="Calibri"/>
                <w:b/>
                <w:i w:val="0"/>
                <w:color w:val="0B3C5D"/>
                <w:sz w:val="18"/>
              </w:rPr>
              <w:t>Isaac Marcus</w:t>
            </w:r>
          </w:p>
        </w:tc>
        <w:tc>
          <w:tcPr>
            <w:tcW w:type="dxa" w:w="2700"/>
          </w:tcPr>
          <w:p>
            <w:pPr>
              <w:spacing w:before="0" w:after="40" w:line="252" w:lineRule="auto"/>
            </w:pPr>
            <w:r/>
            <w:r>
              <w:rPr>
                <w:rFonts w:ascii="Calibri" w:hAnsi="Calibri"/>
                <w:b/>
                <w:i w:val="0"/>
                <w:color w:val="087F8C"/>
                <w:sz w:val="18"/>
              </w:rPr>
              <w:t>Product and Streamlit Lead</w:t>
            </w:r>
          </w:p>
        </w:tc>
        <w:tc>
          <w:tcPr>
            <w:tcW w:type="dxa" w:w="5093"/>
          </w:tcPr>
          <w:p>
            <w:pPr>
              <w:spacing w:before="0" w:after="40" w:line="252" w:lineRule="auto"/>
            </w:pPr>
            <w:r/>
            <w:r>
              <w:rPr>
                <w:rFonts w:ascii="Calibri" w:hAnsi="Calibri"/>
                <w:b w:val="0"/>
                <w:i w:val="0"/>
                <w:color w:val="1F2933"/>
                <w:sz w:val="17"/>
              </w:rPr>
              <w:t>Responsive dashboard, filters, accessible visualizations, export flows, offline-safe behavior, product analytics, and partner usability testing.</w:t>
            </w:r>
          </w:p>
        </w:tc>
      </w:tr>
    </w:tbl>
    <w:p>
      <w:pPr>
        <w:pStyle w:val="Heading1"/>
        <w:keepNext/>
      </w:pPr>
      <w:r>
        <w:t>Core operating cadence</w:t>
      </w:r>
    </w:p>
    <w:tbl>
      <w:tblPr>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2200"/>
        <w:gridCol w:w="3000"/>
        <w:gridCol w:w="4693"/>
      </w:tblGrid>
      <w:tr>
        <w:tc>
          <w:tcPr>
            <w:tcW w:type="dxa" w:w="22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Cadence</w:t>
            </w:r>
          </w:p>
        </w:tc>
        <w:tc>
          <w:tcPr>
            <w:tcW w:type="dxa" w:w="30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Participants</w:t>
            </w:r>
          </w:p>
        </w:tc>
        <w:tc>
          <w:tcPr>
            <w:tcW w:type="dxa" w:w="4693"/>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Purpose</w:t>
            </w:r>
          </w:p>
        </w:tc>
      </w:tr>
      <w:tr>
        <w:tc>
          <w:tcPr>
            <w:tcW w:type="dxa" w:w="2200"/>
          </w:tcPr>
          <w:p>
            <w:pPr>
              <w:spacing w:before="0" w:after="40" w:line="252" w:lineRule="auto"/>
            </w:pPr>
            <w:r/>
            <w:r>
              <w:rPr>
                <w:rFonts w:ascii="Calibri" w:hAnsi="Calibri"/>
                <w:b/>
                <w:i w:val="0"/>
                <w:color w:val="087F8C"/>
                <w:sz w:val="17"/>
              </w:rPr>
              <w:t>Weekly delivery review</w:t>
            </w:r>
          </w:p>
        </w:tc>
        <w:tc>
          <w:tcPr>
            <w:tcW w:type="dxa" w:w="3000"/>
          </w:tcPr>
          <w:p>
            <w:pPr>
              <w:spacing w:before="0" w:after="40" w:line="252" w:lineRule="auto"/>
            </w:pPr>
            <w:r/>
            <w:r>
              <w:rPr>
                <w:rFonts w:ascii="Calibri" w:hAnsi="Calibri"/>
                <w:b w:val="0"/>
                <w:i w:val="0"/>
                <w:color w:val="1F2933"/>
                <w:sz w:val="17"/>
              </w:rPr>
              <w:t>All workstream leads</w:t>
            </w:r>
          </w:p>
        </w:tc>
        <w:tc>
          <w:tcPr>
            <w:tcW w:type="dxa" w:w="4693"/>
          </w:tcPr>
          <w:p>
            <w:pPr>
              <w:spacing w:before="0" w:after="40" w:line="252" w:lineRule="auto"/>
            </w:pPr>
            <w:r/>
            <w:r>
              <w:rPr>
                <w:rFonts w:ascii="Calibri" w:hAnsi="Calibri"/>
                <w:b w:val="0"/>
                <w:i w:val="0"/>
                <w:color w:val="1F2933"/>
                <w:sz w:val="17"/>
              </w:rPr>
              <w:t>Evidence progress, blockers, data changes, and next seven-day commitments.</w:t>
            </w:r>
          </w:p>
        </w:tc>
      </w:tr>
      <w:tr>
        <w:tc>
          <w:tcPr>
            <w:tcW w:type="dxa" w:w="2200"/>
          </w:tcPr>
          <w:p>
            <w:pPr>
              <w:spacing w:before="0" w:after="40" w:line="252" w:lineRule="auto"/>
            </w:pPr>
            <w:r/>
            <w:r>
              <w:rPr>
                <w:rFonts w:ascii="Calibri" w:hAnsi="Calibri"/>
                <w:b/>
                <w:i w:val="0"/>
                <w:color w:val="087F8C"/>
                <w:sz w:val="17"/>
              </w:rPr>
              <w:t>Biweekly partner clinic</w:t>
            </w:r>
          </w:p>
        </w:tc>
        <w:tc>
          <w:tcPr>
            <w:tcW w:type="dxa" w:w="3000"/>
          </w:tcPr>
          <w:p>
            <w:pPr>
              <w:spacing w:before="0" w:after="40" w:line="252" w:lineRule="auto"/>
            </w:pPr>
            <w:r/>
            <w:r>
              <w:rPr>
                <w:rFonts w:ascii="Calibri" w:hAnsi="Calibri"/>
                <w:b w:val="0"/>
                <w:i w:val="0"/>
                <w:color w:val="1F2933"/>
                <w:sz w:val="17"/>
              </w:rPr>
              <w:t>Project lead + relevant city/operator leads</w:t>
            </w:r>
          </w:p>
        </w:tc>
        <w:tc>
          <w:tcPr>
            <w:tcW w:type="dxa" w:w="4693"/>
          </w:tcPr>
          <w:p>
            <w:pPr>
              <w:spacing w:before="0" w:after="40" w:line="252" w:lineRule="auto"/>
            </w:pPr>
            <w:r/>
            <w:r>
              <w:rPr>
                <w:rFonts w:ascii="Calibri" w:hAnsi="Calibri"/>
                <w:b w:val="0"/>
                <w:i w:val="0"/>
                <w:color w:val="1F2933"/>
                <w:sz w:val="17"/>
              </w:rPr>
              <w:t>Resolve evidence requests and validate product decisions.</w:t>
            </w:r>
          </w:p>
        </w:tc>
      </w:tr>
      <w:tr>
        <w:tc>
          <w:tcPr>
            <w:tcW w:type="dxa" w:w="2200"/>
          </w:tcPr>
          <w:p>
            <w:pPr>
              <w:spacing w:before="0" w:after="40" w:line="252" w:lineRule="auto"/>
            </w:pPr>
            <w:r/>
            <w:r>
              <w:rPr>
                <w:rFonts w:ascii="Calibri" w:hAnsi="Calibri"/>
                <w:b/>
                <w:i w:val="0"/>
                <w:color w:val="087F8C"/>
                <w:sz w:val="17"/>
              </w:rPr>
              <w:t>Monthly gate review</w:t>
            </w:r>
          </w:p>
        </w:tc>
        <w:tc>
          <w:tcPr>
            <w:tcW w:type="dxa" w:w="3000"/>
          </w:tcPr>
          <w:p>
            <w:pPr>
              <w:spacing w:before="0" w:after="40" w:line="252" w:lineRule="auto"/>
            </w:pPr>
            <w:r/>
            <w:r>
              <w:rPr>
                <w:rFonts w:ascii="Calibri" w:hAnsi="Calibri"/>
                <w:b w:val="0"/>
                <w:i w:val="0"/>
                <w:color w:val="1F2933"/>
                <w:sz w:val="17"/>
              </w:rPr>
              <w:t>Project lead, partner sponsors, all accountable leads</w:t>
            </w:r>
          </w:p>
        </w:tc>
        <w:tc>
          <w:tcPr>
            <w:tcW w:type="dxa" w:w="4693"/>
          </w:tcPr>
          <w:p>
            <w:pPr>
              <w:spacing w:before="0" w:after="40" w:line="252" w:lineRule="auto"/>
            </w:pPr>
            <w:r/>
            <w:r>
              <w:rPr>
                <w:rFonts w:ascii="Calibri" w:hAnsi="Calibri"/>
                <w:b w:val="0"/>
                <w:i w:val="0"/>
                <w:color w:val="1F2933"/>
                <w:sz w:val="17"/>
              </w:rPr>
              <w:t>Approve continuation, scope changes, risk treatment, and public outputs.</w:t>
            </w:r>
          </w:p>
        </w:tc>
      </w:tr>
    </w:tbl>
    <w:p>
      <w:r>
        <w:br w:type="page"/>
      </w:r>
    </w:p>
    <w:p>
      <w:pPr>
        <w:keepNext/>
        <w:spacing w:before="0" w:after="40" w:line="264" w:lineRule="auto"/>
      </w:pPr>
      <w:r>
        <w:rPr>
          <w:rFonts w:ascii="Calibri" w:hAnsi="Calibri"/>
          <w:b/>
          <w:i w:val="0"/>
          <w:color w:val="087F8C"/>
          <w:sz w:val="18"/>
        </w:rPr>
        <w:t>ROUTE2ZERO PILOT EXECUTION PLAN</w:t>
      </w:r>
    </w:p>
    <w:p>
      <w:pPr>
        <w:keepNext/>
        <w:spacing w:before="0" w:after="60" w:line="264" w:lineRule="auto"/>
      </w:pPr>
      <w:r>
        <w:rPr>
          <w:rFonts w:ascii="Calibri" w:hAnsi="Calibri"/>
          <w:b/>
          <w:i w:val="0"/>
          <w:color w:val="0B3C5D"/>
          <w:sz w:val="48"/>
        </w:rPr>
        <w:t>Team structure · Climate, equity, partnerships, and assurance</w:t>
      </w:r>
    </w:p>
    <w:p>
      <w:pPr>
        <w:spacing w:before="0" w:after="240" w:line="264" w:lineRule="auto"/>
      </w:pPr>
      <w:r>
        <w:rPr>
          <w:rFonts w:ascii="Calibri" w:hAnsi="Calibri"/>
          <w:b w:val="0"/>
          <w:i w:val="0"/>
          <w:color w:val="5C6B73"/>
          <w:sz w:val="22"/>
        </w:rPr>
        <w:t>Cross-functional review keeps the model useful without overstating the evidence.</w:t>
      </w:r>
    </w:p>
    <w:tbl>
      <w:tblPr>
        <w:tblStyle w:val="TableGrid"/>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2100"/>
        <w:gridCol w:w="2700"/>
        <w:gridCol w:w="5093"/>
      </w:tblGrid>
      <w:tr>
        <w:trPr>
          <w:tblHeader w:val="true"/>
        </w:trPr>
        <w:tc>
          <w:tcPr>
            <w:tcW w:type="dxa" w:w="21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Name</w:t>
            </w:r>
          </w:p>
        </w:tc>
        <w:tc>
          <w:tcPr>
            <w:tcW w:type="dxa" w:w="27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Pilot role</w:t>
            </w:r>
          </w:p>
        </w:tc>
        <w:tc>
          <w:tcPr>
            <w:tcW w:type="dxa" w:w="5093"/>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8"/>
              </w:rPr>
              <w:t>Relevant skills applied / accountable outputs</w:t>
            </w:r>
          </w:p>
        </w:tc>
      </w:tr>
      <w:tr>
        <w:tc>
          <w:tcPr>
            <w:tcW w:type="dxa" w:w="2100"/>
          </w:tcPr>
          <w:p>
            <w:pPr>
              <w:spacing w:before="0" w:after="40" w:line="252" w:lineRule="auto"/>
            </w:pPr>
            <w:r/>
            <w:r>
              <w:rPr>
                <w:rFonts w:ascii="Calibri" w:hAnsi="Calibri"/>
                <w:b/>
                <w:i w:val="0"/>
                <w:color w:val="0B3C5D"/>
                <w:sz w:val="18"/>
              </w:rPr>
              <w:t>Andrei Dela Cruz</w:t>
            </w:r>
          </w:p>
        </w:tc>
        <w:tc>
          <w:tcPr>
            <w:tcW w:type="dxa" w:w="2700"/>
          </w:tcPr>
          <w:p>
            <w:pPr>
              <w:spacing w:before="0" w:after="40" w:line="252" w:lineRule="auto"/>
            </w:pPr>
            <w:r/>
            <w:r>
              <w:rPr>
                <w:rFonts w:ascii="Calibri" w:hAnsi="Calibri"/>
                <w:b/>
                <w:i w:val="0"/>
                <w:color w:val="087F8C"/>
                <w:sz w:val="18"/>
              </w:rPr>
              <w:t>Climate and Grid Research Lead</w:t>
            </w:r>
          </w:p>
        </w:tc>
        <w:tc>
          <w:tcPr>
            <w:tcW w:type="dxa" w:w="5093"/>
          </w:tcPr>
          <w:p>
            <w:pPr>
              <w:spacing w:before="0" w:after="40" w:line="252" w:lineRule="auto"/>
            </w:pPr>
            <w:r/>
            <w:r>
              <w:rPr>
                <w:rFonts w:ascii="Calibri" w:hAnsi="Calibri"/>
                <w:b w:val="0"/>
                <w:i w:val="0"/>
                <w:color w:val="1F2933"/>
                <w:sz w:val="17"/>
              </w:rPr>
              <w:t>DOE source review, grid/emission-factor interpretation, charging evidence framework, climate-method boundaries, and utility/depot refinement questions.</w:t>
            </w:r>
          </w:p>
        </w:tc>
      </w:tr>
      <w:tr>
        <w:tc>
          <w:tcPr>
            <w:tcW w:type="dxa" w:w="2100"/>
          </w:tcPr>
          <w:p>
            <w:pPr>
              <w:spacing w:before="0" w:after="40" w:line="252" w:lineRule="auto"/>
            </w:pPr>
            <w:r/>
            <w:r>
              <w:rPr>
                <w:rFonts w:ascii="Calibri" w:hAnsi="Calibri"/>
                <w:b/>
                <w:i w:val="0"/>
                <w:color w:val="0B3C5D"/>
                <w:sz w:val="18"/>
              </w:rPr>
              <w:t>Russel Mendez</w:t>
            </w:r>
          </w:p>
        </w:tc>
        <w:tc>
          <w:tcPr>
            <w:tcW w:type="dxa" w:w="2700"/>
          </w:tcPr>
          <w:p>
            <w:pPr>
              <w:spacing w:before="0" w:after="40" w:line="252" w:lineRule="auto"/>
            </w:pPr>
            <w:r/>
            <w:r>
              <w:rPr>
                <w:rFonts w:ascii="Calibri" w:hAnsi="Calibri"/>
                <w:b/>
                <w:i w:val="0"/>
                <w:color w:val="087F8C"/>
                <w:sz w:val="18"/>
              </w:rPr>
              <w:t>Equity and Community Engagement Lead</w:t>
            </w:r>
          </w:p>
        </w:tc>
        <w:tc>
          <w:tcPr>
            <w:tcW w:type="dxa" w:w="5093"/>
          </w:tcPr>
          <w:p>
            <w:pPr>
              <w:spacing w:before="0" w:after="40" w:line="252" w:lineRule="auto"/>
            </w:pPr>
            <w:r/>
            <w:r>
              <w:rPr>
                <w:rFonts w:ascii="Calibri" w:hAnsi="Calibri"/>
                <w:b w:val="0"/>
                <w:i w:val="0"/>
                <w:color w:val="1F2933"/>
                <w:sz w:val="17"/>
              </w:rPr>
              <w:t>Inclusive workshop design, rider/community evidence, equity safeguards, contested-assumption log, accessibility needs, and validation of density-proxy limitations.</w:t>
            </w:r>
          </w:p>
        </w:tc>
      </w:tr>
      <w:tr>
        <w:tc>
          <w:tcPr>
            <w:tcW w:type="dxa" w:w="2100"/>
          </w:tcPr>
          <w:p>
            <w:pPr>
              <w:spacing w:before="0" w:after="40" w:line="252" w:lineRule="auto"/>
            </w:pPr>
            <w:r/>
            <w:r>
              <w:rPr>
                <w:rFonts w:ascii="Calibri" w:hAnsi="Calibri"/>
                <w:b/>
                <w:i w:val="0"/>
                <w:color w:val="0B3C5D"/>
                <w:sz w:val="18"/>
              </w:rPr>
              <w:t>Tj Moreno</w:t>
            </w:r>
          </w:p>
        </w:tc>
        <w:tc>
          <w:tcPr>
            <w:tcW w:type="dxa" w:w="2700"/>
          </w:tcPr>
          <w:p>
            <w:pPr>
              <w:spacing w:before="0" w:after="40" w:line="252" w:lineRule="auto"/>
            </w:pPr>
            <w:r/>
            <w:r>
              <w:rPr>
                <w:rFonts w:ascii="Calibri" w:hAnsi="Calibri"/>
                <w:b/>
                <w:i w:val="0"/>
                <w:color w:val="087F8C"/>
                <w:sz w:val="18"/>
              </w:rPr>
              <w:t>Operator and Pilot Partnerships Lead</w:t>
            </w:r>
          </w:p>
        </w:tc>
        <w:tc>
          <w:tcPr>
            <w:tcW w:type="dxa" w:w="5093"/>
          </w:tcPr>
          <w:p>
            <w:pPr>
              <w:spacing w:before="0" w:after="40" w:line="252" w:lineRule="auto"/>
            </w:pPr>
            <w:r/>
            <w:r>
              <w:rPr>
                <w:rFonts w:ascii="Calibri" w:hAnsi="Calibri"/>
                <w:b w:val="0"/>
                <w:i w:val="0"/>
                <w:color w:val="1F2933"/>
                <w:sz w:val="17"/>
              </w:rPr>
              <w:t>Cooperative engagement, fleet and finance readiness rubric, operator overrides, partnership follow-up, implementation dependencies, and workshop logistics.</w:t>
            </w:r>
          </w:p>
        </w:tc>
      </w:tr>
      <w:tr>
        <w:tc>
          <w:tcPr>
            <w:tcW w:type="dxa" w:w="2100"/>
          </w:tcPr>
          <w:p>
            <w:pPr>
              <w:spacing w:before="0" w:after="40" w:line="252" w:lineRule="auto"/>
            </w:pPr>
            <w:r/>
            <w:r>
              <w:rPr>
                <w:rFonts w:ascii="Calibri" w:hAnsi="Calibri"/>
                <w:b/>
                <w:i w:val="0"/>
                <w:color w:val="0B3C5D"/>
                <w:sz w:val="18"/>
              </w:rPr>
              <w:t>JM Palaganas</w:t>
            </w:r>
          </w:p>
        </w:tc>
        <w:tc>
          <w:tcPr>
            <w:tcW w:type="dxa" w:w="2700"/>
          </w:tcPr>
          <w:p>
            <w:pPr>
              <w:spacing w:before="0" w:after="40" w:line="252" w:lineRule="auto"/>
            </w:pPr>
            <w:r/>
            <w:r>
              <w:rPr>
                <w:rFonts w:ascii="Calibri" w:hAnsi="Calibri"/>
                <w:b/>
                <w:i w:val="0"/>
                <w:color w:val="087F8C"/>
                <w:sz w:val="18"/>
              </w:rPr>
              <w:t>QA, Documentation and Demo Lead</w:t>
            </w:r>
          </w:p>
        </w:tc>
        <w:tc>
          <w:tcPr>
            <w:tcW w:type="dxa" w:w="5093"/>
          </w:tcPr>
          <w:p>
            <w:pPr>
              <w:spacing w:before="0" w:after="40" w:line="252" w:lineRule="auto"/>
            </w:pPr>
            <w:r/>
            <w:r>
              <w:rPr>
                <w:rFonts w:ascii="Calibri" w:hAnsi="Calibri"/>
                <w:b w:val="0"/>
                <w:i w:val="0"/>
                <w:color w:val="1F2933"/>
                <w:sz w:val="17"/>
              </w:rPr>
              <w:t>Test plan, issue tracking, browser and data QA, methodology/readme maintenance, submission artifacts, training materials, and live-demo readiness.</w:t>
            </w:r>
          </w:p>
        </w:tc>
      </w:tr>
    </w:tbl>
    <w:p>
      <w:pPr>
        <w:pStyle w:val="Heading1"/>
        <w:keepNext/>
      </w:pPr>
      <w:r>
        <w:t>Decision rights</w:t>
      </w:r>
    </w:p>
    <w:tbl>
      <w:tblPr>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2200"/>
        <w:gridCol w:w="2400"/>
        <w:gridCol w:w="2593"/>
        <w:gridCol w:w="2700"/>
      </w:tblGrid>
      <w:tr>
        <w:tc>
          <w:tcPr>
            <w:tcW w:type="dxa" w:w="22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Decision</w:t>
            </w:r>
          </w:p>
        </w:tc>
        <w:tc>
          <w:tcPr>
            <w:tcW w:type="dxa" w:w="24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Recommends</w:t>
            </w:r>
          </w:p>
        </w:tc>
        <w:tc>
          <w:tcPr>
            <w:tcW w:type="dxa" w:w="2593"/>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Approves</w:t>
            </w:r>
          </w:p>
        </w:tc>
        <w:tc>
          <w:tcPr>
            <w:tcW w:type="dxa" w:w="27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Required consultation</w:t>
            </w:r>
          </w:p>
        </w:tc>
      </w:tr>
      <w:tr>
        <w:tc>
          <w:tcPr>
            <w:tcW w:type="dxa" w:w="2200"/>
          </w:tcPr>
          <w:p>
            <w:pPr>
              <w:spacing w:before="0" w:after="40" w:line="252" w:lineRule="auto"/>
            </w:pPr>
            <w:r/>
            <w:r>
              <w:rPr>
                <w:rFonts w:ascii="Calibri" w:hAnsi="Calibri"/>
                <w:b/>
                <w:i w:val="0"/>
                <w:color w:val="087F8C"/>
                <w:sz w:val="17"/>
              </w:rPr>
              <w:t>Data/source change</w:t>
            </w:r>
          </w:p>
        </w:tc>
        <w:tc>
          <w:tcPr>
            <w:tcW w:type="dxa" w:w="2400"/>
          </w:tcPr>
          <w:p>
            <w:pPr>
              <w:spacing w:before="0" w:after="40" w:line="252" w:lineRule="auto"/>
            </w:pPr>
            <w:r/>
            <w:r>
              <w:rPr>
                <w:rFonts w:ascii="Calibri" w:hAnsi="Calibri"/>
                <w:b w:val="0"/>
                <w:i w:val="0"/>
                <w:color w:val="1F2933"/>
                <w:sz w:val="17"/>
              </w:rPr>
              <w:t>Data + domain lead</w:t>
            </w:r>
          </w:p>
        </w:tc>
        <w:tc>
          <w:tcPr>
            <w:tcW w:type="dxa" w:w="2593"/>
          </w:tcPr>
          <w:p>
            <w:pPr>
              <w:spacing w:before="0" w:after="40" w:line="252" w:lineRule="auto"/>
            </w:pPr>
            <w:r/>
            <w:r>
              <w:rPr>
                <w:rFonts w:ascii="Calibri" w:hAnsi="Calibri"/>
                <w:b/>
                <w:i w:val="0"/>
                <w:color w:val="0B3C5D"/>
                <w:sz w:val="17"/>
              </w:rPr>
              <w:t>Project Lead</w:t>
            </w:r>
          </w:p>
        </w:tc>
        <w:tc>
          <w:tcPr>
            <w:tcW w:type="dxa" w:w="2700"/>
          </w:tcPr>
          <w:p>
            <w:pPr>
              <w:spacing w:before="0" w:after="40" w:line="252" w:lineRule="auto"/>
            </w:pPr>
            <w:r/>
            <w:r>
              <w:rPr>
                <w:rFonts w:ascii="Calibri" w:hAnsi="Calibri"/>
                <w:b w:val="0"/>
                <w:i w:val="0"/>
                <w:color w:val="1F2933"/>
                <w:sz w:val="17"/>
              </w:rPr>
              <w:t>Affected workstreams</w:t>
            </w:r>
          </w:p>
        </w:tc>
      </w:tr>
      <w:tr>
        <w:tc>
          <w:tcPr>
            <w:tcW w:type="dxa" w:w="2200"/>
          </w:tcPr>
          <w:p>
            <w:pPr>
              <w:spacing w:before="0" w:after="40" w:line="252" w:lineRule="auto"/>
            </w:pPr>
            <w:r/>
            <w:r>
              <w:rPr>
                <w:rFonts w:ascii="Calibri" w:hAnsi="Calibri"/>
                <w:b/>
                <w:i w:val="0"/>
                <w:color w:val="087F8C"/>
                <w:sz w:val="17"/>
              </w:rPr>
              <w:t>Score definition/weight</w:t>
            </w:r>
          </w:p>
        </w:tc>
        <w:tc>
          <w:tcPr>
            <w:tcW w:type="dxa" w:w="2400"/>
          </w:tcPr>
          <w:p>
            <w:pPr>
              <w:spacing w:before="0" w:after="40" w:line="252" w:lineRule="auto"/>
            </w:pPr>
            <w:r/>
            <w:r>
              <w:rPr>
                <w:rFonts w:ascii="Calibri" w:hAnsi="Calibri"/>
                <w:b w:val="0"/>
                <w:i w:val="0"/>
                <w:color w:val="1F2933"/>
                <w:sz w:val="17"/>
              </w:rPr>
              <w:t>Analytics + equity leads</w:t>
            </w:r>
          </w:p>
        </w:tc>
        <w:tc>
          <w:tcPr>
            <w:tcW w:type="dxa" w:w="2593"/>
          </w:tcPr>
          <w:p>
            <w:pPr>
              <w:spacing w:before="0" w:after="40" w:line="252" w:lineRule="auto"/>
            </w:pPr>
            <w:r/>
            <w:r>
              <w:rPr>
                <w:rFonts w:ascii="Calibri" w:hAnsi="Calibri"/>
                <w:b/>
                <w:i w:val="0"/>
                <w:color w:val="0B3C5D"/>
                <w:sz w:val="17"/>
              </w:rPr>
              <w:t>Monthly gate review</w:t>
            </w:r>
          </w:p>
        </w:tc>
        <w:tc>
          <w:tcPr>
            <w:tcW w:type="dxa" w:w="2700"/>
          </w:tcPr>
          <w:p>
            <w:pPr>
              <w:spacing w:before="0" w:after="40" w:line="252" w:lineRule="auto"/>
            </w:pPr>
            <w:r/>
            <w:r>
              <w:rPr>
                <w:rFonts w:ascii="Calibri" w:hAnsi="Calibri"/>
                <w:b w:val="0"/>
                <w:i w:val="0"/>
                <w:color w:val="1F2933"/>
                <w:sz w:val="17"/>
              </w:rPr>
              <w:t>LGU, operator, rider/community participants</w:t>
            </w:r>
          </w:p>
        </w:tc>
      </w:tr>
      <w:tr>
        <w:tc>
          <w:tcPr>
            <w:tcW w:type="dxa" w:w="2200"/>
          </w:tcPr>
          <w:p>
            <w:pPr>
              <w:spacing w:before="0" w:after="40" w:line="252" w:lineRule="auto"/>
            </w:pPr>
            <w:r/>
            <w:r>
              <w:rPr>
                <w:rFonts w:ascii="Calibri" w:hAnsi="Calibri"/>
                <w:b/>
                <w:i w:val="0"/>
                <w:color w:val="087F8C"/>
                <w:sz w:val="17"/>
              </w:rPr>
              <w:t>Public route shortlist</w:t>
            </w:r>
          </w:p>
        </w:tc>
        <w:tc>
          <w:tcPr>
            <w:tcW w:type="dxa" w:w="2400"/>
          </w:tcPr>
          <w:p>
            <w:pPr>
              <w:spacing w:before="0" w:after="40" w:line="252" w:lineRule="auto"/>
            </w:pPr>
            <w:r/>
            <w:r>
              <w:rPr>
                <w:rFonts w:ascii="Calibri" w:hAnsi="Calibri"/>
                <w:b w:val="0"/>
                <w:i w:val="0"/>
                <w:color w:val="1F2933"/>
                <w:sz w:val="17"/>
              </w:rPr>
              <w:t>Product + policy leads</w:t>
            </w:r>
          </w:p>
        </w:tc>
        <w:tc>
          <w:tcPr>
            <w:tcW w:type="dxa" w:w="2593"/>
          </w:tcPr>
          <w:p>
            <w:pPr>
              <w:spacing w:before="0" w:after="40" w:line="252" w:lineRule="auto"/>
            </w:pPr>
            <w:r/>
            <w:r>
              <w:rPr>
                <w:rFonts w:ascii="Calibri" w:hAnsi="Calibri"/>
                <w:b/>
                <w:i w:val="0"/>
                <w:color w:val="0B3C5D"/>
                <w:sz w:val="17"/>
              </w:rPr>
              <w:t>Partner sponsor + Project Lead</w:t>
            </w:r>
          </w:p>
        </w:tc>
        <w:tc>
          <w:tcPr>
            <w:tcW w:type="dxa" w:w="2700"/>
          </w:tcPr>
          <w:p>
            <w:pPr>
              <w:spacing w:before="0" w:after="40" w:line="252" w:lineRule="auto"/>
            </w:pPr>
            <w:r/>
            <w:r>
              <w:rPr>
                <w:rFonts w:ascii="Calibri" w:hAnsi="Calibri"/>
                <w:b w:val="0"/>
                <w:i w:val="0"/>
                <w:color w:val="1F2933"/>
                <w:sz w:val="17"/>
              </w:rPr>
              <w:t>All evidence leads</w:t>
            </w:r>
          </w:p>
        </w:tc>
      </w:tr>
      <w:tr>
        <w:tc>
          <w:tcPr>
            <w:tcW w:type="dxa" w:w="2200"/>
          </w:tcPr>
          <w:p>
            <w:pPr>
              <w:spacing w:before="0" w:after="40" w:line="252" w:lineRule="auto"/>
            </w:pPr>
            <w:r/>
            <w:r>
              <w:rPr>
                <w:rFonts w:ascii="Calibri" w:hAnsi="Calibri"/>
                <w:b/>
                <w:i w:val="0"/>
                <w:color w:val="087F8C"/>
                <w:sz w:val="17"/>
              </w:rPr>
              <w:t>Pilot scale decision</w:t>
            </w:r>
          </w:p>
        </w:tc>
        <w:tc>
          <w:tcPr>
            <w:tcW w:type="dxa" w:w="2400"/>
          </w:tcPr>
          <w:p>
            <w:pPr>
              <w:spacing w:before="0" w:after="40" w:line="252" w:lineRule="auto"/>
            </w:pPr>
            <w:r/>
            <w:r>
              <w:rPr>
                <w:rFonts w:ascii="Calibri" w:hAnsi="Calibri"/>
                <w:b w:val="0"/>
                <w:i w:val="0"/>
                <w:color w:val="1F2933"/>
                <w:sz w:val="17"/>
              </w:rPr>
              <w:t>Project Lead</w:t>
            </w:r>
          </w:p>
        </w:tc>
        <w:tc>
          <w:tcPr>
            <w:tcW w:type="dxa" w:w="2593"/>
          </w:tcPr>
          <w:p>
            <w:pPr>
              <w:spacing w:before="0" w:after="40" w:line="252" w:lineRule="auto"/>
            </w:pPr>
            <w:r/>
            <w:r>
              <w:rPr>
                <w:rFonts w:ascii="Calibri" w:hAnsi="Calibri"/>
                <w:b/>
                <w:i w:val="0"/>
                <w:color w:val="0B3C5D"/>
                <w:sz w:val="17"/>
              </w:rPr>
              <w:t>Partner sponsors</w:t>
            </w:r>
          </w:p>
        </w:tc>
        <w:tc>
          <w:tcPr>
            <w:tcW w:type="dxa" w:w="2700"/>
          </w:tcPr>
          <w:p>
            <w:pPr>
              <w:spacing w:before="0" w:after="40" w:line="252" w:lineRule="auto"/>
            </w:pPr>
            <w:r/>
            <w:r>
              <w:rPr>
                <w:rFonts w:ascii="Calibri" w:hAnsi="Calibri"/>
                <w:b w:val="0"/>
                <w:i w:val="0"/>
                <w:color w:val="1F2933"/>
                <w:sz w:val="17"/>
              </w:rPr>
              <w:t>All workstreams and pilot users</w:t>
            </w:r>
          </w:p>
        </w:tc>
      </w:tr>
    </w:tbl>
    <w:p>
      <w:pPr>
        <w:spacing w:before="0" w:after="0" w:line="264" w:lineRule="auto"/>
      </w:pPr>
      <w:r>
        <w:rPr>
          <w:rFonts w:ascii="Calibri" w:hAnsi="Calibri"/>
          <w:b w:val="0"/>
          <w:i/>
          <w:color w:val="5C6B73"/>
          <w:sz w:val="18"/>
        </w:rPr>
        <w:t>Role assignments can be adjusted during mobilization, but every workstream, decision gate, and published artifact must retain one accountable owner.</w:t>
      </w:r>
    </w:p>
    <w:p>
      <w:r>
        <w:br w:type="page"/>
      </w:r>
    </w:p>
    <w:p>
      <w:pPr>
        <w:keepNext/>
        <w:spacing w:before="0" w:after="40" w:line="264" w:lineRule="auto"/>
      </w:pPr>
      <w:r>
        <w:rPr>
          <w:rFonts w:ascii="Calibri" w:hAnsi="Calibri"/>
          <w:b/>
          <w:i w:val="0"/>
          <w:color w:val="087F8C"/>
          <w:sz w:val="18"/>
        </w:rPr>
        <w:t>ROUTE2ZERO PILOT EXECUTION PLAN</w:t>
      </w:r>
    </w:p>
    <w:p>
      <w:pPr>
        <w:keepNext/>
        <w:spacing w:before="0" w:after="60" w:line="264" w:lineRule="auto"/>
      </w:pPr>
      <w:r>
        <w:rPr>
          <w:rFonts w:ascii="Calibri" w:hAnsi="Calibri"/>
          <w:b/>
          <w:i w:val="0"/>
          <w:color w:val="0B3C5D"/>
          <w:sz w:val="48"/>
        </w:rPr>
        <w:t>Risk management, handover, and scale path</w:t>
      </w:r>
    </w:p>
    <w:p>
      <w:pPr>
        <w:spacing w:before="0" w:after="240" w:line="264" w:lineRule="auto"/>
      </w:pPr>
      <w:r>
        <w:rPr>
          <w:rFonts w:ascii="Calibri" w:hAnsi="Calibri"/>
          <w:b w:val="0"/>
          <w:i w:val="0"/>
          <w:color w:val="5C6B73"/>
          <w:sz w:val="22"/>
        </w:rPr>
        <w:t>The pilot treats evidence gaps as managed work—not as numbers to fill silently.</w:t>
      </w:r>
    </w:p>
    <w:tbl>
      <w:tblPr>
        <w:tblW w:type="dxa" w:w="9893"/>
        <w:jc w:val="left"/>
        <w:tblLayout w:type="fixed"/>
        <w:tblLook w:firstColumn="1" w:firstRow="1" w:lastColumn="0" w:lastRow="0" w:noHBand="0" w:noVBand="1" w:val="04A0"/>
        <w:tblInd w:w="120" w:type="dxa"/>
        <w:tblBorders>
          <w:top w:val="single" w:sz="6" w:color="AAB7C0"/>
          <w:left w:val="single" w:sz="6" w:color="AAB7C0"/>
          <w:bottom w:val="single" w:sz="6" w:color="AAB7C0"/>
          <w:right w:val="single" w:sz="6" w:color="AAB7C0"/>
          <w:insideH w:val="single" w:sz="6" w:color="AAB7C0"/>
          <w:insideV w:val="single" w:sz="6" w:color="AAB7C0"/>
        </w:tblBorders>
      </w:tblPr>
      <w:tblGrid>
        <w:gridCol w:w="2450"/>
        <w:gridCol w:w="1000"/>
        <w:gridCol w:w="4493"/>
        <w:gridCol w:w="1950"/>
      </w:tblGrid>
      <w:tr>
        <w:tc>
          <w:tcPr>
            <w:tcW w:type="dxa" w:w="245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Risk</w:t>
            </w:r>
          </w:p>
        </w:tc>
        <w:tc>
          <w:tcPr>
            <w:tcW w:type="dxa" w:w="100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Level</w:t>
            </w:r>
          </w:p>
        </w:tc>
        <w:tc>
          <w:tcPr>
            <w:tcW w:type="dxa" w:w="4493"/>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Treatment</w:t>
            </w:r>
          </w:p>
        </w:tc>
        <w:tc>
          <w:tcPr>
            <w:tcW w:type="dxa" w:w="1950"/>
            <w:tcMar>
              <w:top w:w="100" w:type="dxa"/>
              <w:start w:w="120" w:type="dxa"/>
              <w:bottom w:w="100" w:type="dxa"/>
              <w:end w:w="120" w:type="dxa"/>
            </w:tcMar>
            <w:vAlign w:val="center"/>
            <w:shd w:fill="D9EAF7"/>
          </w:tcPr>
          <w:p>
            <w:pPr>
              <w:spacing w:before="0" w:after="40" w:line="252" w:lineRule="auto"/>
            </w:pPr>
            <w:r/>
            <w:r>
              <w:rPr>
                <w:rFonts w:ascii="Calibri" w:hAnsi="Calibri"/>
                <w:b/>
                <w:i w:val="0"/>
                <w:color w:val="0B3C5D"/>
                <w:sz w:val="17"/>
              </w:rPr>
              <w:t>Owner</w:t>
            </w:r>
          </w:p>
        </w:tc>
      </w:tr>
      <w:tr>
        <w:tc>
          <w:tcPr>
            <w:tcW w:type="dxa" w:w="2450"/>
          </w:tcPr>
          <w:p>
            <w:pPr>
              <w:spacing w:before="0" w:after="40" w:line="252" w:lineRule="auto"/>
            </w:pPr>
            <w:r/>
            <w:r>
              <w:rPr>
                <w:rFonts w:ascii="Calibri" w:hAnsi="Calibri"/>
                <w:b/>
                <w:i w:val="0"/>
                <w:color w:val="0B3C5D"/>
                <w:sz w:val="17"/>
              </w:rPr>
              <w:t>Historic or incomplete route data</w:t>
            </w:r>
          </w:p>
        </w:tc>
        <w:tc>
          <w:tcPr>
            <w:tcW w:type="dxa" w:w="1000"/>
            <w:shd w:fill="FFF7DE"/>
          </w:tcPr>
          <w:p>
            <w:pPr>
              <w:spacing w:before="0" w:after="40" w:line="252" w:lineRule="auto"/>
            </w:pPr>
            <w:r/>
            <w:r>
              <w:rPr>
                <w:rFonts w:ascii="Calibri" w:hAnsi="Calibri"/>
                <w:b/>
                <w:i w:val="0"/>
                <w:color w:val="8A6500"/>
                <w:sz w:val="17"/>
              </w:rPr>
              <w:t>High</w:t>
            </w:r>
          </w:p>
        </w:tc>
        <w:tc>
          <w:tcPr>
            <w:tcW w:type="dxa" w:w="4493"/>
          </w:tcPr>
          <w:p>
            <w:pPr>
              <w:spacing w:before="0" w:after="40" w:line="252" w:lineRule="auto"/>
            </w:pPr>
            <w:r/>
            <w:r>
              <w:rPr>
                <w:rFonts w:ascii="Calibri" w:hAnsi="Calibri"/>
                <w:b w:val="0"/>
                <w:i w:val="0"/>
                <w:color w:val="1F2933"/>
                <w:sz w:val="17"/>
              </w:rPr>
              <w:t>Refresh priority routes with LGU/operator evidence; retain date and geometry confidence on every record.</w:t>
            </w:r>
          </w:p>
        </w:tc>
        <w:tc>
          <w:tcPr>
            <w:tcW w:type="dxa" w:w="1950"/>
          </w:tcPr>
          <w:p>
            <w:pPr>
              <w:spacing w:before="0" w:after="40" w:line="252" w:lineRule="auto"/>
            </w:pPr>
            <w:r/>
            <w:r>
              <w:rPr>
                <w:rFonts w:ascii="Calibri" w:hAnsi="Calibri"/>
                <w:b/>
                <w:i w:val="0"/>
                <w:color w:val="087F8C"/>
                <w:sz w:val="17"/>
              </w:rPr>
              <w:t>Lead Data Engineer</w:t>
            </w:r>
          </w:p>
        </w:tc>
      </w:tr>
      <w:tr>
        <w:tc>
          <w:tcPr>
            <w:tcW w:type="dxa" w:w="2450"/>
          </w:tcPr>
          <w:p>
            <w:pPr>
              <w:spacing w:before="0" w:after="40" w:line="252" w:lineRule="auto"/>
            </w:pPr>
            <w:r/>
            <w:r>
              <w:rPr>
                <w:rFonts w:ascii="Calibri" w:hAnsi="Calibri"/>
                <w:b/>
                <w:i w:val="0"/>
                <w:color w:val="0B3C5D"/>
                <w:sz w:val="17"/>
              </w:rPr>
              <w:t>Equity proxy misread as settlement truth</w:t>
            </w:r>
          </w:p>
        </w:tc>
        <w:tc>
          <w:tcPr>
            <w:tcW w:type="dxa" w:w="1000"/>
            <w:shd w:fill="FFF7DE"/>
          </w:tcPr>
          <w:p>
            <w:pPr>
              <w:spacing w:before="0" w:after="40" w:line="252" w:lineRule="auto"/>
            </w:pPr>
            <w:r/>
            <w:r>
              <w:rPr>
                <w:rFonts w:ascii="Calibri" w:hAnsi="Calibri"/>
                <w:b/>
                <w:i w:val="0"/>
                <w:color w:val="8A6500"/>
                <w:sz w:val="17"/>
              </w:rPr>
              <w:t>High</w:t>
            </w:r>
          </w:p>
        </w:tc>
        <w:tc>
          <w:tcPr>
            <w:tcW w:type="dxa" w:w="4493"/>
          </w:tcPr>
          <w:p>
            <w:pPr>
              <w:spacing w:before="0" w:after="40" w:line="252" w:lineRule="auto"/>
            </w:pPr>
            <w:r/>
            <w:r>
              <w:rPr>
                <w:rFonts w:ascii="Calibri" w:hAnsi="Calibri"/>
                <w:b w:val="0"/>
                <w:i w:val="0"/>
                <w:color w:val="1F2933"/>
                <w:sz w:val="17"/>
              </w:rPr>
              <w:t>Use community validation; prohibit claims beyond density exposure; add missing-state language where needed.</w:t>
            </w:r>
          </w:p>
        </w:tc>
        <w:tc>
          <w:tcPr>
            <w:tcW w:type="dxa" w:w="1950"/>
          </w:tcPr>
          <w:p>
            <w:pPr>
              <w:spacing w:before="0" w:after="40" w:line="252" w:lineRule="auto"/>
            </w:pPr>
            <w:r/>
            <w:r>
              <w:rPr>
                <w:rFonts w:ascii="Calibri" w:hAnsi="Calibri"/>
                <w:b/>
                <w:i w:val="0"/>
                <w:color w:val="087F8C"/>
                <w:sz w:val="17"/>
              </w:rPr>
              <w:t>Equity Lead</w:t>
            </w:r>
          </w:p>
        </w:tc>
      </w:tr>
      <w:tr>
        <w:tc>
          <w:tcPr>
            <w:tcW w:type="dxa" w:w="2450"/>
          </w:tcPr>
          <w:p>
            <w:pPr>
              <w:spacing w:before="0" w:after="40" w:line="252" w:lineRule="auto"/>
            </w:pPr>
            <w:r/>
            <w:r>
              <w:rPr>
                <w:rFonts w:ascii="Calibri" w:hAnsi="Calibri"/>
                <w:b/>
                <w:i w:val="0"/>
                <w:color w:val="0B3C5D"/>
                <w:sz w:val="17"/>
              </w:rPr>
              <w:t>Grid score mistaken for local capacity</w:t>
            </w:r>
          </w:p>
        </w:tc>
        <w:tc>
          <w:tcPr>
            <w:tcW w:type="dxa" w:w="1000"/>
            <w:shd w:fill="FFF7DE"/>
          </w:tcPr>
          <w:p>
            <w:pPr>
              <w:spacing w:before="0" w:after="40" w:line="252" w:lineRule="auto"/>
            </w:pPr>
            <w:r/>
            <w:r>
              <w:rPr>
                <w:rFonts w:ascii="Calibri" w:hAnsi="Calibri"/>
                <w:b/>
                <w:i w:val="0"/>
                <w:color w:val="8A6500"/>
                <w:sz w:val="17"/>
              </w:rPr>
              <w:t>High</w:t>
            </w:r>
          </w:p>
        </w:tc>
        <w:tc>
          <w:tcPr>
            <w:tcW w:type="dxa" w:w="4493"/>
          </w:tcPr>
          <w:p>
            <w:pPr>
              <w:spacing w:before="0" w:after="40" w:line="252" w:lineRule="auto"/>
            </w:pPr>
            <w:r/>
            <w:r>
              <w:rPr>
                <w:rFonts w:ascii="Calibri" w:hAnsi="Calibri"/>
                <w:b w:val="0"/>
                <w:i w:val="0"/>
                <w:color w:val="1F2933"/>
                <w:sz w:val="17"/>
              </w:rPr>
              <w:t>Pair every shortlist with depot/feeder questions; keep regional score constant and visibly coarse.</w:t>
            </w:r>
          </w:p>
        </w:tc>
        <w:tc>
          <w:tcPr>
            <w:tcW w:type="dxa" w:w="1950"/>
          </w:tcPr>
          <w:p>
            <w:pPr>
              <w:spacing w:before="0" w:after="40" w:line="252" w:lineRule="auto"/>
            </w:pPr>
            <w:r/>
            <w:r>
              <w:rPr>
                <w:rFonts w:ascii="Calibri" w:hAnsi="Calibri"/>
                <w:b/>
                <w:i w:val="0"/>
                <w:color w:val="087F8C"/>
                <w:sz w:val="17"/>
              </w:rPr>
              <w:t>Climate/Grid Lead</w:t>
            </w:r>
          </w:p>
        </w:tc>
      </w:tr>
      <w:tr>
        <w:tc>
          <w:tcPr>
            <w:tcW w:type="dxa" w:w="2450"/>
          </w:tcPr>
          <w:p>
            <w:pPr>
              <w:spacing w:before="0" w:after="40" w:line="252" w:lineRule="auto"/>
            </w:pPr>
            <w:r/>
            <w:r>
              <w:rPr>
                <w:rFonts w:ascii="Calibri" w:hAnsi="Calibri"/>
                <w:b/>
                <w:i w:val="0"/>
                <w:color w:val="0B3C5D"/>
                <w:sz w:val="17"/>
              </w:rPr>
              <w:t>Operator participation or finance evidence delayed</w:t>
            </w:r>
          </w:p>
        </w:tc>
        <w:tc>
          <w:tcPr>
            <w:tcW w:type="dxa" w:w="1000"/>
            <w:shd w:fill="FFF7DE"/>
          </w:tcPr>
          <w:p>
            <w:pPr>
              <w:spacing w:before="0" w:after="40" w:line="252" w:lineRule="auto"/>
            </w:pPr>
            <w:r/>
            <w:r>
              <w:rPr>
                <w:rFonts w:ascii="Calibri" w:hAnsi="Calibri"/>
                <w:b/>
                <w:i w:val="0"/>
                <w:color w:val="8A6500"/>
                <w:sz w:val="17"/>
              </w:rPr>
              <w:t>Medium</w:t>
            </w:r>
          </w:p>
        </w:tc>
        <w:tc>
          <w:tcPr>
            <w:tcW w:type="dxa" w:w="4493"/>
          </w:tcPr>
          <w:p>
            <w:pPr>
              <w:spacing w:before="0" w:after="40" w:line="252" w:lineRule="auto"/>
            </w:pPr>
            <w:r/>
            <w:r>
              <w:rPr>
                <w:rFonts w:ascii="Calibri" w:hAnsi="Calibri"/>
                <w:b w:val="0"/>
                <w:i w:val="0"/>
                <w:color w:val="1F2933"/>
                <w:sz w:val="17"/>
              </w:rPr>
              <w:t>Keep neutral placeholder; schedule early clinics; document nonresponse; avoid forced precision.</w:t>
            </w:r>
          </w:p>
        </w:tc>
        <w:tc>
          <w:tcPr>
            <w:tcW w:type="dxa" w:w="1950"/>
          </w:tcPr>
          <w:p>
            <w:pPr>
              <w:spacing w:before="0" w:after="40" w:line="252" w:lineRule="auto"/>
            </w:pPr>
            <w:r/>
            <w:r>
              <w:rPr>
                <w:rFonts w:ascii="Calibri" w:hAnsi="Calibri"/>
                <w:b/>
                <w:i w:val="0"/>
                <w:color w:val="087F8C"/>
                <w:sz w:val="17"/>
              </w:rPr>
              <w:t>Partnerships Lead</w:t>
            </w:r>
          </w:p>
        </w:tc>
      </w:tr>
      <w:tr>
        <w:tc>
          <w:tcPr>
            <w:tcW w:type="dxa" w:w="2450"/>
          </w:tcPr>
          <w:p>
            <w:pPr>
              <w:spacing w:before="0" w:after="40" w:line="252" w:lineRule="auto"/>
            </w:pPr>
            <w:r/>
            <w:r>
              <w:rPr>
                <w:rFonts w:ascii="Calibri" w:hAnsi="Calibri"/>
                <w:b/>
                <w:i w:val="0"/>
                <w:color w:val="0B3C5D"/>
                <w:sz w:val="17"/>
              </w:rPr>
              <w:t>Model weights become political black box</w:t>
            </w:r>
          </w:p>
        </w:tc>
        <w:tc>
          <w:tcPr>
            <w:tcW w:type="dxa" w:w="1000"/>
            <w:shd w:fill="FFF7DE"/>
          </w:tcPr>
          <w:p>
            <w:pPr>
              <w:spacing w:before="0" w:after="40" w:line="252" w:lineRule="auto"/>
            </w:pPr>
            <w:r/>
            <w:r>
              <w:rPr>
                <w:rFonts w:ascii="Calibri" w:hAnsi="Calibri"/>
                <w:b/>
                <w:i w:val="0"/>
                <w:color w:val="8A6500"/>
                <w:sz w:val="17"/>
              </w:rPr>
              <w:t>Medium</w:t>
            </w:r>
          </w:p>
        </w:tc>
        <w:tc>
          <w:tcPr>
            <w:tcW w:type="dxa" w:w="4493"/>
          </w:tcPr>
          <w:p>
            <w:pPr>
              <w:spacing w:before="0" w:after="40" w:line="252" w:lineRule="auto"/>
            </w:pPr>
            <w:r/>
            <w:r>
              <w:rPr>
                <w:rFonts w:ascii="Calibri" w:hAnsi="Calibri"/>
                <w:b w:val="0"/>
                <w:i w:val="0"/>
                <w:color w:val="1F2933"/>
                <w:sz w:val="17"/>
              </w:rPr>
              <w:t>Publish default and alternate scenarios; log who proposed changes and why.</w:t>
            </w:r>
          </w:p>
        </w:tc>
        <w:tc>
          <w:tcPr>
            <w:tcW w:type="dxa" w:w="1950"/>
          </w:tcPr>
          <w:p>
            <w:pPr>
              <w:spacing w:before="0" w:after="40" w:line="252" w:lineRule="auto"/>
            </w:pPr>
            <w:r/>
            <w:r>
              <w:rPr>
                <w:rFonts w:ascii="Calibri" w:hAnsi="Calibri"/>
                <w:b/>
                <w:i w:val="0"/>
                <w:color w:val="087F8C"/>
                <w:sz w:val="17"/>
              </w:rPr>
              <w:t>Analytics Lead</w:t>
            </w:r>
          </w:p>
        </w:tc>
      </w:tr>
      <w:tr>
        <w:tc>
          <w:tcPr>
            <w:tcW w:type="dxa" w:w="2450"/>
          </w:tcPr>
          <w:p>
            <w:pPr>
              <w:spacing w:before="0" w:after="40" w:line="252" w:lineRule="auto"/>
            </w:pPr>
            <w:r/>
            <w:r>
              <w:rPr>
                <w:rFonts w:ascii="Calibri" w:hAnsi="Calibri"/>
                <w:b/>
                <w:i w:val="0"/>
                <w:color w:val="0B3C5D"/>
                <w:sz w:val="17"/>
              </w:rPr>
              <w:t>API failure during demonstration</w:t>
            </w:r>
          </w:p>
        </w:tc>
        <w:tc>
          <w:tcPr>
            <w:tcW w:type="dxa" w:w="1000"/>
            <w:shd w:fill="DFF4EE"/>
          </w:tcPr>
          <w:p>
            <w:pPr>
              <w:spacing w:before="0" w:after="40" w:line="252" w:lineRule="auto"/>
            </w:pPr>
            <w:r/>
            <w:r>
              <w:rPr>
                <w:rFonts w:ascii="Calibri" w:hAnsi="Calibri"/>
                <w:b/>
                <w:i w:val="0"/>
                <w:color w:val="087F8C"/>
                <w:sz w:val="17"/>
              </w:rPr>
              <w:t>Low</w:t>
            </w:r>
          </w:p>
        </w:tc>
        <w:tc>
          <w:tcPr>
            <w:tcW w:type="dxa" w:w="4493"/>
          </w:tcPr>
          <w:p>
            <w:pPr>
              <w:spacing w:before="0" w:after="40" w:line="252" w:lineRule="auto"/>
            </w:pPr>
            <w:r/>
            <w:r>
              <w:rPr>
                <w:rFonts w:ascii="Calibri" w:hAnsi="Calibri"/>
                <w:b w:val="0"/>
                <w:i w:val="0"/>
                <w:color w:val="1F2933"/>
                <w:sz w:val="17"/>
              </w:rPr>
              <w:t>Cache selected AI narratives and retain deterministic offline explanations for every ranked route.</w:t>
            </w:r>
          </w:p>
        </w:tc>
        <w:tc>
          <w:tcPr>
            <w:tcW w:type="dxa" w:w="1950"/>
          </w:tcPr>
          <w:p>
            <w:pPr>
              <w:spacing w:before="0" w:after="40" w:line="252" w:lineRule="auto"/>
            </w:pPr>
            <w:r/>
            <w:r>
              <w:rPr>
                <w:rFonts w:ascii="Calibri" w:hAnsi="Calibri"/>
                <w:b/>
                <w:i w:val="0"/>
                <w:color w:val="087F8C"/>
                <w:sz w:val="17"/>
              </w:rPr>
              <w:t>Product Lead</w:t>
            </w:r>
          </w:p>
        </w:tc>
      </w:tr>
    </w:tbl>
    <w:p>
      <w:pPr>
        <w:pStyle w:val="Heading1"/>
        <w:keepNext/>
      </w:pPr>
      <w:r>
        <w:t>Handover package</w:t>
      </w:r>
    </w:p>
    <w:tbl>
      <w:tblPr>
        <w:tblW w:type="dxa" w:w="9893"/>
        <w:jc w:val="left"/>
        <w:tblLayout w:type="fixed"/>
        <w:tblLook w:firstColumn="1" w:firstRow="1" w:lastColumn="0" w:lastRow="0" w:noHBand="0" w:noVBand="1" w:val="04A0"/>
        <w:tblInd w:w="120" w:type="dxa"/>
        <w:tblBorders>
          <w:top w:val="single" w:sz="5" w:color="B8D8D3"/>
          <w:left w:val="single" w:sz="5" w:color="B8D8D3"/>
          <w:bottom w:val="single" w:sz="5" w:color="B8D8D3"/>
          <w:right w:val="single" w:sz="5" w:color="B8D8D3"/>
          <w:insideH w:val="single" w:sz="5" w:color="B8D8D3"/>
          <w:insideV w:val="single" w:sz="5" w:color="B8D8D3"/>
        </w:tblBorders>
      </w:tblPr>
      <w:tblGrid>
        <w:gridCol w:w="3298"/>
        <w:gridCol w:w="3298"/>
        <w:gridCol w:w="3297"/>
      </w:tblGrid>
      <w:tr>
        <w:tc>
          <w:tcPr>
            <w:tcW w:type="dxa" w:w="3298"/>
            <w:tcMar>
              <w:top w:w="100" w:type="dxa"/>
              <w:start w:w="120" w:type="dxa"/>
              <w:bottom w:w="100" w:type="dxa"/>
              <w:end w:w="120" w:type="dxa"/>
            </w:tcMar>
            <w:vAlign w:val="center"/>
            <w:shd w:fill="DFF4EE"/>
          </w:tcPr>
          <w:p>
            <w:pPr>
              <w:spacing w:before="0" w:after="20" w:line="240" w:lineRule="auto"/>
            </w:pPr>
            <w:r/>
            <w:r>
              <w:rPr>
                <w:rFonts w:ascii="Calibri" w:hAnsi="Calibri"/>
                <w:b/>
                <w:i w:val="0"/>
                <w:color w:val="087F8C"/>
                <w:sz w:val="15"/>
              </w:rPr>
              <w:t>OPERATE</w:t>
            </w:r>
          </w:p>
          <w:p>
            <w:pPr>
              <w:spacing w:before="0" w:after="0" w:line="252" w:lineRule="auto"/>
            </w:pPr>
            <w:r>
              <w:rPr>
                <w:rFonts w:ascii="Calibri" w:hAnsi="Calibri"/>
                <w:b/>
                <w:i w:val="0"/>
                <w:color w:val="0B3C5D"/>
                <w:sz w:val="27"/>
              </w:rPr>
              <w:t>Runbook, environment setup, data refresh, overrides, tests, and issue log</w:t>
            </w:r>
          </w:p>
        </w:tc>
        <w:tc>
          <w:tcPr>
            <w:tcW w:type="dxa" w:w="3298"/>
            <w:tcMar>
              <w:top w:w="100" w:type="dxa"/>
              <w:start w:w="120" w:type="dxa"/>
              <w:bottom w:w="100" w:type="dxa"/>
              <w:end w:w="120" w:type="dxa"/>
            </w:tcMar>
            <w:vAlign w:val="center"/>
            <w:shd w:fill="DFF4EE"/>
          </w:tcPr>
          <w:p>
            <w:pPr>
              <w:spacing w:before="0" w:after="20" w:line="240" w:lineRule="auto"/>
            </w:pPr>
            <w:r/>
            <w:r>
              <w:rPr>
                <w:rFonts w:ascii="Calibri" w:hAnsi="Calibri"/>
                <w:b/>
                <w:i w:val="0"/>
                <w:color w:val="087F8C"/>
                <w:sz w:val="15"/>
              </w:rPr>
              <w:t>GOVERN</w:t>
            </w:r>
          </w:p>
          <w:p>
            <w:pPr>
              <w:spacing w:before="0" w:after="0" w:line="252" w:lineRule="auto"/>
            </w:pPr>
            <w:r>
              <w:rPr>
                <w:rFonts w:ascii="Calibri" w:hAnsi="Calibri"/>
                <w:b/>
                <w:i w:val="0"/>
                <w:color w:val="0B3C5D"/>
                <w:sz w:val="27"/>
              </w:rPr>
              <w:t>Source ledger, weight decisions, public methodology, risk register, and named owners</w:t>
            </w:r>
          </w:p>
        </w:tc>
        <w:tc>
          <w:tcPr>
            <w:tcW w:type="dxa" w:w="3297"/>
            <w:tcMar>
              <w:top w:w="100" w:type="dxa"/>
              <w:start w:w="120" w:type="dxa"/>
              <w:bottom w:w="100" w:type="dxa"/>
              <w:end w:w="120" w:type="dxa"/>
            </w:tcMar>
            <w:vAlign w:val="center"/>
            <w:shd w:fill="DFF4EE"/>
          </w:tcPr>
          <w:p>
            <w:pPr>
              <w:spacing w:before="0" w:after="20" w:line="240" w:lineRule="auto"/>
            </w:pPr>
            <w:r/>
            <w:r>
              <w:rPr>
                <w:rFonts w:ascii="Calibri" w:hAnsi="Calibri"/>
                <w:b/>
                <w:i w:val="0"/>
                <w:color w:val="087F8C"/>
                <w:sz w:val="15"/>
              </w:rPr>
              <w:t>SCALE</w:t>
            </w:r>
          </w:p>
          <w:p>
            <w:pPr>
              <w:spacing w:before="0" w:after="0" w:line="252" w:lineRule="auto"/>
            </w:pPr>
            <w:r>
              <w:rPr>
                <w:rFonts w:ascii="Calibri" w:hAnsi="Calibri"/>
                <w:b/>
                <w:i w:val="0"/>
                <w:color w:val="0B3C5D"/>
                <w:sz w:val="27"/>
              </w:rPr>
              <w:t>Validated gaps, partnership map, 12-month roadmap, resource ask, and replication checklist</w:t>
            </w:r>
          </w:p>
        </w:tc>
      </w:tr>
    </w:tbl>
    <w:p>
      <w:pPr>
        <w:pStyle w:val="Heading1"/>
        <w:keepNext/>
      </w:pPr>
      <w:r>
        <w:t>End-of-pilot recommendation</w:t>
      </w:r>
    </w:p>
    <w:p>
      <w:pPr>
        <w:spacing w:before="0" w:after="60" w:line="264" w:lineRule="auto"/>
      </w:pPr>
      <w:r>
        <w:rPr>
          <w:rFonts w:ascii="Calibri" w:hAnsi="Calibri"/>
          <w:b/>
          <w:i w:val="0"/>
          <w:color w:val="0B3C5D"/>
          <w:sz w:val="21"/>
        </w:rPr>
        <w:t>Scale only if the refreshed route baseline, community review, depot feasibility, and operator evidence materially improve confidence in the shortlist—and if named partner teams can maintain the data and governance after the hackathon team steps back.</w:t>
      </w:r>
    </w:p>
    <w:p>
      <w:pPr>
        <w:spacing w:before="0" w:after="0" w:line="264" w:lineRule="auto"/>
        <w:jc w:val="right"/>
      </w:pPr>
      <w:r>
        <w:rPr>
          <w:rFonts w:ascii="Calibri" w:hAnsi="Calibri"/>
          <w:b w:val="0"/>
          <w:i/>
          <w:color w:val="5C6B73"/>
          <w:sz w:val="17"/>
        </w:rPr>
        <w:t>Prepared 14 August 2026 · Route2Zero Team</w:t>
      </w:r>
    </w:p>
    <w:sectPr w:rsidR="00FC693F" w:rsidRPr="0006063C" w:rsidSect="00034616">
      <w:headerReference w:type="default" r:id="rId9"/>
      <w:footerReference w:type="default" r:id="rId10"/>
      <w:pgSz w:w="11906" w:h="16838"/>
      <w:pgMar w:top="1786" w:right="1009" w:bottom="935" w:left="1009" w:header="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5C6B73"/>
        <w:sz w:val="16"/>
      </w:rPr>
      <w:t xml:space="preserve">Route2Zero Pilot Plan  |  AI x City Climate Action Hackathon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left="-1009" w:right="-1009"/>
      <w:jc w:val="center"/>
    </w:pPr>
    <w:r>
      <w:drawing>
        <wp:inline xmlns:a="http://schemas.openxmlformats.org/drawingml/2006/main" xmlns:pic="http://schemas.openxmlformats.org/drawingml/2006/picture">
          <wp:extent cx="7560000" cy="950704"/>
          <wp:docPr id="1" name="Picture 1"/>
          <wp:cNvGraphicFramePr>
            <a:graphicFrameLocks noChangeAspect="1"/>
          </wp:cNvGraphicFramePr>
          <a:graphic>
            <a:graphicData uri="http://schemas.openxmlformats.org/drawingml/2006/picture">
              <pic:pic>
                <pic:nvPicPr>
                  <pic:cNvPr id="0" name="hackathon_banner.png"/>
                  <pic:cNvPicPr/>
                </pic:nvPicPr>
                <pic:blipFill>
                  <a:blip r:embed="rId1"/>
                  <a:stretch>
                    <a:fillRect/>
                  </a:stretch>
                </pic:blipFill>
                <pic:spPr>
                  <a:xfrm>
                    <a:off x="0" y="0"/>
                    <a:ext cx="7560000" cy="95070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3C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Route2Zero Pilot Plan</dc:title>
  <dc:subject>AI x City Climate Action Hackathon 2026 pilot execution plan</dc:subject>
  <dc:creator>Route2Zero Team</dc:creator>
  <cp:keywords>Route2Zero, e-jeepney, just transition, Metro Manila, pilot plan</cp:keywords>
  <dc:description>generated by python-docx</dc:description>
  <cp:lastModifiedBy/>
  <cp:revision>1</cp:revision>
  <dcterms:created xsi:type="dcterms:W3CDTF">2013-12-23T23:15:00Z</dcterms:created>
  <dcterms:modified xsi:type="dcterms:W3CDTF">2013-12-23T23:15:00Z</dcterms:modified>
  <cp:category/>
</cp:coreProperties>
</file>