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eastAsia="微软雅黑"/>
          <w:b/>
          <w:color w:val="1E3A5F"/>
          <w:sz w:val="42"/>
        </w:rPr>
        <w:t>项目技术方案说明书：</w:t>
        <w:br/>
        <w:t>通用数据输入输出、用户配置架构及通用算法产物全景规范</w:t>
      </w:r>
    </w:p>
    <w:p>
      <w:pPr>
        <w:spacing w:after="480"/>
        <w:jc w:val="center"/>
      </w:pPr>
      <w:r>
        <w:rPr>
          <w:rFonts w:ascii="Calibri" w:hAnsi="Calibri" w:eastAsia="微软雅黑"/>
          <w:color w:val="556677"/>
          <w:sz w:val="22"/>
        </w:rPr>
        <w:t>—— 通用抽象规范版（系统架构、数据标准、配置层级与产物字典） ——</w:t>
      </w:r>
    </w:p>
    <w:p>
      <w:pPr>
        <w:keepNext/>
        <w:spacing w:before="360" w:after="160"/>
      </w:pPr>
      <w:r>
        <w:rPr>
          <w:rFonts w:ascii="Calibri" w:hAnsi="Calibri" w:eastAsia="微软雅黑"/>
          <w:b/>
          <w:color w:val="1E3A5F"/>
          <w:sz w:val="34"/>
        </w:rPr>
        <w:t>第 1 章  项目整体结构与二层解耦调度控制模型</w:t>
      </w:r>
    </w:p>
    <w:p>
      <w:pPr>
        <w:keepNext/>
        <w:spacing w:before="280" w:after="120"/>
      </w:pPr>
      <w:r>
        <w:rPr>
          <w:rFonts w:ascii="Calibri" w:hAnsi="Calibri" w:eastAsia="微软雅黑"/>
          <w:b/>
          <w:color w:val="2B547E"/>
          <w:sz w:val="27"/>
        </w:rPr>
        <w:t>1.1 总体架构说明与解耦工作流</w:t>
      </w:r>
    </w:p>
    <w:p>
      <w:pPr>
        <w:spacing w:after="120" w:line="300" w:lineRule="auto"/>
      </w:pPr>
      <w:r>
        <w:rPr>
          <w:rFonts w:ascii="Calibri" w:hAnsi="Calibri" w:eastAsia="微软雅黑"/>
          <w:b/>
          <w:color w:val="222222"/>
          <w:sz w:val="21"/>
        </w:rPr>
        <w:t>【架构解耦宗旨】：</w:t>
      </w:r>
      <w:r>
        <w:rPr>
          <w:rFonts w:ascii="Calibri" w:hAnsi="Calibri" w:eastAsia="微软雅黑"/>
          <w:color w:val="333333"/>
          <w:sz w:val="21"/>
        </w:rPr>
        <w:t>为支持通用时序多通道数据的批量建模、离线评估与生产推理，系统设计为“批量编排调度层 (run_batch_users.py)”与“单任务流水线执行引擎 (run_user_pipeline.py)”二层解耦体系。批量调度层负责多对象的物理目录检索、配置规范统一加载及断点续跑管理；流水线层负责单任务的数据健康勘察、重采样网格对齐、通用模型构建、多阶段预测计算与自动化指标汇总说明，具备良好的高弹性与易扩展性。</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none"/>
              <w:left w:val="single" w:sz="24" w:space="0" w:color="3B71CA"/>
              <w:bottom w:val="none"/>
              <w:right w:val="none"/>
            </w:tcBorders>
          </w:tcPr>
          <w:p>
            <w:pPr>
              <w:spacing w:before="80" w:after="80" w:line="276" w:lineRule="auto"/>
            </w:pPr>
            <w:r>
              <w:rPr>
                <w:rFonts w:ascii="Consolas" w:hAnsi="Consolas" w:eastAsia="微软雅黑"/>
                <w:color w:val="24292F"/>
                <w:sz w:val="19"/>
              </w:rPr>
              <w:t>+-----------------------------------------------------------------------------------------------+</w:t>
              <w:br/>
              <w:t>|                             批量调度层 (run_batch_users.py)                                   |</w:t>
              <w:br/>
              <w:t>|  - 自动扫描工作目录 (data/) 并解析受管理对象 (User/Device) 的输入源文件映射链                   |</w:t>
              <w:br/>
              <w:t>|  - 统一解析外部集中式 JSON 配置文件，构建优先权参数体系并向底层进程下发                         |</w:t>
              <w:br/>
              <w:t>|  - 原子化维护 9 列标准状态表 (batch_execution_state.csv)，支持 --resume 断点续跑               |</w:t>
              <w:br/>
              <w:t>+-----------------------------------------------------------------------------------------------+</w:t>
              <w:br/>
              <w:t xml:space="preserve">                                               |</w:t>
              <w:br/>
              <w:t xml:space="preserve">         (通过序列化 JSON CLI 参数 --time-filter-spec 及环境变量 NILM_USER_* 进行环境封堵与透传)</w:t>
              <w:br/>
              <w:t xml:space="preserve">                                               v</w:t>
              <w:br/>
              <w:t>+-----------------------------------------------------------------------------------------------+</w:t>
              <w:br/>
              <w:t>|                            单任务流水线引擎 (run_user_pipeline.py)                             |</w:t>
              <w:br/>
              <w:t>|  - 执行安全清理，严格遵守 _CLEANUP_WHITELIST 顶层保护契约，绝不误删全局进度统计表              |</w:t>
              <w:br/>
              <w:t>|  - 串行执行通用数据标准化处理与通用预测输出全链路标准脚本：                                    |</w:t>
              <w:br/>
              <w:t>|       [Step 01] 数据勘察与健康度检查 (审计上游数据连贯性与物理步长)                          |</w:t>
              <w:br/>
              <w:t>|       [Step 02] 等距重采样与时间网格对齐 (规范化特征-目标矩阵及辅助协变量)                   |</w:t>
              <w:br/>
              <w:t>|       [Step 03] 通用回归/分类模型构建与评估训导 (输出训练/验证/测试各切分集预测明细)         |</w:t>
              <w:br/>
              <w:t>|       [Step 04] 离线全量预测与系统残差校正学习 (产出全切分集预测文件及基线对比)              |</w:t>
              <w:br/>
              <w:t>|       [Step 05] 独立生产盲测执行与差异审计 (输出生产级推导表、分部泄漏说明及指标监控)        |</w:t>
              <w:br/>
              <w:t>|       [Step 06] 连续行为切段统计与全天静默审计 (输出事件周期统计表及全日背景卡片)            |</w:t>
              <w:br/>
              <w:t>+-----------------------------------------------------------------------------------------------+</w:t>
            </w:r>
          </w:p>
        </w:tc>
      </w:tr>
    </w:tbl>
    <w:p>
      <w:pPr>
        <w:spacing w:after="120"/>
      </w:pPr>
    </w:p>
    <w:p>
      <w:pPr>
        <w:keepNext/>
        <w:spacing w:before="280" w:after="120"/>
      </w:pPr>
      <w:r>
        <w:rPr>
          <w:rFonts w:ascii="Calibri" w:hAnsi="Calibri" w:eastAsia="微软雅黑"/>
          <w:b/>
          <w:color w:val="2B547E"/>
          <w:sz w:val="27"/>
        </w:rPr>
        <w:t>1.2 工程运行流程与安全保护契约</w:t>
      </w:r>
    </w:p>
    <w:p>
      <w:pPr>
        <w:spacing w:after="120" w:line="300" w:lineRule="auto"/>
      </w:pPr>
      <w:r>
        <w:rPr>
          <w:rFonts w:ascii="Calibri" w:hAnsi="Calibri" w:eastAsia="微软雅黑"/>
          <w:b/>
          <w:color w:val="222222"/>
          <w:sz w:val="21"/>
        </w:rPr>
        <w:t>【运行契约规范】：</w:t>
      </w:r>
      <w:r>
        <w:rPr>
          <w:rFonts w:ascii="Calibri" w:hAnsi="Calibri" w:eastAsia="微软雅黑"/>
          <w:color w:val="333333"/>
          <w:sz w:val="21"/>
        </w:rPr>
        <w:t>为确保批量调度的稳健运行与文件系统的整洁，系统制定了严格的工作空间管理契约：</w:t>
        <w:br/>
        <w:t>• 顶层状态保护白名单契约 (_CLEANUP_WHITELIST)：单对象任务流水线启动前会自动进行空间临时表清理（如 *.tmp 或未归属中间对齐文件）；为此，项目明确规定 batch_execution_state.csv 及其临时文件、batch_run_summary.csv、summary_metrics_all_users.csv、skipped_users.csv 为全局特权表，受白名单严格豁免，任何情况下不可误删。</w:t>
        <w:br/>
        <w:t>• 优雅异常告警与非侵入式降级 (WARN + Fallback)：当遇到配置文件中个别参数非规范或超出允许区间时，解析层直接通过 UserWarning 提示告警并回退采用安全通用兜底值，确保长时间的批量管线继续无损推进。</w:t>
      </w:r>
    </w:p>
    <w:p>
      <w:pPr>
        <w:keepNext/>
        <w:spacing w:before="360" w:after="160"/>
      </w:pPr>
      <w:r>
        <w:rPr>
          <w:rFonts w:ascii="Calibri" w:hAnsi="Calibri" w:eastAsia="微软雅黑"/>
          <w:b/>
          <w:color w:val="1E3A5F"/>
          <w:sz w:val="34"/>
        </w:rPr>
        <w:t>第 2 章  通用数据输入结构与用户配置规范框架</w:t>
      </w:r>
    </w:p>
    <w:p>
      <w:pPr>
        <w:keepNext/>
        <w:spacing w:before="280" w:after="120"/>
      </w:pPr>
      <w:r>
        <w:rPr>
          <w:rFonts w:ascii="Calibri" w:hAnsi="Calibri" w:eastAsia="微软雅黑"/>
          <w:b/>
          <w:color w:val="2B547E"/>
          <w:sz w:val="27"/>
        </w:rPr>
        <w:t>2.1 目录组织结构与双模式输入支持</w:t>
      </w:r>
    </w:p>
    <w:p>
      <w:pPr>
        <w:spacing w:after="120" w:line="300" w:lineRule="auto"/>
      </w:pPr>
      <w:r>
        <w:rPr>
          <w:rFonts w:ascii="Calibri" w:hAnsi="Calibri" w:eastAsia="微软雅黑"/>
          <w:b/>
          <w:color w:val="222222"/>
          <w:sz w:val="21"/>
        </w:rPr>
        <w:t>【输入物理结构】：</w:t>
      </w:r>
      <w:r>
        <w:rPr>
          <w:rFonts w:ascii="Calibri" w:hAnsi="Calibri" w:eastAsia="微软雅黑"/>
          <w:color w:val="333333"/>
          <w:sz w:val="21"/>
        </w:rPr>
        <w:t>项目对数据读取结构支持规范双分层设计与平铺提取设计模式：</w:t>
        <w:br/>
        <w:t>• 规范化双分层目录布局 (推荐)：训练输入文件存放于 data/trains/&lt;device_id&gt;_&lt;user_id&gt;/，独立盲测推理文件存放于 data/infers/&lt;device_id&gt;_&lt;user_id&gt;/，彻底做到训推空间无交叉。</w:t>
        <w:br/>
        <w:t>• 根目录平铺布局 (向后兼容)：源 CSV 文件放置于 data/ 根目录下，框架调用正规匹配提取关键 ID。</w:t>
      </w:r>
    </w:p>
    <w:p>
      <w:pPr>
        <w:keepNext/>
        <w:spacing w:before="280" w:after="120"/>
      </w:pPr>
      <w:r>
        <w:rPr>
          <w:rFonts w:ascii="Calibri" w:hAnsi="Calibri" w:eastAsia="微软雅黑"/>
          <w:b/>
          <w:color w:val="2B547E"/>
          <w:sz w:val="27"/>
        </w:rPr>
        <w:t>2.2 输入文件命名正则匹配契约 (RE_BUS / RE_BR)</w:t>
      </w:r>
    </w:p>
    <w:p>
      <w:pPr>
        <w:spacing w:after="120" w:line="300" w:lineRule="auto"/>
      </w:pPr>
      <w:r>
        <w:rPr>
          <w:rFonts w:ascii="Calibri" w:hAnsi="Calibri" w:eastAsia="微软雅黑"/>
          <w:b/>
          <w:color w:val="222222"/>
          <w:sz w:val="21"/>
        </w:rPr>
        <w:t>【正则命名契约】：</w:t>
      </w:r>
      <w:r>
        <w:rPr>
          <w:rFonts w:ascii="Calibri" w:hAnsi="Calibri" w:eastAsia="微软雅黑"/>
          <w:color w:val="333333"/>
          <w:sz w:val="21"/>
        </w:rPr>
        <w:t>通用输入文件的命名规则和表结构规范定义见下表：</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728"/>
            <w:shd w:fill="2B547E"/>
            <w:tcMar>
              <w:top w:w="120" w:type="dxa"/>
              <w:bottom w:w="120" w:type="dxa"/>
              <w:left w:w="100" w:type="dxa"/>
              <w:right w:w="100" w:type="dxa"/>
            </w:tcMar>
          </w:tcPr>
          <w:p>
            <w:pPr>
              <w:jc w:val="center"/>
            </w:pPr>
            <w:r/>
            <w:r>
              <w:rPr>
                <w:rFonts w:ascii="Calibri" w:hAnsi="Calibri" w:eastAsia="微软雅黑"/>
                <w:b/>
                <w:color w:val="FFFFFF"/>
                <w:sz w:val="20"/>
              </w:rPr>
              <w:t>文件分类</w:t>
            </w:r>
          </w:p>
        </w:tc>
        <w:tc>
          <w:tcPr>
            <w:tcW w:type="dxa" w:w="1728"/>
            <w:shd w:fill="2B547E"/>
            <w:tcMar>
              <w:top w:w="120" w:type="dxa"/>
              <w:bottom w:w="120" w:type="dxa"/>
              <w:left w:w="100" w:type="dxa"/>
              <w:right w:w="100" w:type="dxa"/>
            </w:tcMar>
          </w:tcPr>
          <w:p>
            <w:pPr>
              <w:jc w:val="center"/>
            </w:pPr>
            <w:r/>
            <w:r>
              <w:rPr>
                <w:rFonts w:ascii="Calibri" w:hAnsi="Calibri" w:eastAsia="微软雅黑"/>
                <w:b/>
                <w:color w:val="FFFFFF"/>
                <w:sz w:val="20"/>
              </w:rPr>
              <w:t>业务作用</w:t>
            </w:r>
          </w:p>
        </w:tc>
        <w:tc>
          <w:tcPr>
            <w:tcW w:type="dxa" w:w="3312"/>
            <w:shd w:fill="2B547E"/>
            <w:tcMar>
              <w:top w:w="120" w:type="dxa"/>
              <w:bottom w:w="120" w:type="dxa"/>
              <w:left w:w="100" w:type="dxa"/>
              <w:right w:w="100" w:type="dxa"/>
            </w:tcMar>
          </w:tcPr>
          <w:p>
            <w:pPr>
              <w:jc w:val="center"/>
            </w:pPr>
            <w:r/>
            <w:r>
              <w:rPr>
                <w:rFonts w:ascii="Calibri" w:hAnsi="Calibri" w:eastAsia="微软雅黑"/>
                <w:b/>
                <w:color w:val="FFFFFF"/>
                <w:sz w:val="20"/>
              </w:rPr>
              <w:t>文件名正规表达式匹配语法 (Regex)</w:t>
            </w:r>
          </w:p>
        </w:tc>
        <w:tc>
          <w:tcPr>
            <w:tcW w:type="dxa" w:w="2592"/>
            <w:shd w:fill="2B547E"/>
            <w:tcMar>
              <w:top w:w="120" w:type="dxa"/>
              <w:bottom w:w="120" w:type="dxa"/>
              <w:left w:w="100" w:type="dxa"/>
              <w:right w:w="100" w:type="dxa"/>
            </w:tcMar>
          </w:tcPr>
          <w:p>
            <w:pPr>
              <w:jc w:val="center"/>
            </w:pPr>
            <w:r/>
            <w:r>
              <w:rPr>
                <w:rFonts w:ascii="Calibri" w:hAnsi="Calibri" w:eastAsia="微软雅黑"/>
                <w:b/>
                <w:color w:val="FFFFFF"/>
                <w:sz w:val="20"/>
              </w:rPr>
              <w:t>通用数据列结构要求</w:t>
            </w:r>
          </w:p>
        </w:tc>
      </w:tr>
      <w:tr>
        <w:tc>
          <w:tcPr>
            <w:tcW w:type="dxa" w:w="1728"/>
            <w:shd w:fill="FFFFFF"/>
            <w:tcMar>
              <w:top w:w="80" w:type="dxa"/>
              <w:bottom w:w="80" w:type="dxa"/>
              <w:left w:w="100" w:type="dxa"/>
              <w:right w:w="100" w:type="dxa"/>
            </w:tcMar>
          </w:tcPr>
          <w:p>
            <w:pPr>
              <w:jc w:val="left"/>
            </w:pPr>
            <w:r/>
            <w:r>
              <w:rPr>
                <w:rFonts w:ascii="Calibri" w:hAnsi="Calibri" w:eastAsia="微软雅黑"/>
                <w:color w:val="222222"/>
                <w:sz w:val="19"/>
              </w:rPr>
              <w:t>主特征表/驱动总线</w:t>
              <w:br/>
              <w:t>(RE_BUS)</w:t>
            </w:r>
          </w:p>
        </w:tc>
        <w:tc>
          <w:tcPr>
            <w:tcW w:type="dxa" w:w="1728"/>
            <w:shd w:fill="FFFFFF"/>
            <w:tcMar>
              <w:top w:w="80" w:type="dxa"/>
              <w:bottom w:w="80" w:type="dxa"/>
              <w:left w:w="100" w:type="dxa"/>
              <w:right w:w="100" w:type="dxa"/>
            </w:tcMar>
          </w:tcPr>
          <w:p>
            <w:pPr>
              <w:jc w:val="left"/>
            </w:pPr>
            <w:r/>
            <w:r>
              <w:rPr>
                <w:rFonts w:ascii="Calibri" w:hAnsi="Calibri" w:eastAsia="微软雅黑"/>
                <w:color w:val="222222"/>
                <w:sz w:val="19"/>
              </w:rPr>
              <w:t>连续多维度测量特征输入</w:t>
            </w:r>
          </w:p>
        </w:tc>
        <w:tc>
          <w:tcPr>
            <w:tcW w:type="dxa" w:w="3312"/>
            <w:shd w:fill="FFFFFF"/>
            <w:tcMar>
              <w:top w:w="80" w:type="dxa"/>
              <w:bottom w:w="80" w:type="dxa"/>
              <w:left w:w="100" w:type="dxa"/>
              <w:right w:w="100" w:type="dxa"/>
            </w:tcMar>
          </w:tcPr>
          <w:p>
            <w:pPr>
              <w:jc w:val="left"/>
            </w:pPr>
            <w:r/>
            <w:r>
              <w:rPr>
                <w:rFonts w:ascii="Calibri" w:hAnsi="Calibri" w:eastAsia="微软雅黑"/>
                <w:color w:val="222222"/>
                <w:sz w:val="19"/>
              </w:rPr>
              <w:t>^e241_(?P&lt;device&gt;[^_]+)_(?P&lt;user&gt;[^-]+)-Ch(?P&lt;ch&gt;\d+)-(?P&lt;start&gt;\d{6})-(?P&lt;end&gt;\d{6})(?P&lt;suffix&gt;(-1|-infer)?)\.csv$</w:t>
            </w:r>
          </w:p>
        </w:tc>
        <w:tc>
          <w:tcPr>
            <w:tcW w:type="dxa" w:w="2592"/>
            <w:shd w:fill="FFFFFF"/>
            <w:tcMar>
              <w:top w:w="80" w:type="dxa"/>
              <w:bottom w:w="80" w:type="dxa"/>
              <w:left w:w="100" w:type="dxa"/>
              <w:right w:w="100" w:type="dxa"/>
            </w:tcMar>
          </w:tcPr>
          <w:p>
            <w:pPr>
              <w:jc w:val="left"/>
            </w:pPr>
            <w:r/>
            <w:r>
              <w:rPr>
                <w:rFonts w:ascii="Calibri" w:hAnsi="Calibri" w:eastAsia="微软雅黑"/>
                <w:color w:val="222222"/>
                <w:sz w:val="19"/>
              </w:rPr>
              <w:t>时间戳主键(event_time/time)及多通道特征数值列；支持带/不带秒及 ISO 混杂解析</w:t>
            </w:r>
          </w:p>
        </w:tc>
      </w:tr>
      <w:tr>
        <w:tc>
          <w:tcPr>
            <w:tcW w:type="dxa" w:w="1728"/>
            <w:shd w:fill="F7F9FB"/>
            <w:tcMar>
              <w:top w:w="80" w:type="dxa"/>
              <w:bottom w:w="80" w:type="dxa"/>
              <w:left w:w="100" w:type="dxa"/>
              <w:right w:w="100" w:type="dxa"/>
            </w:tcMar>
          </w:tcPr>
          <w:p>
            <w:pPr>
              <w:jc w:val="left"/>
            </w:pPr>
            <w:r/>
            <w:r>
              <w:rPr>
                <w:rFonts w:ascii="Calibri" w:hAnsi="Calibri" w:eastAsia="微软雅黑"/>
                <w:color w:val="222222"/>
                <w:sz w:val="19"/>
              </w:rPr>
              <w:t>目标/真值表</w:t>
              <w:br/>
              <w:t>(RE_BR)</w:t>
            </w:r>
          </w:p>
        </w:tc>
        <w:tc>
          <w:tcPr>
            <w:tcW w:type="dxa" w:w="1728"/>
            <w:shd w:fill="F7F9FB"/>
            <w:tcMar>
              <w:top w:w="80" w:type="dxa"/>
              <w:bottom w:w="80" w:type="dxa"/>
              <w:left w:w="100" w:type="dxa"/>
              <w:right w:w="100" w:type="dxa"/>
            </w:tcMar>
          </w:tcPr>
          <w:p>
            <w:pPr>
              <w:jc w:val="left"/>
            </w:pPr>
            <w:r/>
            <w:r>
              <w:rPr>
                <w:rFonts w:ascii="Calibri" w:hAnsi="Calibri" w:eastAsia="微软雅黑"/>
                <w:color w:val="222222"/>
                <w:sz w:val="19"/>
              </w:rPr>
              <w:t>对应需建模预测的目标序列</w:t>
            </w:r>
          </w:p>
        </w:tc>
        <w:tc>
          <w:tcPr>
            <w:tcW w:type="dxa" w:w="3312"/>
            <w:shd w:fill="F7F9FB"/>
            <w:tcMar>
              <w:top w:w="80" w:type="dxa"/>
              <w:bottom w:w="80" w:type="dxa"/>
              <w:left w:w="100" w:type="dxa"/>
              <w:right w:w="100" w:type="dxa"/>
            </w:tcMar>
          </w:tcPr>
          <w:p>
            <w:pPr>
              <w:jc w:val="left"/>
            </w:pPr>
            <w:r/>
            <w:r>
              <w:rPr>
                <w:rFonts w:ascii="Calibri" w:hAnsi="Calibri" w:eastAsia="微软雅黑"/>
                <w:color w:val="222222"/>
                <w:sz w:val="19"/>
              </w:rPr>
              <w:t>^(?P&lt;user&gt;[^-]+)-(?P&lt;start&gt;\d{6})-(?P&lt;end&gt;\d{6})(?P&lt;suffix&gt;(-1|-infer)?)\.csv$</w:t>
            </w:r>
          </w:p>
        </w:tc>
        <w:tc>
          <w:tcPr>
            <w:tcW w:type="dxa" w:w="2592"/>
            <w:shd w:fill="F7F9FB"/>
            <w:tcMar>
              <w:top w:w="80" w:type="dxa"/>
              <w:bottom w:w="80" w:type="dxa"/>
              <w:left w:w="100" w:type="dxa"/>
              <w:right w:w="100" w:type="dxa"/>
            </w:tcMar>
          </w:tcPr>
          <w:p>
            <w:pPr>
              <w:jc w:val="left"/>
            </w:pPr>
            <w:r/>
            <w:r>
              <w:rPr>
                <w:rFonts w:ascii="Calibri" w:hAnsi="Calibri" w:eastAsia="微软雅黑"/>
                <w:color w:val="222222"/>
                <w:sz w:val="19"/>
              </w:rPr>
              <w:t>时间戳主键(time)与独立目标数值列 (pN, N≥0 的非负整数通道，如 p1, p2...)</w:t>
            </w:r>
          </w:p>
        </w:tc>
      </w:tr>
      <w:tr>
        <w:tc>
          <w:tcPr>
            <w:tcW w:type="dxa" w:w="1728"/>
            <w:shd w:fill="FFFFFF"/>
            <w:tcMar>
              <w:top w:w="80" w:type="dxa"/>
              <w:bottom w:w="80" w:type="dxa"/>
              <w:left w:w="100" w:type="dxa"/>
              <w:right w:w="100" w:type="dxa"/>
            </w:tcMar>
          </w:tcPr>
          <w:p>
            <w:pPr>
              <w:jc w:val="left"/>
            </w:pPr>
            <w:r/>
            <w:r>
              <w:rPr>
                <w:rFonts w:ascii="Calibri" w:hAnsi="Calibri" w:eastAsia="微软雅黑"/>
                <w:color w:val="222222"/>
                <w:sz w:val="19"/>
              </w:rPr>
              <w:t>中间合并表</w:t>
            </w:r>
          </w:p>
        </w:tc>
        <w:tc>
          <w:tcPr>
            <w:tcW w:type="dxa" w:w="1728"/>
            <w:shd w:fill="FFFFFF"/>
            <w:tcMar>
              <w:top w:w="80" w:type="dxa"/>
              <w:bottom w:w="80" w:type="dxa"/>
              <w:left w:w="100" w:type="dxa"/>
              <w:right w:w="100" w:type="dxa"/>
            </w:tcMar>
          </w:tcPr>
          <w:p>
            <w:pPr>
              <w:jc w:val="left"/>
            </w:pPr>
            <w:r/>
            <w:r>
              <w:rPr>
                <w:rFonts w:ascii="Calibri" w:hAnsi="Calibri" w:eastAsia="微软雅黑"/>
                <w:color w:val="222222"/>
                <w:sz w:val="19"/>
              </w:rPr>
              <w:t>处理过渡及分流产物</w:t>
            </w:r>
          </w:p>
        </w:tc>
        <w:tc>
          <w:tcPr>
            <w:tcW w:type="dxa" w:w="3312"/>
            <w:shd w:fill="FFFFFF"/>
            <w:tcMar>
              <w:top w:w="80" w:type="dxa"/>
              <w:bottom w:w="80" w:type="dxa"/>
              <w:left w:w="100" w:type="dxa"/>
              <w:right w:w="100" w:type="dxa"/>
            </w:tcMar>
          </w:tcPr>
          <w:p>
            <w:pPr>
              <w:jc w:val="left"/>
            </w:pPr>
            <w:r/>
            <w:r>
              <w:rPr>
                <w:rFonts w:ascii="Calibri" w:hAnsi="Calibri" w:eastAsia="微软雅黑"/>
                <w:color w:val="222222"/>
                <w:sz w:val="19"/>
              </w:rPr>
              <w:t>data/merged_bus.csv, data/merged_branch.csv</w:t>
              <w:br/>
              <w:t>data/infer_bus.csv, data/infer_branch.csv</w:t>
            </w:r>
          </w:p>
        </w:tc>
        <w:tc>
          <w:tcPr>
            <w:tcW w:type="dxa" w:w="2592"/>
            <w:shd w:fill="FFFFFF"/>
            <w:tcMar>
              <w:top w:w="80" w:type="dxa"/>
              <w:bottom w:w="80" w:type="dxa"/>
              <w:left w:w="100" w:type="dxa"/>
              <w:right w:w="100" w:type="dxa"/>
            </w:tcMar>
          </w:tcPr>
          <w:p>
            <w:pPr>
              <w:jc w:val="left"/>
            </w:pPr>
            <w:r/>
            <w:r>
              <w:rPr>
                <w:rFonts w:ascii="Calibri" w:hAnsi="Calibri" w:eastAsia="微软雅黑"/>
                <w:color w:val="222222"/>
                <w:sz w:val="19"/>
              </w:rPr>
              <w:t>由流水线自动化聚合生成，独立区分训练段与推理盲测段，避免泄漏</w:t>
            </w:r>
          </w:p>
        </w:tc>
      </w:tr>
    </w:tbl>
    <w:p>
      <w:pPr>
        <w:spacing w:after="160"/>
      </w:pPr>
    </w:p>
    <w:p>
      <w:pPr>
        <w:keepNext/>
        <w:spacing w:before="280" w:after="120"/>
      </w:pPr>
      <w:r>
        <w:rPr>
          <w:rFonts w:ascii="Calibri" w:hAnsi="Calibri" w:eastAsia="微软雅黑"/>
          <w:b/>
          <w:color w:val="2B547E"/>
          <w:sz w:val="27"/>
        </w:rPr>
        <w:t>2.3 通用复合目标列动态累加物化机制 (pA+pB...)</w:t>
      </w:r>
    </w:p>
    <w:p>
      <w:pPr>
        <w:spacing w:after="120" w:line="300" w:lineRule="auto"/>
      </w:pPr>
      <w:r>
        <w:rPr>
          <w:rFonts w:ascii="Calibri" w:hAnsi="Calibri" w:eastAsia="微软雅黑"/>
          <w:b/>
          <w:color w:val="222222"/>
          <w:sz w:val="21"/>
        </w:rPr>
        <w:t>【动态物化规则】：</w:t>
      </w:r>
      <w:r>
        <w:rPr>
          <w:rFonts w:ascii="Calibri" w:hAnsi="Calibri" w:eastAsia="微软雅黑"/>
          <w:color w:val="333333"/>
          <w:sz w:val="21"/>
        </w:rPr>
        <w:t>当被建模总目标需要由多个单独采集的子目标序列叠加构成时，系统提供实时求和与物化功能，避免手工修改源 CSV 引入操作污染：</w:t>
        <w:br/>
        <w:t>• 复合表达式语法：通过 "+" 连接多个合规目标列，形如 "p1+p2" 或 "p1+p2+p3"。</w:t>
        <w:br/>
        <w:t>• 行级动态加和与 NaN 传播防呆契约：数据引擎加载源表时自动检查并新增为该表达式文本形式的物化列；其按行求和计算必须强制设置 skipna=False 语义（即某一个分项在此处出现缺失 NaN 时，总量值一律传播为 NaN）。该契约坚决杜绝把漏采静默设为 0W 所引发的数据系统性低估偏差。</w:t>
        <w:br/>
        <w:t>• 容错及去重处理：忽略大小写与首尾空格 (P1 + p2 -&gt; p1+p2)，任何出现重复对相同列累加的形式 (p1+p1) 会立即被捕获拒绝。</w:t>
      </w:r>
    </w:p>
    <w:p>
      <w:pPr>
        <w:keepNext/>
        <w:spacing w:before="280" w:after="120"/>
      </w:pPr>
      <w:r>
        <w:rPr>
          <w:rFonts w:ascii="Calibri" w:hAnsi="Calibri" w:eastAsia="微软雅黑"/>
          <w:b/>
          <w:color w:val="2B547E"/>
          <w:sz w:val="27"/>
        </w:rPr>
        <w:t>2.4 集中式用户配置 JSON 体系与三重优先权</w:t>
      </w:r>
    </w:p>
    <w:p>
      <w:pPr>
        <w:spacing w:after="120" w:line="300" w:lineRule="auto"/>
      </w:pPr>
      <w:r>
        <w:rPr>
          <w:rFonts w:ascii="Calibri" w:hAnsi="Calibri" w:eastAsia="微软雅黑"/>
          <w:b/>
          <w:color w:val="222222"/>
          <w:sz w:val="21"/>
        </w:rPr>
        <w:t>【解析优先规则】：</w:t>
      </w:r>
      <w:r>
        <w:rPr>
          <w:rFonts w:ascii="Calibri" w:hAnsi="Calibri" w:eastAsia="微软雅黑"/>
          <w:color w:val="333333"/>
          <w:sz w:val="21"/>
        </w:rPr>
        <w:t>项目所有会话参数均通过 CLI --time-filter-config &lt;path_to_json&gt; 指定管理。解析时执行三重优先级规则：</w:t>
      </w:r>
    </w:p>
    <w:p>
      <w:pPr>
        <w:spacing w:after="120" w:line="300" w:lineRule="auto"/>
      </w:pPr>
      <w:r>
        <w:rPr>
          <w:rFonts w:ascii="Calibri" w:hAnsi="Calibri" w:eastAsia="微软雅黑"/>
          <w:color w:val="333333"/>
          <w:sz w:val="21"/>
        </w:rPr>
        <w:t>1. config["&lt;user_id&gt;"]["&lt;key&gt;"] —— 最高优先级：向指定用户定制的具体运行设定。</w:t>
        <w:br/>
        <w:t>2. config["_default"]["&lt;key&gt;"] —— 次高优先级：面向无特殊列出对象的统一模板兜底。</w:t>
        <w:br/>
        <w:t>3. 代码内部内置系统全局常数 —— 最低优先级：保底运行。</w:t>
        <w:br/>
        <w:t>注：下划线开头的顶级名称（如 _note_, _default）作为元属性，被自动过滤保护，绝当真对象处理。</w:t>
      </w:r>
    </w:p>
    <w:p>
      <w:pPr>
        <w:spacing w:after="120" w:line="300" w:lineRule="auto"/>
      </w:pPr>
      <w:r>
        <w:rPr>
          <w:rFonts w:ascii="Calibri" w:hAnsi="Calibri" w:eastAsia="微软雅黑"/>
          <w:b/>
          <w:color w:val="222222"/>
          <w:sz w:val="21"/>
        </w:rPr>
        <w:t>【六大用户通用配置模块】：</w:t>
      </w:r>
      <w:r>
        <w:rPr>
          <w:rFonts w:ascii="Calibri" w:hAnsi="Calibri" w:eastAsia="微软雅黑"/>
          <w:color w:val="333333"/>
          <w:sz w:val="21"/>
        </w:rPr>
        <w:t>在单独配置字典中，支持统筹管理的六大通用配置模块详见下表：</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872"/>
            <w:shd w:fill="2B547E"/>
            <w:tcMar>
              <w:top w:w="120" w:type="dxa"/>
              <w:bottom w:w="120" w:type="dxa"/>
              <w:left w:w="100" w:type="dxa"/>
              <w:right w:w="100" w:type="dxa"/>
            </w:tcMar>
          </w:tcPr>
          <w:p>
            <w:pPr>
              <w:jc w:val="center"/>
            </w:pPr>
            <w:r/>
            <w:r>
              <w:rPr>
                <w:rFonts w:ascii="Calibri" w:hAnsi="Calibri" w:eastAsia="微软雅黑"/>
                <w:b/>
                <w:color w:val="FFFFFF"/>
                <w:sz w:val="20"/>
              </w:rPr>
              <w:t>配置模块名称</w:t>
            </w:r>
          </w:p>
        </w:tc>
        <w:tc>
          <w:tcPr>
            <w:tcW w:type="dxa" w:w="2016"/>
            <w:shd w:fill="2B547E"/>
            <w:tcMar>
              <w:top w:w="120" w:type="dxa"/>
              <w:bottom w:w="120" w:type="dxa"/>
              <w:left w:w="100" w:type="dxa"/>
              <w:right w:w="100" w:type="dxa"/>
            </w:tcMar>
          </w:tcPr>
          <w:p>
            <w:pPr>
              <w:jc w:val="center"/>
            </w:pPr>
            <w:r/>
            <w:r>
              <w:rPr>
                <w:rFonts w:ascii="Calibri" w:hAnsi="Calibri" w:eastAsia="微软雅黑"/>
                <w:b/>
                <w:color w:val="FFFFFF"/>
                <w:sz w:val="20"/>
              </w:rPr>
              <w:t>JSON 参数名称与数据结构</w:t>
            </w:r>
          </w:p>
        </w:tc>
        <w:tc>
          <w:tcPr>
            <w:tcW w:type="dxa" w:w="2304"/>
            <w:shd w:fill="2B547E"/>
            <w:tcMar>
              <w:top w:w="120" w:type="dxa"/>
              <w:bottom w:w="120" w:type="dxa"/>
              <w:left w:w="100" w:type="dxa"/>
              <w:right w:w="100" w:type="dxa"/>
            </w:tcMar>
          </w:tcPr>
          <w:p>
            <w:pPr>
              <w:jc w:val="center"/>
            </w:pPr>
            <w:r/>
            <w:r>
              <w:rPr>
                <w:rFonts w:ascii="Calibri" w:hAnsi="Calibri" w:eastAsia="微软雅黑"/>
                <w:b/>
                <w:color w:val="FFFFFF"/>
                <w:sz w:val="20"/>
              </w:rPr>
              <w:t>合法数据取值范围</w:t>
            </w:r>
          </w:p>
        </w:tc>
        <w:tc>
          <w:tcPr>
            <w:tcW w:type="dxa" w:w="3168"/>
            <w:shd w:fill="2B547E"/>
            <w:tcMar>
              <w:top w:w="120" w:type="dxa"/>
              <w:bottom w:w="120" w:type="dxa"/>
              <w:left w:w="100" w:type="dxa"/>
              <w:right w:w="100" w:type="dxa"/>
            </w:tcMar>
          </w:tcPr>
          <w:p>
            <w:pPr>
              <w:jc w:val="center"/>
            </w:pPr>
            <w:r/>
            <w:r>
              <w:rPr>
                <w:rFonts w:ascii="Calibri" w:hAnsi="Calibri" w:eastAsia="微软雅黑"/>
                <w:b/>
                <w:color w:val="FFFFFF"/>
                <w:sz w:val="20"/>
              </w:rPr>
              <w:t>功能解释与通用控制逻辑</w:t>
            </w:r>
          </w:p>
        </w:tc>
      </w:tr>
      <w:tr>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(1) 顶层训/推时段裁剪</w:t>
              <w:br/>
              <w:t>(v12 增强)</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train / infer 字典，含 include 与 exclude 数组</w:t>
            </w:r>
          </w:p>
        </w:tc>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双元素闭区间 [start, end]</w:t>
              <w:br/>
              <w:t>短日期 YYYY-MM-DD 或带秒 HH:MM:SS</w:t>
            </w:r>
          </w:p>
        </w:tc>
        <w:tc>
          <w:tcPr>
            <w:tcW w:type="dxa" w:w="3168"/>
            <w:shd w:fill="FFFFFF"/>
            <w:tcMar>
              <w:top w:w="80" w:type="dxa"/>
              <w:bottom w:w="80" w:type="dxa"/>
              <w:left w:w="100" w:type="dxa"/>
              <w:right w:w="100" w:type="dxa"/>
            </w:tcMar>
          </w:tcPr>
          <w:p>
            <w:pPr>
              <w:jc w:val="left"/>
            </w:pPr>
            <w:r/>
            <w:r>
              <w:rPr>
                <w:rFonts w:ascii="Calibri" w:hAnsi="Calibri" w:eastAsia="微软雅黑"/>
                <w:color w:val="222222"/>
                <w:sz w:val="19"/>
              </w:rPr>
              <w:t>按闭区间先行求取 include 白名单并集（未配置代表取全集），再以 exclude 剔除黑名单。短日期自动扩展至 00:00:00~23:59:59</w:t>
            </w:r>
          </w:p>
        </w:tc>
      </w:tr>
      <w:tr>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(2) 目标通道指定</w:t>
              <w:br/>
              <w:t>(v13.4 / v13.16)</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target_col</w:t>
            </w:r>
          </w:p>
        </w:tc>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单通道 "pN" (N≥0)</w:t>
              <w:br/>
              <w:t>或复合表达 "pA+pB[+pC...]"</w:t>
            </w:r>
          </w:p>
        </w:tc>
        <w:tc>
          <w:tcPr>
            <w:tcW w:type="dxa" w:w="3168"/>
            <w:shd w:fill="F7F9FB"/>
            <w:tcMar>
              <w:top w:w="80" w:type="dxa"/>
              <w:bottom w:w="80" w:type="dxa"/>
              <w:left w:w="100" w:type="dxa"/>
              <w:right w:w="100" w:type="dxa"/>
            </w:tcMar>
          </w:tcPr>
          <w:p>
            <w:pPr>
              <w:jc w:val="left"/>
            </w:pPr>
            <w:r/>
            <w:r>
              <w:rPr>
                <w:rFonts w:ascii="Calibri" w:hAnsi="Calibri" w:eastAsia="微软雅黑"/>
                <w:color w:val="222222"/>
                <w:sz w:val="19"/>
              </w:rPr>
              <w:t>向管道指定要拟合的目标真值列名；未填明则自动尝试按正则从文件推演，最后兜底回退 "p1"</w:t>
            </w:r>
          </w:p>
        </w:tc>
      </w:tr>
      <w:tr>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(3) 自适应策略守卫</w:t>
              <w:br/>
              <w:t>(v13.1 / v13.5)</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guard_enabled</w:t>
            </w:r>
          </w:p>
        </w:tc>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bool (true/false) 或 null(未配置)</w:t>
            </w:r>
          </w:p>
        </w:tc>
        <w:tc>
          <w:tcPr>
            <w:tcW w:type="dxa" w:w="3168"/>
            <w:shd w:fill="FFFFFF"/>
            <w:tcMar>
              <w:top w:w="80" w:type="dxa"/>
              <w:bottom w:w="80" w:type="dxa"/>
              <w:left w:w="100" w:type="dxa"/>
              <w:right w:w="100" w:type="dxa"/>
            </w:tcMar>
          </w:tcPr>
          <w:p>
            <w:pPr>
              <w:jc w:val="left"/>
            </w:pPr>
            <w:r/>
            <w:r>
              <w:rPr>
                <w:rFonts w:ascii="Calibri" w:hAnsi="Calibri" w:eastAsia="微软雅黑"/>
                <w:color w:val="222222"/>
                <w:sz w:val="19"/>
              </w:rPr>
              <w:t>控制是否应用特殊限制守卫。未声明时自动分析数据，符合条件自动降级关闭，提升通用场景表现力</w:t>
            </w:r>
          </w:p>
        </w:tc>
      </w:tr>
      <w:tr>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(4) 细粒度分集切区过滤</w:t>
              <w:br/>
              <w:t>(v13.2 细粒度)</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splits.train / splits.val / splits.test</w:t>
            </w:r>
          </w:p>
        </w:tc>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内部含 include / exclude 数组</w:t>
            </w:r>
          </w:p>
        </w:tc>
        <w:tc>
          <w:tcPr>
            <w:tcW w:type="dxa" w:w="3168"/>
            <w:shd w:fill="F7F9FB"/>
            <w:tcMar>
              <w:top w:w="80" w:type="dxa"/>
              <w:bottom w:w="80" w:type="dxa"/>
              <w:left w:w="100" w:type="dxa"/>
              <w:right w:w="100" w:type="dxa"/>
            </w:tcMar>
          </w:tcPr>
          <w:p>
            <w:pPr>
              <w:jc w:val="left"/>
            </w:pPr>
            <w:r/>
            <w:r>
              <w:rPr>
                <w:rFonts w:ascii="Calibri" w:hAnsi="Calibri" w:eastAsia="微软雅黑"/>
                <w:color w:val="222222"/>
                <w:sz w:val="19"/>
              </w:rPr>
              <w:t>四步无偏分配：(a)初始划分 -&gt; (b)include 硬性优先锚定(权值 train-&gt;val-&gt;test) -&gt; (c)跨分区等比让出恒久保持分布比例不变 -&gt; (d)exclude 剔除移出</w:t>
            </w:r>
          </w:p>
        </w:tc>
      </w:tr>
      <w:tr>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(5) 9 项公共常数覆盖与</w:t>
              <w:br/>
              <w:t>环境映射(v13.5/13.13)</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common_overrides 字典，</w:t>
              <w:br/>
              <w:t>涵盖阈值、比例、策略、地理坐标等</w:t>
            </w:r>
          </w:p>
        </w:tc>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on_thr_w: [0.001, 5000.0]</w:t>
              <w:br/>
              <w:t>split_ratios: 3元素数值和为1</w:t>
              <w:br/>
              <w:t>split_strategy: 4大通用策略</w:t>
              <w:br/>
              <w:t>纬度:-90~90/经度:-180~180</w:t>
            </w:r>
          </w:p>
        </w:tc>
        <w:tc>
          <w:tcPr>
            <w:tcW w:type="dxa" w:w="3168"/>
            <w:shd w:fill="FFFFFF"/>
            <w:tcMar>
              <w:top w:w="80" w:type="dxa"/>
              <w:bottom w:w="80" w:type="dxa"/>
              <w:left w:w="100" w:type="dxa"/>
              <w:right w:w="100" w:type="dxa"/>
            </w:tcMar>
          </w:tcPr>
          <w:p>
            <w:pPr>
              <w:jc w:val="left"/>
            </w:pPr>
            <w:r/>
            <w:r>
              <w:rPr>
                <w:rFonts w:ascii="Calibri" w:hAnsi="Calibri" w:eastAsia="微软雅黑"/>
                <w:color w:val="222222"/>
                <w:sz w:val="19"/>
              </w:rPr>
              <w:t>提供直接覆盖公共参数机制。推荐策略为 "global_stratified"，消除跨月按月硬分层中小月样本强往 train 倾斜的问题。内部自动映射为带 NILM_USER_ 前缀的环境变量下发</w:t>
            </w:r>
          </w:p>
        </w:tc>
      </w:tr>
      <w:tr>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(6) 进阶特性控制项</w:t>
              <w:br/>
              <w:t>(v14 增强)</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v14_flags 字典或通用选项</w:t>
            </w:r>
          </w:p>
        </w:tc>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v14_enable, physics, calibrate, health, diag 等</w:t>
            </w:r>
          </w:p>
        </w:tc>
        <w:tc>
          <w:tcPr>
            <w:tcW w:type="dxa" w:w="3168"/>
            <w:shd w:fill="F7F9FB"/>
            <w:tcMar>
              <w:top w:w="80" w:type="dxa"/>
              <w:bottom w:w="80" w:type="dxa"/>
              <w:left w:w="100" w:type="dxa"/>
              <w:right w:w="100" w:type="dxa"/>
            </w:tcMar>
          </w:tcPr>
          <w:p>
            <w:pPr>
              <w:jc w:val="left"/>
            </w:pPr>
            <w:r/>
            <w:r>
              <w:rPr>
                <w:rFonts w:ascii="Calibri" w:hAnsi="Calibri" w:eastAsia="微软雅黑"/>
                <w:color w:val="222222"/>
                <w:sz w:val="19"/>
              </w:rPr>
              <w:t>控制管道是否开启后处理参数优化、额外诊断监控报表等扩展辅助能力</w:t>
            </w:r>
          </w:p>
        </w:tc>
      </w:tr>
    </w:tbl>
    <w:p>
      <w:pPr>
        <w:spacing w:after="160"/>
      </w:pPr>
    </w:p>
    <w:p>
      <w:pPr>
        <w:keepNext/>
        <w:spacing w:before="360" w:after="160"/>
      </w:pPr>
      <w:r>
        <w:rPr>
          <w:rFonts w:ascii="Calibri" w:hAnsi="Calibri" w:eastAsia="微软雅黑"/>
          <w:b/>
          <w:color w:val="1E3A5F"/>
          <w:sz w:val="34"/>
        </w:rPr>
        <w:t>第 3 章  通用算法输出产物体系与标准表结构全集</w:t>
      </w:r>
    </w:p>
    <w:p>
      <w:pPr>
        <w:spacing w:after="120" w:line="300" w:lineRule="auto"/>
      </w:pPr>
      <w:r>
        <w:rPr>
          <w:rFonts w:ascii="Calibri" w:hAnsi="Calibri" w:eastAsia="微软雅黑"/>
          <w:b/>
          <w:color w:val="222222"/>
          <w:sz w:val="21"/>
        </w:rPr>
        <w:t>【产物分类说明】：</w:t>
      </w:r>
      <w:r>
        <w:rPr>
          <w:rFonts w:ascii="Calibri" w:hAnsi="Calibri" w:eastAsia="微软雅黑"/>
          <w:color w:val="333333"/>
          <w:sz w:val="21"/>
        </w:rPr>
        <w:t>系统在对齐重采样、特征生成、独立分类/回归建模及推导周期内产生的成果，统一在模型资产区、任务状态表及 artifacts/trains/ 和 artifacts/infers/ 下输出，建立了完备规范的数据可追溯体系。</w:t>
      </w:r>
    </w:p>
    <w:p>
      <w:pPr>
        <w:keepNext/>
        <w:spacing w:before="280" w:after="120"/>
      </w:pPr>
      <w:r>
        <w:rPr>
          <w:rFonts w:ascii="Calibri" w:hAnsi="Calibri" w:eastAsia="微软雅黑"/>
          <w:b/>
          <w:color w:val="2B547E"/>
          <w:sz w:val="27"/>
        </w:rPr>
        <w:t>3.1 产物目录分类体系全景树（完备涵盖全分切集预测表规范）</w:t>
      </w:r>
    </w:p>
    <w:p>
      <w:pPr>
        <w:spacing w:after="120" w:line="300" w:lineRule="auto"/>
      </w:pPr>
      <w:r>
        <w:rPr>
          <w:rFonts w:ascii="Calibri" w:hAnsi="Calibri" w:eastAsia="微软雅黑"/>
          <w:color w:val="333333"/>
          <w:sz w:val="21"/>
        </w:rPr>
        <w:t>产物存储在系统内的总体目录结构分层关系说明如下（在训练与离线验证产物区内，完备涵盖了主建模算法与对照组算法在 train / val / test 3 个划分集上的所有预测表文件）：</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none"/>
              <w:left w:val="single" w:sz="24" w:space="0" w:color="3B71CA"/>
              <w:bottom w:val="none"/>
              <w:right w:val="none"/>
            </w:tcBorders>
          </w:tcPr>
          <w:p>
            <w:pPr>
              <w:spacing w:before="80" w:after="80" w:line="276" w:lineRule="auto"/>
            </w:pPr>
            <w:r>
              <w:rPr>
                <w:rFonts w:ascii="Consolas" w:hAnsi="Consolas" w:eastAsia="微软雅黑"/>
                <w:color w:val="24292F"/>
                <w:sz w:val="19"/>
              </w:rPr>
              <w:t>&lt;workspace_root&gt;/</w:t>
              <w:br/>
              <w:t xml:space="preserve"> ├── models/                            # [持久化模型资产区] 单任务工作流不会对本区进行回收</w:t>
              <w:br/>
              <w:t xml:space="preserve"> │    └── &lt;user_id&gt;/</w:t>
              <w:br/>
              <w:t xml:space="preserve"> │         ├── model_bundle.pkl         # 综合主包：包含归一化器、主预测回归及校正模型字典</w:t>
              <w:br/>
              <w:t xml:space="preserve"> │         ├── baseline_model.pkl       # 参比基准对照模型包 (Baseline RF 等)</w:t>
              <w:br/>
              <w:t xml:space="preserve"> │         ├── split_dates_bundle.json  # 划分元数据：记录具体归入 train/val/test 的自然日期序列</w:t>
              <w:br/>
              <w:t xml:space="preserve"> │         └── weather_cache/           # 协变量气象数据的离线本地序列化缓存</w:t>
              <w:br/>
              <w:t xml:space="preserve"> └── artifacts/                         # [运行过程产物区] 顶层表受白名单契约豁免保护；下按处理区分流</w:t>
              <w:br/>
              <w:t xml:space="preserve">      ├── batch_execution_state.csv     # (白名单保护) 9 列标准的原子断点续跑执行进度表</w:t>
              <w:br/>
              <w:t xml:space="preserve">      ├── batch_run_summary.csv         # (白名单保护) 批处理多对象评估汇总总卡表</w:t>
              <w:br/>
              <w:t xml:space="preserve">      ├── summary_metrics_all_users.csv # (白名单保护) 全员各维度精度全景评估报表</w:t>
              <w:br/>
              <w:t xml:space="preserve">      ├── skipped_users.csv             # (白名单保护) 策略判断为跳过的记录名册</w:t>
              <w:br/>
              <w:t xml:space="preserve">      ├── trains/                       # 【训练与离线评估产物分类体系】</w:t>
              <w:br/>
              <w:t xml:space="preserve">      │    └── &lt;user_id&gt;/</w:t>
              <w:br/>
              <w:t xml:space="preserve">      │         ├── train_pred.csv      # ⭐ 主模型在训练集 (Train Split) 上的全周期逐点预测与残差</w:t>
              <w:br/>
              <w:t xml:space="preserve">      │         ├── val_pred.csv        # ⭐ 主模型在验证集 (Val Split) 上的全周期逐点预测与残差</w:t>
              <w:br/>
              <w:t xml:space="preserve">      │         ├── test_pred.csv       # ⭐ 主模型在测试集 (Test Split) 上的完整预测 (含后处理残差校正列)</w:t>
              <w:br/>
              <w:t xml:space="preserve">      │         ├── train_pred_rf.csv   # ⭐ 对照模型 (Baseline RF) 在训练集上的同点比对预测</w:t>
              <w:br/>
              <w:t xml:space="preserve">      │         ├── val_pred_rf.csv     # ⭐ 对照模型 (Baseline RF) 在验证集上的同点比对预测</w:t>
              <w:br/>
              <w:t xml:space="preserve">      │         ├── test_pred_rf.csv    # ⭐ 对照模型 (Baseline RF) 在测试集上的同点比对预测</w:t>
              <w:br/>
              <w:t xml:space="preserve">      │         ├── train_on_periods.csv       # 连续活动行为阶段明细表 (含 min_w 最小极值监控)</w:t>
              <w:br/>
              <w:t xml:space="preserve">      │         ├── train_on_periods_daily.csv # 连续活动行为逐日统计表 (含静默非活动背景日)</w:t>
              <w:br/>
              <w:t xml:space="preserve">      │         └── temp_power_lut.csv         # 训练阶段对温等协变量的 20 桶分箱参考表 (LUT)</w:t>
              <w:br/>
              <w:t xml:space="preserve">      └── infers/                       # 【独立生产盲测推理与漂移监控产物分类体系】</w:t>
              <w:br/>
              <w:t xml:space="preserve">           └── &lt;user_id&gt;/</w:t>
              <w:br/>
              <w:t xml:space="preserve">                ├── predictions/</w:t>
              <w:br/>
              <w:t xml:space="preserve">                │    └── inference_result.csv  # 生产盲测全周期多口径对齐横向比较表</w:t>
              <w:br/>
              <w:t xml:space="preserve">                ├── metrics/</w:t>
              <w:br/>
              <w:t xml:space="preserve">                │    ├── inference_metrics.csv       # 整体评估基础结果</w:t>
              <w:br/>
              <w:t xml:space="preserve">                │    ├── inference_daily_metrics.csv # [25列标准] 逐日综合评估与源表采样条数监控表</w:t>
              <w:br/>
              <w:t xml:space="preserve">                │    └── inference_comparison.csv    # 主预测与各基线算法横向汇总表</w:t>
              <w:br/>
              <w:t xml:space="preserve">                ├── infer_on_periods.csv             # 推测验证段级行为明细表</w:t>
              <w:br/>
              <w:t xml:space="preserve">                ├── infer_on_periods_daily.csv       # 推测验证日级行为卡片</w:t>
              <w:br/>
              <w:t xml:space="preserve">                └── inference_temp_power_actual_vs_expected.csv # 协变量漂移比对与风险指示表</w:t>
            </w:r>
          </w:p>
        </w:tc>
      </w:tr>
    </w:tbl>
    <w:p>
      <w:pPr>
        <w:spacing w:after="120"/>
      </w:pPr>
    </w:p>
    <w:p>
      <w:pPr>
        <w:keepNext/>
        <w:spacing w:before="280" w:after="120"/>
      </w:pPr>
      <w:r>
        <w:rPr>
          <w:rFonts w:ascii="Calibri" w:hAnsi="Calibri" w:eastAsia="微软雅黑"/>
          <w:b/>
          <w:color w:val="2B547E"/>
          <w:sz w:val="27"/>
        </w:rPr>
        <w:t>3.2 模型层持久化资产包详解 (models/&lt;user_id&gt;/)</w:t>
      </w:r>
    </w:p>
    <w:p>
      <w:pPr>
        <w:spacing w:after="120" w:line="300" w:lineRule="auto"/>
      </w:pPr>
      <w:r>
        <w:rPr>
          <w:rFonts w:ascii="Calibri" w:hAnsi="Calibri" w:eastAsia="微软雅黑"/>
          <w:b/>
          <w:color w:val="222222"/>
          <w:sz w:val="21"/>
        </w:rPr>
        <w:t>【持久包规格说明】：</w:t>
      </w:r>
      <w:r>
        <w:rPr>
          <w:rFonts w:ascii="Calibri" w:hAnsi="Calibri" w:eastAsia="微软雅黑"/>
          <w:color w:val="333333"/>
          <w:sz w:val="21"/>
        </w:rPr>
        <w:t>• model_bundle.pkl：统一持久化的字典大包，包含自适应数据标准化器 (scaler)、季节判别常数、通用分类与回归算法句柄及调准后处理学习模型。</w:t>
        <w:br/>
        <w:t>• baseline_model.pkl (如 rf_model.pkl)：对应训练的独立对照参考算法句柄，为检查主建模逻辑是否带来合理的复杂度效益比提供对照点。</w:t>
        <w:br/>
        <w:t>• split_dates_bundle.json：精准把每次随机划分入训练、验证、测试分区的自然日字符串列表进行持久化存储。不仅供其他脚本作同切划分零偏差还原，更是推理侧进行数据泄漏区 (leakage) 识别和盲测分离的关键基标。</w:t>
        <w:br/>
        <w:t>• weather_cache/：把网络请求得来的协变量序列直接缓存本地，使下一轮训练无任何外部数据下载等待。</w:t>
      </w:r>
    </w:p>
    <w:p>
      <w:pPr>
        <w:keepNext/>
        <w:spacing w:before="280" w:after="120"/>
      </w:pPr>
      <w:r>
        <w:rPr>
          <w:rFonts w:ascii="Calibri" w:hAnsi="Calibri" w:eastAsia="微软雅黑"/>
          <w:b/>
          <w:color w:val="2B547E"/>
          <w:sz w:val="27"/>
        </w:rPr>
        <w:t>3.3 训练与离线评估全部分切集预测表规范 (train/val/test_pred*.csv)</w:t>
      </w:r>
    </w:p>
    <w:p>
      <w:pPr>
        <w:spacing w:after="120" w:line="300" w:lineRule="auto"/>
      </w:pPr>
      <w:r>
        <w:rPr>
          <w:rFonts w:ascii="Calibri" w:hAnsi="Calibri" w:eastAsia="微软雅黑"/>
          <w:b/>
          <w:color w:val="222222"/>
          <w:sz w:val="21"/>
        </w:rPr>
        <w:t>【6 大切分预测明细表】：</w:t>
      </w:r>
      <w:r>
        <w:rPr>
          <w:rFonts w:ascii="Calibri" w:hAnsi="Calibri" w:eastAsia="微软雅黑"/>
          <w:color w:val="333333"/>
          <w:sz w:val="21"/>
        </w:rPr>
        <w:t>为确保在离线实验与工程验收中，对每一个划分数据区的残差分布及模型过拟合表现拥有标准的数据可追溯手段，系统对**主预测流程 (main)** 和**对照算法模型 (如 Baseline RF)** 均各自自动生成 3 份分区预测表，统一存放于 artifacts/trains/&lt;user_id&gt;/ 下：</w:t>
      </w:r>
    </w:p>
    <w:p>
      <w:pPr>
        <w:spacing w:after="120" w:line="300" w:lineRule="auto"/>
      </w:pPr>
      <w:r>
        <w:rPr>
          <w:rFonts w:ascii="Calibri" w:hAnsi="Calibri" w:eastAsia="微软雅黑"/>
          <w:color w:val="333333"/>
          <w:sz w:val="21"/>
        </w:rPr>
        <w:t>1. train_pred.csv / val_pred.csv / test_pred.csv：保存主流程算法在对应训练集、验证集与测试集上的逐点估计值、响应态及残差序列；为支持在测试展示上进行直观校验，test_pred.csv 最右侧还会自动增补经加性校正补偿后的 2 列终态 (y_pred_W_main_L4_calib 和 residual_W_main_L4_calib)。</w:t>
        <w:br/>
        <w:t>2. train_pred_rf.csv / val_pred_rf.csv / test_pred_rf.csv：在同样的时间戳和样本划分边界下，对照组参考模型计算产生的逐点估值和残差，构成了不受调参偏度影响的标准刻度线。</w:t>
      </w:r>
    </w:p>
    <w:p>
      <w:pPr>
        <w:spacing w:after="120" w:line="300" w:lineRule="auto"/>
      </w:pPr>
      <w:r>
        <w:rPr>
          <w:rFonts w:ascii="Calibri" w:hAnsi="Calibri" w:eastAsia="微软雅黑"/>
          <w:b/>
          <w:color w:val="222222"/>
          <w:sz w:val="21"/>
        </w:rPr>
        <w:t>【全部分区集预测表字典】：</w:t>
      </w:r>
      <w:r>
        <w:rPr>
          <w:rFonts w:ascii="Calibri" w:hAnsi="Calibri" w:eastAsia="微软雅黑"/>
          <w:color w:val="333333"/>
          <w:sz w:val="21"/>
        </w:rPr>
        <w:t>该 6 大预测文件的通用标准化列结构规范表述如下：</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2B547E"/>
            <w:tcMar>
              <w:top w:w="120" w:type="dxa"/>
              <w:bottom w:w="120" w:type="dxa"/>
              <w:left w:w="100" w:type="dxa"/>
              <w:right w:w="100" w:type="dxa"/>
            </w:tcMar>
          </w:tcPr>
          <w:p>
            <w:pPr>
              <w:jc w:val="center"/>
            </w:pPr>
            <w:r/>
            <w:r>
              <w:rPr>
                <w:rFonts w:ascii="Calibri" w:hAnsi="Calibri" w:eastAsia="微软雅黑"/>
                <w:b/>
                <w:color w:val="FFFFFF"/>
                <w:sz w:val="20"/>
              </w:rPr>
              <w:t>字段名称</w:t>
            </w:r>
          </w:p>
        </w:tc>
        <w:tc>
          <w:tcPr>
            <w:tcW w:type="dxa" w:w="1584"/>
            <w:shd w:fill="2B547E"/>
            <w:tcMar>
              <w:top w:w="120" w:type="dxa"/>
              <w:bottom w:w="120" w:type="dxa"/>
              <w:left w:w="100" w:type="dxa"/>
              <w:right w:w="100" w:type="dxa"/>
            </w:tcMar>
          </w:tcPr>
          <w:p>
            <w:pPr>
              <w:jc w:val="center"/>
            </w:pPr>
            <w:r/>
            <w:r>
              <w:rPr>
                <w:rFonts w:ascii="Calibri" w:hAnsi="Calibri" w:eastAsia="微软雅黑"/>
                <w:b/>
                <w:color w:val="FFFFFF"/>
                <w:sz w:val="20"/>
              </w:rPr>
              <w:t>数据类型</w:t>
            </w:r>
          </w:p>
        </w:tc>
        <w:tc>
          <w:tcPr>
            <w:tcW w:type="dxa" w:w="1872"/>
            <w:shd w:fill="2B547E"/>
            <w:tcMar>
              <w:top w:w="120" w:type="dxa"/>
              <w:bottom w:w="120" w:type="dxa"/>
              <w:left w:w="100" w:type="dxa"/>
              <w:right w:w="100" w:type="dxa"/>
            </w:tcMar>
          </w:tcPr>
          <w:p>
            <w:pPr>
              <w:jc w:val="center"/>
            </w:pPr>
            <w:r/>
            <w:r>
              <w:rPr>
                <w:rFonts w:ascii="Calibri" w:hAnsi="Calibri" w:eastAsia="微软雅黑"/>
                <w:b/>
                <w:color w:val="FFFFFF"/>
                <w:sz w:val="20"/>
              </w:rPr>
              <w:t>所属列属性</w:t>
            </w:r>
          </w:p>
        </w:tc>
        <w:tc>
          <w:tcPr>
            <w:tcW w:type="dxa" w:w="3744"/>
            <w:shd w:fill="2B547E"/>
            <w:tcMar>
              <w:top w:w="120" w:type="dxa"/>
              <w:bottom w:w="120" w:type="dxa"/>
              <w:left w:w="100" w:type="dxa"/>
              <w:right w:w="100" w:type="dxa"/>
            </w:tcMar>
          </w:tcPr>
          <w:p>
            <w:pPr>
              <w:jc w:val="center"/>
            </w:pPr>
            <w:r/>
            <w:r>
              <w:rPr>
                <w:rFonts w:ascii="Calibri" w:hAnsi="Calibri" w:eastAsia="微软雅黑"/>
                <w:b/>
                <w:color w:val="FFFFFF"/>
                <w:sz w:val="20"/>
              </w:rPr>
              <w:t>业务含义与通用架构规则</w:t>
            </w:r>
          </w:p>
        </w:tc>
      </w:tr>
      <w:tr>
        <w:tc>
          <w:tcPr>
            <w:tcW w:type="dxa" w:w="2160"/>
            <w:shd w:fill="FFFFFF"/>
            <w:tcMar>
              <w:top w:w="80" w:type="dxa"/>
              <w:bottom w:w="80" w:type="dxa"/>
              <w:left w:w="100" w:type="dxa"/>
              <w:right w:w="100" w:type="dxa"/>
            </w:tcMar>
          </w:tcPr>
          <w:p>
            <w:pPr>
              <w:jc w:val="left"/>
            </w:pPr>
            <w:r/>
            <w:r>
              <w:rPr>
                <w:rFonts w:ascii="Calibri" w:hAnsi="Calibri" w:eastAsia="微软雅黑"/>
                <w:color w:val="222222"/>
                <w:sz w:val="19"/>
              </w:rPr>
              <w:t>time</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ISO String</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必备列</w:t>
            </w:r>
          </w:p>
        </w:tc>
        <w:tc>
          <w:tcPr>
            <w:tcW w:type="dxa" w:w="3744"/>
            <w:shd w:fill="FFFFFF"/>
            <w:tcMar>
              <w:top w:w="80" w:type="dxa"/>
              <w:bottom w:w="80" w:type="dxa"/>
              <w:left w:w="100" w:type="dxa"/>
              <w:right w:w="100" w:type="dxa"/>
            </w:tcMar>
          </w:tcPr>
          <w:p>
            <w:pPr>
              <w:jc w:val="left"/>
            </w:pPr>
            <w:r/>
            <w:r>
              <w:rPr>
                <w:rFonts w:ascii="Calibri" w:hAnsi="Calibri" w:eastAsia="微软雅黑"/>
                <w:color w:val="222222"/>
                <w:sz w:val="19"/>
              </w:rPr>
              <w:t>重采样对齐后 15 分钟等距的标准时序主键 (yyyy-MM-dd HH:MM:SS)</w:t>
            </w:r>
          </w:p>
        </w:tc>
      </w:tr>
      <w:tr>
        <w:tc>
          <w:tcPr>
            <w:tcW w:type="dxa" w:w="2160"/>
            <w:shd w:fill="F7F9FB"/>
            <w:tcMar>
              <w:top w:w="80" w:type="dxa"/>
              <w:bottom w:w="80" w:type="dxa"/>
              <w:left w:w="100" w:type="dxa"/>
              <w:right w:w="100" w:type="dxa"/>
            </w:tcMar>
          </w:tcPr>
          <w:p>
            <w:pPr>
              <w:jc w:val="left"/>
            </w:pPr>
            <w:r/>
            <w:r>
              <w:rPr>
                <w:rFonts w:ascii="Calibri" w:hAnsi="Calibri" w:eastAsia="微软雅黑"/>
                <w:color w:val="222222"/>
                <w:sz w:val="19"/>
              </w:rPr>
              <w:t>y_true_W</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必备列</w:t>
            </w:r>
          </w:p>
        </w:tc>
        <w:tc>
          <w:tcPr>
            <w:tcW w:type="dxa" w:w="3744"/>
            <w:shd w:fill="F7F9FB"/>
            <w:tcMar>
              <w:top w:w="80" w:type="dxa"/>
              <w:bottom w:w="80" w:type="dxa"/>
              <w:left w:w="100" w:type="dxa"/>
              <w:right w:w="100" w:type="dxa"/>
            </w:tcMar>
          </w:tcPr>
          <w:p>
            <w:pPr>
              <w:jc w:val="left"/>
            </w:pPr>
            <w:r/>
            <w:r>
              <w:rPr>
                <w:rFonts w:ascii="Calibri" w:hAnsi="Calibri" w:eastAsia="微软雅黑"/>
                <w:color w:val="222222"/>
                <w:sz w:val="19"/>
              </w:rPr>
              <w:t>系统真值输入中给定的原始真实目标标量 (W)，保留 3 位小数</w:t>
            </w:r>
          </w:p>
        </w:tc>
      </w:tr>
      <w:tr>
        <w:tc>
          <w:tcPr>
            <w:tcW w:type="dxa" w:w="2160"/>
            <w:shd w:fill="FFFFFF"/>
            <w:tcMar>
              <w:top w:w="80" w:type="dxa"/>
              <w:bottom w:w="80" w:type="dxa"/>
              <w:left w:w="100" w:type="dxa"/>
              <w:right w:w="100" w:type="dxa"/>
            </w:tcMar>
          </w:tcPr>
          <w:p>
            <w:pPr>
              <w:jc w:val="left"/>
            </w:pPr>
            <w:r/>
            <w:r>
              <w:rPr>
                <w:rFonts w:ascii="Calibri" w:hAnsi="Calibri" w:eastAsia="微软雅黑"/>
                <w:color w:val="222222"/>
                <w:sz w:val="19"/>
              </w:rPr>
              <w:t>y_pred_W</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必备列</w:t>
            </w:r>
          </w:p>
        </w:tc>
        <w:tc>
          <w:tcPr>
            <w:tcW w:type="dxa" w:w="3744"/>
            <w:shd w:fill="FFFFFF"/>
            <w:tcMar>
              <w:top w:w="80" w:type="dxa"/>
              <w:bottom w:w="80" w:type="dxa"/>
              <w:left w:w="100" w:type="dxa"/>
              <w:right w:w="100" w:type="dxa"/>
            </w:tcMar>
          </w:tcPr>
          <w:p>
            <w:pPr>
              <w:jc w:val="left"/>
            </w:pPr>
            <w:r/>
            <w:r>
              <w:rPr>
                <w:rFonts w:ascii="Calibri" w:hAnsi="Calibri" w:eastAsia="微软雅黑"/>
                <w:color w:val="222222"/>
                <w:sz w:val="19"/>
              </w:rPr>
              <w:t>对应工作流算法在特定分区集上计算得出的预测有效估计值 (W)</w:t>
            </w:r>
          </w:p>
        </w:tc>
      </w:tr>
      <w:tr>
        <w:tc>
          <w:tcPr>
            <w:tcW w:type="dxa" w:w="2160"/>
            <w:shd w:fill="F7F9FB"/>
            <w:tcMar>
              <w:top w:w="80" w:type="dxa"/>
              <w:bottom w:w="80" w:type="dxa"/>
              <w:left w:w="100" w:type="dxa"/>
              <w:right w:w="100" w:type="dxa"/>
            </w:tcMar>
          </w:tcPr>
          <w:p>
            <w:pPr>
              <w:jc w:val="left"/>
            </w:pPr>
            <w:r/>
            <w:r>
              <w:rPr>
                <w:rFonts w:ascii="Calibri" w:hAnsi="Calibri" w:eastAsia="微软雅黑"/>
                <w:color w:val="222222"/>
                <w:sz w:val="19"/>
              </w:rPr>
              <w:t>residual_W</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必备列</w:t>
            </w:r>
          </w:p>
        </w:tc>
        <w:tc>
          <w:tcPr>
            <w:tcW w:type="dxa" w:w="3744"/>
            <w:shd w:fill="F7F9FB"/>
            <w:tcMar>
              <w:top w:w="80" w:type="dxa"/>
              <w:bottom w:w="80" w:type="dxa"/>
              <w:left w:w="100" w:type="dxa"/>
              <w:right w:w="100" w:type="dxa"/>
            </w:tcMar>
          </w:tcPr>
          <w:p>
            <w:pPr>
              <w:jc w:val="left"/>
            </w:pPr>
            <w:r/>
            <w:r>
              <w:rPr>
                <w:rFonts w:ascii="Calibri" w:hAnsi="Calibri" w:eastAsia="微软雅黑"/>
                <w:color w:val="222222"/>
                <w:sz w:val="19"/>
              </w:rPr>
              <w:t>模型当前估算相对客观标准值的绝对差 (y_pred_W - y_true_W)</w:t>
            </w:r>
          </w:p>
        </w:tc>
      </w:tr>
      <w:tr>
        <w:tc>
          <w:tcPr>
            <w:tcW w:type="dxa" w:w="2160"/>
            <w:shd w:fill="FFFFFF"/>
            <w:tcMar>
              <w:top w:w="80" w:type="dxa"/>
              <w:bottom w:w="80" w:type="dxa"/>
              <w:left w:w="100" w:type="dxa"/>
              <w:right w:w="100" w:type="dxa"/>
            </w:tcMar>
          </w:tcPr>
          <w:p>
            <w:pPr>
              <w:jc w:val="left"/>
            </w:pPr>
            <w:r/>
            <w:r>
              <w:rPr>
                <w:rFonts w:ascii="Calibri" w:hAnsi="Calibri" w:eastAsia="微软雅黑"/>
                <w:color w:val="222222"/>
                <w:sz w:val="19"/>
              </w:rPr>
              <w:t>state_true</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Int (0/1)</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附加列</w:t>
            </w:r>
          </w:p>
        </w:tc>
        <w:tc>
          <w:tcPr>
            <w:tcW w:type="dxa" w:w="3744"/>
            <w:shd w:fill="FFFFFF"/>
            <w:tcMar>
              <w:top w:w="80" w:type="dxa"/>
              <w:bottom w:w="80" w:type="dxa"/>
              <w:left w:w="100" w:type="dxa"/>
              <w:right w:w="100" w:type="dxa"/>
            </w:tcMar>
          </w:tcPr>
          <w:p>
            <w:pPr>
              <w:jc w:val="left"/>
            </w:pPr>
            <w:r/>
            <w:r>
              <w:rPr>
                <w:rFonts w:ascii="Calibri" w:hAnsi="Calibri" w:eastAsia="微软雅黑"/>
                <w:color w:val="222222"/>
                <w:sz w:val="19"/>
              </w:rPr>
              <w:t>以业务判定阈值为基础计算所得的事件运行状态标识 (Active State)</w:t>
            </w:r>
          </w:p>
        </w:tc>
      </w:tr>
      <w:tr>
        <w:tc>
          <w:tcPr>
            <w:tcW w:type="dxa" w:w="2160"/>
            <w:shd w:fill="F7F9FB"/>
            <w:tcMar>
              <w:top w:w="80" w:type="dxa"/>
              <w:bottom w:w="80" w:type="dxa"/>
              <w:left w:w="100" w:type="dxa"/>
              <w:right w:w="100" w:type="dxa"/>
            </w:tcMar>
          </w:tcPr>
          <w:p>
            <w:pPr>
              <w:jc w:val="left"/>
            </w:pPr>
            <w:r/>
            <w:r>
              <w:rPr>
                <w:rFonts w:ascii="Calibri" w:hAnsi="Calibri" w:eastAsia="微软雅黑"/>
                <w:color w:val="222222"/>
                <w:sz w:val="19"/>
              </w:rPr>
              <w:t>state_pred</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Int (0/1)</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附加列</w:t>
            </w:r>
          </w:p>
        </w:tc>
        <w:tc>
          <w:tcPr>
            <w:tcW w:type="dxa" w:w="3744"/>
            <w:shd w:fill="F7F9FB"/>
            <w:tcMar>
              <w:top w:w="80" w:type="dxa"/>
              <w:bottom w:w="80" w:type="dxa"/>
              <w:left w:w="100" w:type="dxa"/>
              <w:right w:w="100" w:type="dxa"/>
            </w:tcMar>
          </w:tcPr>
          <w:p>
            <w:pPr>
              <w:jc w:val="left"/>
            </w:pPr>
            <w:r/>
            <w:r>
              <w:rPr>
                <w:rFonts w:ascii="Calibri" w:hAnsi="Calibri" w:eastAsia="微软雅黑"/>
                <w:color w:val="222222"/>
                <w:sz w:val="19"/>
              </w:rPr>
              <w:t>预测模块针对该时刻目标是否处于工作激发状态的 0/1 判定结果</w:t>
            </w:r>
          </w:p>
        </w:tc>
      </w:tr>
      <w:tr>
        <w:tc>
          <w:tcPr>
            <w:tcW w:type="dxa" w:w="2160"/>
            <w:shd w:fill="FFFFFF"/>
            <w:tcMar>
              <w:top w:w="80" w:type="dxa"/>
              <w:bottom w:w="80" w:type="dxa"/>
              <w:left w:w="100" w:type="dxa"/>
              <w:right w:w="100" w:type="dxa"/>
            </w:tcMar>
          </w:tcPr>
          <w:p>
            <w:pPr>
              <w:jc w:val="left"/>
            </w:pPr>
            <w:r/>
            <w:r>
              <w:rPr>
                <w:rFonts w:ascii="Calibri" w:hAnsi="Calibri" w:eastAsia="微软雅黑"/>
                <w:color w:val="222222"/>
                <w:sz w:val="19"/>
              </w:rPr>
              <w:t>p_on</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 (0~1)</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附加列</w:t>
            </w:r>
          </w:p>
        </w:tc>
        <w:tc>
          <w:tcPr>
            <w:tcW w:type="dxa" w:w="3744"/>
            <w:shd w:fill="FFFFFF"/>
            <w:tcMar>
              <w:top w:w="80" w:type="dxa"/>
              <w:bottom w:w="80" w:type="dxa"/>
              <w:left w:w="100" w:type="dxa"/>
              <w:right w:w="100" w:type="dxa"/>
            </w:tcMar>
          </w:tcPr>
          <w:p>
            <w:pPr>
              <w:jc w:val="left"/>
            </w:pPr>
            <w:r/>
            <w:r>
              <w:rPr>
                <w:rFonts w:ascii="Calibri" w:hAnsi="Calibri" w:eastAsia="微软雅黑"/>
                <w:color w:val="222222"/>
                <w:sz w:val="19"/>
              </w:rPr>
              <w:t>分类引擎计算出的被预测对象位于启用态的数学概率评分</w:t>
            </w:r>
          </w:p>
        </w:tc>
      </w:tr>
      <w:tr>
        <w:tc>
          <w:tcPr>
            <w:tcW w:type="dxa" w:w="2160"/>
            <w:shd w:fill="F7F9FB"/>
            <w:tcMar>
              <w:top w:w="80" w:type="dxa"/>
              <w:bottom w:w="80" w:type="dxa"/>
              <w:left w:w="100" w:type="dxa"/>
              <w:right w:w="100" w:type="dxa"/>
            </w:tcMar>
          </w:tcPr>
          <w:p>
            <w:pPr>
              <w:jc w:val="left"/>
            </w:pPr>
            <w:r/>
            <w:r>
              <w:rPr>
                <w:rFonts w:ascii="Calibri" w:hAnsi="Calibri" w:eastAsia="微软雅黑"/>
                <w:color w:val="222222"/>
                <w:sz w:val="19"/>
              </w:rPr>
              <w:t>y_pred_low_W /</w:t>
              <w:br/>
              <w:t>y_pred_high_W</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附加列</w:t>
            </w:r>
          </w:p>
        </w:tc>
        <w:tc>
          <w:tcPr>
            <w:tcW w:type="dxa" w:w="3744"/>
            <w:shd w:fill="F7F9FB"/>
            <w:tcMar>
              <w:top w:w="80" w:type="dxa"/>
              <w:bottom w:w="80" w:type="dxa"/>
              <w:left w:w="100" w:type="dxa"/>
              <w:right w:w="100" w:type="dxa"/>
            </w:tcMar>
          </w:tcPr>
          <w:p>
            <w:pPr>
              <w:jc w:val="left"/>
            </w:pPr>
            <w:r/>
            <w:r>
              <w:rPr>
                <w:rFonts w:ascii="Calibri" w:hAnsi="Calibri" w:eastAsia="微软雅黑"/>
                <w:color w:val="222222"/>
                <w:sz w:val="19"/>
              </w:rPr>
              <w:t>当启用连续区间建模时产出的分布区间估测下限值与上界极限值</w:t>
            </w:r>
          </w:p>
        </w:tc>
      </w:tr>
      <w:tr>
        <w:tc>
          <w:tcPr>
            <w:tcW w:type="dxa" w:w="2160"/>
            <w:shd w:fill="FFFFFF"/>
            <w:tcMar>
              <w:top w:w="80" w:type="dxa"/>
              <w:bottom w:w="80" w:type="dxa"/>
              <w:left w:w="100" w:type="dxa"/>
              <w:right w:w="100" w:type="dxa"/>
            </w:tcMar>
          </w:tcPr>
          <w:p>
            <w:pPr>
              <w:jc w:val="left"/>
            </w:pPr>
            <w:r/>
            <w:r>
              <w:rPr>
                <w:rFonts w:ascii="Calibri" w:hAnsi="Calibri" w:eastAsia="微软雅黑"/>
                <w:color w:val="222222"/>
                <w:sz w:val="19"/>
              </w:rPr>
              <w:t>y_pred_W_main_L4_calib /</w:t>
              <w:br/>
              <w:t>residual_W_main_L4_calib</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仅在 test_pred.csv</w:t>
              <w:br/>
              <w:t>中专属扩展</w:t>
            </w:r>
          </w:p>
        </w:tc>
        <w:tc>
          <w:tcPr>
            <w:tcW w:type="dxa" w:w="3744"/>
            <w:shd w:fill="FFFFFF"/>
            <w:tcMar>
              <w:top w:w="80" w:type="dxa"/>
              <w:bottom w:w="80" w:type="dxa"/>
              <w:left w:w="100" w:type="dxa"/>
              <w:right w:w="100" w:type="dxa"/>
            </w:tcMar>
          </w:tcPr>
          <w:p>
            <w:pPr>
              <w:jc w:val="left"/>
            </w:pPr>
            <w:r/>
            <w:r>
              <w:rPr>
                <w:rFonts w:ascii="Calibri" w:hAnsi="Calibri" w:eastAsia="微软雅黑"/>
                <w:color w:val="222222"/>
                <w:sz w:val="19"/>
              </w:rPr>
              <w:t>叠加后处理加性补偿层修整后输出的独立优化预测值及优化后绝对残差</w:t>
            </w:r>
          </w:p>
        </w:tc>
      </w:tr>
    </w:tbl>
    <w:p>
      <w:pPr>
        <w:spacing w:after="160"/>
      </w:pPr>
    </w:p>
    <w:p>
      <w:pPr>
        <w:keepNext/>
        <w:spacing w:before="280" w:after="120"/>
      </w:pPr>
      <w:r>
        <w:rPr>
          <w:rFonts w:ascii="Calibri" w:hAnsi="Calibri" w:eastAsia="微软雅黑"/>
          <w:b/>
          <w:color w:val="2B547E"/>
          <w:sz w:val="27"/>
        </w:rPr>
        <w:t>3.4 独立生产推理阶段对齐评估表规范 (predictions/inference_result.csv)</w:t>
      </w:r>
    </w:p>
    <w:p>
      <w:pPr>
        <w:spacing w:after="120" w:line="300" w:lineRule="auto"/>
      </w:pPr>
      <w:r>
        <w:rPr>
          <w:rFonts w:ascii="Calibri" w:hAnsi="Calibri" w:eastAsia="微软雅黑"/>
          <w:b/>
          <w:color w:val="222222"/>
          <w:sz w:val="21"/>
        </w:rPr>
        <w:t>【独立生产盲测输出字典】：</w:t>
      </w:r>
      <w:r>
        <w:rPr>
          <w:rFonts w:ascii="Calibri" w:hAnsi="Calibri" w:eastAsia="微软雅黑"/>
          <w:color w:val="333333"/>
          <w:sz w:val="21"/>
        </w:rPr>
        <w:t>针对在线应用或真正未知标签的生产盲测场景。该表格以高统一宽表形式把主推导逻辑下的三层处理结果与各对照基准合并：</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04"/>
            <w:shd w:fill="2B547E"/>
            <w:tcMar>
              <w:top w:w="120" w:type="dxa"/>
              <w:bottom w:w="120" w:type="dxa"/>
              <w:left w:w="100" w:type="dxa"/>
              <w:right w:w="100" w:type="dxa"/>
            </w:tcMar>
          </w:tcPr>
          <w:p>
            <w:pPr>
              <w:jc w:val="center"/>
            </w:pPr>
            <w:r/>
            <w:r>
              <w:rPr>
                <w:rFonts w:ascii="Calibri" w:hAnsi="Calibri" w:eastAsia="微软雅黑"/>
                <w:b/>
                <w:color w:val="FFFFFF"/>
                <w:sz w:val="20"/>
              </w:rPr>
              <w:t>列名字段</w:t>
            </w:r>
          </w:p>
        </w:tc>
        <w:tc>
          <w:tcPr>
            <w:tcW w:type="dxa" w:w="1584"/>
            <w:shd w:fill="2B547E"/>
            <w:tcMar>
              <w:top w:w="120" w:type="dxa"/>
              <w:bottom w:w="120" w:type="dxa"/>
              <w:left w:w="100" w:type="dxa"/>
              <w:right w:w="100" w:type="dxa"/>
            </w:tcMar>
          </w:tcPr>
          <w:p>
            <w:pPr>
              <w:jc w:val="center"/>
            </w:pPr>
            <w:r/>
            <w:r>
              <w:rPr>
                <w:rFonts w:ascii="Calibri" w:hAnsi="Calibri" w:eastAsia="微软雅黑"/>
                <w:b/>
                <w:color w:val="FFFFFF"/>
                <w:sz w:val="20"/>
              </w:rPr>
              <w:t>数据类型</w:t>
            </w:r>
          </w:p>
        </w:tc>
        <w:tc>
          <w:tcPr>
            <w:tcW w:type="dxa" w:w="1872"/>
            <w:shd w:fill="2B547E"/>
            <w:tcMar>
              <w:top w:w="120" w:type="dxa"/>
              <w:bottom w:w="120" w:type="dxa"/>
              <w:left w:w="100" w:type="dxa"/>
              <w:right w:w="100" w:type="dxa"/>
            </w:tcMar>
          </w:tcPr>
          <w:p>
            <w:pPr>
              <w:jc w:val="center"/>
            </w:pPr>
            <w:r/>
            <w:r>
              <w:rPr>
                <w:rFonts w:ascii="Calibri" w:hAnsi="Calibri" w:eastAsia="微软雅黑"/>
                <w:b/>
                <w:color w:val="FFFFFF"/>
                <w:sz w:val="20"/>
              </w:rPr>
              <w:t>逻辑所属分层</w:t>
            </w:r>
          </w:p>
        </w:tc>
        <w:tc>
          <w:tcPr>
            <w:tcW w:type="dxa" w:w="3600"/>
            <w:shd w:fill="2B547E"/>
            <w:tcMar>
              <w:top w:w="120" w:type="dxa"/>
              <w:bottom w:w="120" w:type="dxa"/>
              <w:left w:w="100" w:type="dxa"/>
              <w:right w:w="100" w:type="dxa"/>
            </w:tcMar>
          </w:tcPr>
          <w:p>
            <w:pPr>
              <w:jc w:val="center"/>
            </w:pPr>
            <w:r/>
            <w:r>
              <w:rPr>
                <w:rFonts w:ascii="Calibri" w:hAnsi="Calibri" w:eastAsia="微软雅黑"/>
                <w:b/>
                <w:color w:val="FFFFFF"/>
                <w:sz w:val="20"/>
              </w:rPr>
              <w:t>通用说明与技术解读</w:t>
            </w:r>
          </w:p>
        </w:tc>
      </w:tr>
      <w:tr>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time / event_time</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ISO String</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基底主键</w:t>
            </w:r>
          </w:p>
        </w:tc>
        <w:tc>
          <w:tcPr>
            <w:tcW w:type="dxa" w:w="3600"/>
            <w:shd w:fill="FFFFFF"/>
            <w:tcMar>
              <w:top w:w="80" w:type="dxa"/>
              <w:bottom w:w="80" w:type="dxa"/>
              <w:left w:w="100" w:type="dxa"/>
              <w:right w:w="100" w:type="dxa"/>
            </w:tcMar>
          </w:tcPr>
          <w:p>
            <w:pPr>
              <w:jc w:val="left"/>
            </w:pPr>
            <w:r/>
            <w:r>
              <w:rPr>
                <w:rFonts w:ascii="Calibri" w:hAnsi="Calibri" w:eastAsia="微软雅黑"/>
                <w:color w:val="222222"/>
                <w:sz w:val="19"/>
              </w:rPr>
              <w:t>ISO 统一时序等差时间主键</w:t>
            </w:r>
          </w:p>
        </w:tc>
      </w:tr>
      <w:tr>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y_true</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标尺对照</w:t>
            </w:r>
          </w:p>
        </w:tc>
        <w:tc>
          <w:tcPr>
            <w:tcW w:type="dxa" w:w="3600"/>
            <w:shd w:fill="F7F9FB"/>
            <w:tcMar>
              <w:top w:w="80" w:type="dxa"/>
              <w:bottom w:w="80" w:type="dxa"/>
              <w:left w:w="100" w:type="dxa"/>
              <w:right w:w="100" w:type="dxa"/>
            </w:tcMar>
          </w:tcPr>
          <w:p>
            <w:pPr>
              <w:jc w:val="left"/>
            </w:pPr>
            <w:r/>
            <w:r>
              <w:rPr>
                <w:rFonts w:ascii="Calibri" w:hAnsi="Calibri" w:eastAsia="微软雅黑"/>
                <w:color w:val="222222"/>
                <w:sz w:val="19"/>
              </w:rPr>
              <w:t>物理标定真实值（纯线上未标记独立盲测推断场景下可自动缺省）</w:t>
            </w:r>
          </w:p>
        </w:tc>
      </w:tr>
      <w:tr>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y_pred_W_main</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正式终态输出</w:t>
            </w:r>
          </w:p>
        </w:tc>
        <w:tc>
          <w:tcPr>
            <w:tcW w:type="dxa" w:w="3600"/>
            <w:shd w:fill="FFFFFF"/>
            <w:tcMar>
              <w:top w:w="80" w:type="dxa"/>
              <w:bottom w:w="80" w:type="dxa"/>
              <w:left w:w="100" w:type="dxa"/>
              <w:right w:w="100" w:type="dxa"/>
            </w:tcMar>
          </w:tcPr>
          <w:p>
            <w:pPr>
              <w:jc w:val="left"/>
            </w:pPr>
            <w:r/>
            <w:r>
              <w:rPr>
                <w:rFonts w:ascii="Calibri" w:hAnsi="Calibri" w:eastAsia="微软雅黑"/>
                <w:color w:val="222222"/>
                <w:sz w:val="19"/>
              </w:rPr>
              <w:t>经过回归推导、残差加性校正与动态多阶段平衡调整后的业务正式对外结果</w:t>
            </w:r>
          </w:p>
        </w:tc>
      </w:tr>
      <w:tr>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y_pred_W_main_raw</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基础推演口径</w:t>
            </w:r>
          </w:p>
        </w:tc>
        <w:tc>
          <w:tcPr>
            <w:tcW w:type="dxa" w:w="3600"/>
            <w:shd w:fill="F7F9FB"/>
            <w:tcMar>
              <w:top w:w="80" w:type="dxa"/>
              <w:bottom w:w="80" w:type="dxa"/>
              <w:left w:w="100" w:type="dxa"/>
              <w:right w:w="100" w:type="dxa"/>
            </w:tcMar>
          </w:tcPr>
          <w:p>
            <w:pPr>
              <w:jc w:val="left"/>
            </w:pPr>
            <w:r/>
            <w:r>
              <w:rPr>
                <w:rFonts w:ascii="Calibri" w:hAnsi="Calibri" w:eastAsia="微软雅黑"/>
                <w:color w:val="222222"/>
                <w:sz w:val="19"/>
              </w:rPr>
              <w:t>未做残差回归补偿且未参与后期切换策略调整的初始模型输出，保留参考</w:t>
            </w:r>
          </w:p>
        </w:tc>
      </w:tr>
      <w:tr>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y_pred_W_main_L4_calib</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残差验证口径</w:t>
            </w:r>
          </w:p>
        </w:tc>
        <w:tc>
          <w:tcPr>
            <w:tcW w:type="dxa" w:w="3600"/>
            <w:shd w:fill="FFFFFF"/>
            <w:tcMar>
              <w:top w:w="80" w:type="dxa"/>
              <w:bottom w:w="80" w:type="dxa"/>
              <w:left w:w="100" w:type="dxa"/>
              <w:right w:w="100" w:type="dxa"/>
            </w:tcMar>
          </w:tcPr>
          <w:p>
            <w:pPr>
              <w:jc w:val="left"/>
            </w:pPr>
            <w:r/>
            <w:r>
              <w:rPr>
                <w:rFonts w:ascii="Calibri" w:hAnsi="Calibri" w:eastAsia="微软雅黑"/>
                <w:color w:val="222222"/>
                <w:sz w:val="19"/>
              </w:rPr>
              <w:t>叠加后处理残差补偿层而未参与加权策略切换重置的单阶段优化成果</w:t>
            </w:r>
          </w:p>
        </w:tc>
      </w:tr>
      <w:tr>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state_pred_main / p_on_main</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Int(0/1) / 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分类判定</w:t>
            </w:r>
          </w:p>
        </w:tc>
        <w:tc>
          <w:tcPr>
            <w:tcW w:type="dxa" w:w="3600"/>
            <w:shd w:fill="F7F9FB"/>
            <w:tcMar>
              <w:top w:w="80" w:type="dxa"/>
              <w:bottom w:w="80" w:type="dxa"/>
              <w:left w:w="100" w:type="dxa"/>
              <w:right w:w="100" w:type="dxa"/>
            </w:tcMar>
          </w:tcPr>
          <w:p>
            <w:pPr>
              <w:jc w:val="left"/>
            </w:pPr>
            <w:r/>
            <w:r>
              <w:rPr>
                <w:rFonts w:ascii="Calibri" w:hAnsi="Calibri" w:eastAsia="微软雅黑"/>
                <w:color w:val="222222"/>
                <w:sz w:val="19"/>
              </w:rPr>
              <w:t>模型计算出的目标触发二值状态以及对应置信度概率分数</w:t>
            </w:r>
          </w:p>
        </w:tc>
      </w:tr>
      <w:tr>
        <w:tc>
          <w:tcPr>
            <w:tcW w:type="dxa" w:w="2304"/>
            <w:shd w:fill="FFFFFF"/>
            <w:tcMar>
              <w:top w:w="80" w:type="dxa"/>
              <w:bottom w:w="80" w:type="dxa"/>
              <w:left w:w="100" w:type="dxa"/>
              <w:right w:w="100" w:type="dxa"/>
            </w:tcMar>
          </w:tcPr>
          <w:p>
            <w:pPr>
              <w:jc w:val="left"/>
            </w:pPr>
            <w:r/>
            <w:r>
              <w:rPr>
                <w:rFonts w:ascii="Calibri" w:hAnsi="Calibri" w:eastAsia="微软雅黑"/>
                <w:color w:val="222222"/>
                <w:sz w:val="19"/>
              </w:rPr>
              <w:t>residual_W_main_raw /</w:t>
              <w:br/>
              <w:t>residual_W_main_L4_calib</w:t>
            </w:r>
          </w:p>
        </w:tc>
        <w:tc>
          <w:tcPr>
            <w:tcW w:type="dxa" w:w="1584"/>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FFFFF"/>
            <w:tcMar>
              <w:top w:w="80" w:type="dxa"/>
              <w:bottom w:w="80" w:type="dxa"/>
              <w:left w:w="100" w:type="dxa"/>
              <w:right w:w="100" w:type="dxa"/>
            </w:tcMar>
          </w:tcPr>
          <w:p>
            <w:pPr>
              <w:jc w:val="left"/>
            </w:pPr>
            <w:r/>
            <w:r>
              <w:rPr>
                <w:rFonts w:ascii="Calibri" w:hAnsi="Calibri" w:eastAsia="微软雅黑"/>
                <w:color w:val="222222"/>
                <w:sz w:val="19"/>
              </w:rPr>
              <w:t>残差对比列</w:t>
            </w:r>
          </w:p>
        </w:tc>
        <w:tc>
          <w:tcPr>
            <w:tcW w:type="dxa" w:w="3600"/>
            <w:shd w:fill="FFFFFF"/>
            <w:tcMar>
              <w:top w:w="80" w:type="dxa"/>
              <w:bottom w:w="80" w:type="dxa"/>
              <w:left w:w="100" w:type="dxa"/>
              <w:right w:w="100" w:type="dxa"/>
            </w:tcMar>
          </w:tcPr>
          <w:p>
            <w:pPr>
              <w:jc w:val="left"/>
            </w:pPr>
            <w:r/>
            <w:r>
              <w:rPr>
                <w:rFonts w:ascii="Calibri" w:hAnsi="Calibri" w:eastAsia="微软雅黑"/>
                <w:color w:val="222222"/>
                <w:sz w:val="19"/>
              </w:rPr>
              <w:t>提供基础版模型残差与经过加性校正后预测值的双向绝对误差走势</w:t>
            </w:r>
          </w:p>
        </w:tc>
      </w:tr>
      <w:tr>
        <w:tc>
          <w:tcPr>
            <w:tcW w:type="dxa" w:w="2304"/>
            <w:shd w:fill="F7F9FB"/>
            <w:tcMar>
              <w:top w:w="80" w:type="dxa"/>
              <w:bottom w:w="80" w:type="dxa"/>
              <w:left w:w="100" w:type="dxa"/>
              <w:right w:w="100" w:type="dxa"/>
            </w:tcMar>
          </w:tcPr>
          <w:p>
            <w:pPr>
              <w:jc w:val="left"/>
            </w:pPr>
            <w:r/>
            <w:r>
              <w:rPr>
                <w:rFonts w:ascii="Calibri" w:hAnsi="Calibri" w:eastAsia="微软雅黑"/>
                <w:color w:val="222222"/>
                <w:sz w:val="19"/>
              </w:rPr>
              <w:t>y_pred_W_rf ...</w:t>
            </w:r>
          </w:p>
        </w:tc>
        <w:tc>
          <w:tcPr>
            <w:tcW w:type="dxa" w:w="1584"/>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1872"/>
            <w:shd w:fill="F7F9FB"/>
            <w:tcMar>
              <w:top w:w="80" w:type="dxa"/>
              <w:bottom w:w="80" w:type="dxa"/>
              <w:left w:w="100" w:type="dxa"/>
              <w:right w:w="100" w:type="dxa"/>
            </w:tcMar>
          </w:tcPr>
          <w:p>
            <w:pPr>
              <w:jc w:val="left"/>
            </w:pPr>
            <w:r/>
            <w:r>
              <w:rPr>
                <w:rFonts w:ascii="Calibri" w:hAnsi="Calibri" w:eastAsia="微软雅黑"/>
                <w:color w:val="222222"/>
                <w:sz w:val="19"/>
              </w:rPr>
              <w:t>基线参照组</w:t>
            </w:r>
          </w:p>
        </w:tc>
        <w:tc>
          <w:tcPr>
            <w:tcW w:type="dxa" w:w="3600"/>
            <w:shd w:fill="F7F9FB"/>
            <w:tcMar>
              <w:top w:w="80" w:type="dxa"/>
              <w:bottom w:w="80" w:type="dxa"/>
              <w:left w:w="100" w:type="dxa"/>
              <w:right w:w="100" w:type="dxa"/>
            </w:tcMar>
          </w:tcPr>
          <w:p>
            <w:pPr>
              <w:jc w:val="left"/>
            </w:pPr>
            <w:r/>
            <w:r>
              <w:rPr>
                <w:rFonts w:ascii="Calibri" w:hAnsi="Calibri" w:eastAsia="微软雅黑"/>
                <w:color w:val="222222"/>
                <w:sz w:val="19"/>
              </w:rPr>
              <w:t>对照基线模型在相同时间点的参考输出列</w:t>
            </w:r>
          </w:p>
        </w:tc>
      </w:tr>
    </w:tbl>
    <w:p>
      <w:pPr>
        <w:spacing w:after="160"/>
      </w:pPr>
    </w:p>
    <w:p>
      <w:pPr>
        <w:keepNext/>
        <w:spacing w:before="280" w:after="120"/>
      </w:pPr>
      <w:r>
        <w:rPr>
          <w:rFonts w:ascii="Calibri" w:hAnsi="Calibri" w:eastAsia="微软雅黑"/>
          <w:b/>
          <w:color w:val="2B547E"/>
          <w:sz w:val="27"/>
        </w:rPr>
        <w:t>3.5 25 列逐日指标表与原始源数据采样条目监控表规范 (daily_metrics.csv)</w:t>
      </w:r>
    </w:p>
    <w:p>
      <w:pPr>
        <w:spacing w:after="120" w:line="300" w:lineRule="auto"/>
      </w:pPr>
      <w:r>
        <w:rPr>
          <w:rFonts w:ascii="Calibri" w:hAnsi="Calibri" w:eastAsia="微软雅黑"/>
          <w:b/>
          <w:color w:val="222222"/>
          <w:sz w:val="21"/>
        </w:rPr>
        <w:t>【25 列通用逐日审计表字典】：</w:t>
      </w:r>
      <w:r>
        <w:rPr>
          <w:rFonts w:ascii="Calibri" w:hAnsi="Calibri" w:eastAsia="微软雅黑"/>
          <w:color w:val="333333"/>
          <w:sz w:val="21"/>
        </w:rPr>
        <w:t>系统在离线与独立推理流程阶段生成 train_daily_metrics.csv 和 inference_daily_metrics.csv。本方案确立了 25 列严谨表格式；最重大的审计亮点在于增设第 5 列 n_bus_raw 与第 6 列 n_branch_raw，能够让业务方一秒定位“大残差或低评估指标，是由模型估测走样引起，还是因为源输入 CSV 中物理丢数据漏采造成”：</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152"/>
            <w:shd w:fill="2B547E"/>
            <w:tcMar>
              <w:top w:w="120" w:type="dxa"/>
              <w:bottom w:w="120" w:type="dxa"/>
              <w:left w:w="100" w:type="dxa"/>
              <w:right w:w="100" w:type="dxa"/>
            </w:tcMar>
          </w:tcPr>
          <w:p>
            <w:pPr>
              <w:jc w:val="center"/>
            </w:pPr>
            <w:r/>
            <w:r>
              <w:rPr>
                <w:rFonts w:ascii="Calibri" w:hAnsi="Calibri" w:eastAsia="微软雅黑"/>
                <w:b/>
                <w:color w:val="FFFFFF"/>
                <w:sz w:val="20"/>
              </w:rPr>
              <w:t>序号顺位</w:t>
            </w:r>
          </w:p>
        </w:tc>
        <w:tc>
          <w:tcPr>
            <w:tcW w:type="dxa" w:w="2016"/>
            <w:shd w:fill="2B547E"/>
            <w:tcMar>
              <w:top w:w="120" w:type="dxa"/>
              <w:bottom w:w="120" w:type="dxa"/>
              <w:left w:w="100" w:type="dxa"/>
              <w:right w:w="100" w:type="dxa"/>
            </w:tcMar>
          </w:tcPr>
          <w:p>
            <w:pPr>
              <w:jc w:val="center"/>
            </w:pPr>
            <w:r/>
            <w:r>
              <w:rPr>
                <w:rFonts w:ascii="Calibri" w:hAnsi="Calibri" w:eastAsia="微软雅黑"/>
                <w:b/>
                <w:color w:val="FFFFFF"/>
                <w:sz w:val="20"/>
              </w:rPr>
              <w:t>字段列表头</w:t>
            </w:r>
          </w:p>
        </w:tc>
        <w:tc>
          <w:tcPr>
            <w:tcW w:type="dxa" w:w="1440"/>
            <w:shd w:fill="2B547E"/>
            <w:tcMar>
              <w:top w:w="120" w:type="dxa"/>
              <w:bottom w:w="120" w:type="dxa"/>
              <w:left w:w="100" w:type="dxa"/>
              <w:right w:w="100" w:type="dxa"/>
            </w:tcMar>
          </w:tcPr>
          <w:p>
            <w:pPr>
              <w:jc w:val="center"/>
            </w:pPr>
            <w:r/>
            <w:r>
              <w:rPr>
                <w:rFonts w:ascii="Calibri" w:hAnsi="Calibri" w:eastAsia="微软雅黑"/>
                <w:b/>
                <w:color w:val="FFFFFF"/>
                <w:sz w:val="20"/>
              </w:rPr>
              <w:t>数据类型</w:t>
            </w:r>
          </w:p>
        </w:tc>
        <w:tc>
          <w:tcPr>
            <w:tcW w:type="dxa" w:w="4752"/>
            <w:shd w:fill="2B547E"/>
            <w:tcMar>
              <w:top w:w="120" w:type="dxa"/>
              <w:bottom w:w="120" w:type="dxa"/>
              <w:left w:w="100" w:type="dxa"/>
              <w:right w:w="100" w:type="dxa"/>
            </w:tcMar>
          </w:tcPr>
          <w:p>
            <w:pPr>
              <w:jc w:val="center"/>
            </w:pPr>
            <w:r/>
            <w:r>
              <w:rPr>
                <w:rFonts w:ascii="Calibri" w:hAnsi="Calibri" w:eastAsia="微软雅黑"/>
                <w:b/>
                <w:color w:val="FFFFFF"/>
                <w:sz w:val="20"/>
              </w:rPr>
              <w:t>功能定义说明与核心物理审计逻辑</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1</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date</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String</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所属自然日文本形式 (YYYY-MM-DD)</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2</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split</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String</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记录所属数据分区性质 (train / val / test / inference)；若推理推演段与已被分配进训练集的历史日期发生重叠，程序自动以日期粒度拆写两行：inference_leak (已泄漏非合规统计) 与 inference_ood (标准有效 OOD 纯盲测统计)</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3</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model</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String</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评价算法对象名称（主处理框架命名 main，对照算法为 rf 等）</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4</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n_samples</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Int</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此统计日期在经时间戳等间隙重采样规整对齐后实际计算采用的有效行条数</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5</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n_bus_raw</w:t>
              <w:br/>
              <w:t>(⭐审计列)</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Int / ""</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主特征源表当日直接物理读取总条目数：直接从原始未对齐文件中按天数条。如小于正常标准 (如 15分钟全日 288 条)，提示本指标异动来自源头丢数缺失</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6</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n_branch_raw</w:t>
              <w:br/>
              <w:t>(⭐审计列)</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Int / ""</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目标表/分路当日直接物理读取总条目数：客观展现目标采集设备是否在线稳定</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7 ~ 11</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Accuracy, Precision,</w:t>
              <w:br/>
              <w:t>Recall, F1, AUC</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对于二值开闭分类响应态进行评判的核心精度矩阵，保留 4~6 位小数；缺省为空</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12 ~ 14</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MAE_W, RMSE_W,</w:t>
              <w:br/>
              <w:t>SAE</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连续回归标量误差；其中 SAE = abs(kWh_pred - kWh_true)/max(kWh_true,0.01)，表达了全天累积输出差相对真实累积量的分布偏度</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15 ~ 17</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kWh_true, kWh_pred,</w:t>
              <w:br/>
              <w:t>kWh_err</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全日累积数值积分计算 (例如总做功或总能量) 比重：真实总量 / 预估总量 / 残差差</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18 ~ 21</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TP, FP, FN, TN</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Int</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单日基于响应态的混淆矩阵事件频度技术统计 counters</w:t>
            </w:r>
          </w:p>
        </w:tc>
      </w:tr>
      <w:tr>
        <w:tc>
          <w:tcPr>
            <w:tcW w:type="dxa" w:w="1152"/>
            <w:shd w:fill="FFFFFF"/>
            <w:tcMar>
              <w:top w:w="80" w:type="dxa"/>
              <w:bottom w:w="80" w:type="dxa"/>
              <w:left w:w="100" w:type="dxa"/>
              <w:right w:w="100" w:type="dxa"/>
            </w:tcMar>
          </w:tcPr>
          <w:p>
            <w:pPr>
              <w:jc w:val="left"/>
            </w:pPr>
            <w:r/>
            <w:r>
              <w:rPr>
                <w:rFonts w:ascii="Calibri" w:hAnsi="Calibri" w:eastAsia="微软雅黑"/>
                <w:color w:val="222222"/>
                <w:sz w:val="19"/>
              </w:rPr>
              <w:t>22</w:t>
            </w:r>
          </w:p>
        </w:tc>
        <w:tc>
          <w:tcPr>
            <w:tcW w:type="dxa" w:w="2016"/>
            <w:shd w:fill="FFFFFF"/>
            <w:tcMar>
              <w:top w:w="80" w:type="dxa"/>
              <w:bottom w:w="80" w:type="dxa"/>
              <w:left w:w="100" w:type="dxa"/>
              <w:right w:w="100" w:type="dxa"/>
            </w:tcMar>
          </w:tcPr>
          <w:p>
            <w:pPr>
              <w:jc w:val="left"/>
            </w:pPr>
            <w:r/>
            <w:r>
              <w:rPr>
                <w:rFonts w:ascii="Calibri" w:hAnsi="Calibri" w:eastAsia="微软雅黑"/>
                <w:color w:val="222222"/>
                <w:sz w:val="19"/>
              </w:rPr>
              <w:t>dataset</w:t>
            </w:r>
          </w:p>
        </w:tc>
        <w:tc>
          <w:tcPr>
            <w:tcW w:type="dxa" w:w="1440"/>
            <w:shd w:fill="FFFFFF"/>
            <w:tcMar>
              <w:top w:w="80" w:type="dxa"/>
              <w:bottom w:w="80" w:type="dxa"/>
              <w:left w:w="100" w:type="dxa"/>
              <w:right w:w="100" w:type="dxa"/>
            </w:tcMar>
          </w:tcPr>
          <w:p>
            <w:pPr>
              <w:jc w:val="left"/>
            </w:pPr>
            <w:r/>
            <w:r>
              <w:rPr>
                <w:rFonts w:ascii="Calibri" w:hAnsi="Calibri" w:eastAsia="微软雅黑"/>
                <w:color w:val="222222"/>
                <w:sz w:val="19"/>
              </w:rPr>
              <w:t>String</w:t>
            </w:r>
          </w:p>
        </w:tc>
        <w:tc>
          <w:tcPr>
            <w:tcW w:type="dxa" w:w="4752"/>
            <w:shd w:fill="FFFFFF"/>
            <w:tcMar>
              <w:top w:w="80" w:type="dxa"/>
              <w:bottom w:w="80" w:type="dxa"/>
              <w:left w:w="100" w:type="dxa"/>
              <w:right w:w="100" w:type="dxa"/>
            </w:tcMar>
          </w:tcPr>
          <w:p>
            <w:pPr>
              <w:jc w:val="left"/>
            </w:pPr>
            <w:r/>
            <w:r>
              <w:rPr>
                <w:rFonts w:ascii="Calibri" w:hAnsi="Calibri" w:eastAsia="微软雅黑"/>
                <w:color w:val="222222"/>
                <w:sz w:val="19"/>
              </w:rPr>
              <w:t>标注记录样本在分划控制中所在的属性 (如 used, excluded)</w:t>
            </w:r>
          </w:p>
        </w:tc>
      </w:tr>
      <w:tr>
        <w:tc>
          <w:tcPr>
            <w:tcW w:type="dxa" w:w="1152"/>
            <w:shd w:fill="F7F9FB"/>
            <w:tcMar>
              <w:top w:w="80" w:type="dxa"/>
              <w:bottom w:w="80" w:type="dxa"/>
              <w:left w:w="100" w:type="dxa"/>
              <w:right w:w="100" w:type="dxa"/>
            </w:tcMar>
          </w:tcPr>
          <w:p>
            <w:pPr>
              <w:jc w:val="left"/>
            </w:pPr>
            <w:r/>
            <w:r>
              <w:rPr>
                <w:rFonts w:ascii="Calibri" w:hAnsi="Calibri" w:eastAsia="微软雅黑"/>
                <w:color w:val="222222"/>
                <w:sz w:val="19"/>
              </w:rPr>
              <w:t>23</w:t>
            </w:r>
          </w:p>
        </w:tc>
        <w:tc>
          <w:tcPr>
            <w:tcW w:type="dxa" w:w="2016"/>
            <w:shd w:fill="F7F9FB"/>
            <w:tcMar>
              <w:top w:w="80" w:type="dxa"/>
              <w:bottom w:w="80" w:type="dxa"/>
              <w:left w:w="100" w:type="dxa"/>
              <w:right w:w="100" w:type="dxa"/>
            </w:tcMar>
          </w:tcPr>
          <w:p>
            <w:pPr>
              <w:jc w:val="left"/>
            </w:pPr>
            <w:r/>
            <w:r>
              <w:rPr>
                <w:rFonts w:ascii="Calibri" w:hAnsi="Calibri" w:eastAsia="微软雅黑"/>
                <w:color w:val="222222"/>
                <w:sz w:val="19"/>
              </w:rPr>
              <w:t>on_thr_w</w:t>
            </w:r>
          </w:p>
        </w:tc>
        <w:tc>
          <w:tcPr>
            <w:tcW w:type="dxa" w:w="1440"/>
            <w:shd w:fill="F7F9FB"/>
            <w:tcMar>
              <w:top w:w="80" w:type="dxa"/>
              <w:bottom w:w="80" w:type="dxa"/>
              <w:left w:w="100" w:type="dxa"/>
              <w:right w:w="100" w:type="dxa"/>
            </w:tcMar>
          </w:tcPr>
          <w:p>
            <w:pPr>
              <w:jc w:val="left"/>
            </w:pPr>
            <w:r/>
            <w:r>
              <w:rPr>
                <w:rFonts w:ascii="Calibri" w:hAnsi="Calibri" w:eastAsia="微软雅黑"/>
                <w:color w:val="222222"/>
                <w:sz w:val="19"/>
              </w:rPr>
              <w:t>Float</w:t>
            </w:r>
          </w:p>
        </w:tc>
        <w:tc>
          <w:tcPr>
            <w:tcW w:type="dxa" w:w="4752"/>
            <w:shd w:fill="F7F9FB"/>
            <w:tcMar>
              <w:top w:w="80" w:type="dxa"/>
              <w:bottom w:w="80" w:type="dxa"/>
              <w:left w:w="100" w:type="dxa"/>
              <w:right w:w="100" w:type="dxa"/>
            </w:tcMar>
          </w:tcPr>
          <w:p>
            <w:pPr>
              <w:jc w:val="left"/>
            </w:pPr>
            <w:r/>
            <w:r>
              <w:rPr>
                <w:rFonts w:ascii="Calibri" w:hAnsi="Calibri" w:eastAsia="微软雅黑"/>
                <w:color w:val="222222"/>
                <w:sz w:val="19"/>
              </w:rPr>
              <w:t>运算本条各状态统计时选用的界定活动常数阈值数</w:t>
            </w:r>
          </w:p>
        </w:tc>
      </w:tr>
    </w:tbl>
    <w:p>
      <w:pPr>
        <w:spacing w:after="160"/>
      </w:pPr>
    </w:p>
    <w:p>
      <w:pPr>
        <w:keepNext/>
        <w:spacing w:before="280" w:after="120"/>
      </w:pPr>
      <w:r>
        <w:rPr>
          <w:rFonts w:ascii="Calibri" w:hAnsi="Calibri" w:eastAsia="微软雅黑"/>
          <w:b/>
          <w:color w:val="2B547E"/>
          <w:sz w:val="27"/>
        </w:rPr>
        <w:t>3.6 连续行为触发段明细与静默全天审计表规范 (&lt;stage&gt;_on_periods*.csv)</w:t>
      </w:r>
    </w:p>
    <w:p>
      <w:pPr>
        <w:spacing w:after="120" w:line="300" w:lineRule="auto"/>
      </w:pPr>
      <w:r>
        <w:rPr>
          <w:rFonts w:ascii="Calibri" w:hAnsi="Calibri" w:eastAsia="微软雅黑"/>
          <w:b/>
          <w:color w:val="222222"/>
          <w:sz w:val="21"/>
        </w:rPr>
        <w:t>【阶段及日行为审计】：</w:t>
      </w:r>
      <w:r>
        <w:rPr>
          <w:rFonts w:ascii="Calibri" w:hAnsi="Calibri" w:eastAsia="微软雅黑"/>
          <w:color w:val="333333"/>
          <w:sz w:val="21"/>
        </w:rPr>
        <w:t>面向时序序列开启段的持续时长及极值分布，系统产出连续段及日卡表：</w:t>
      </w:r>
    </w:p>
    <w:p>
      <w:pPr>
        <w:spacing w:after="120" w:line="300" w:lineRule="auto"/>
      </w:pPr>
      <w:r>
        <w:rPr>
          <w:rFonts w:ascii="Calibri" w:hAnsi="Calibri" w:eastAsia="微软雅黑"/>
          <w:color w:val="333333"/>
          <w:sz w:val="21"/>
        </w:rPr>
        <w:t>• &lt;stage&gt;_on_periods.csv (连续行为段表)：收齐全部处于触发活动运行期 (Active State Segment) 的片段。核心列包含 being_time (发生开始时戳)、end_time (终结停止时戳)、p1 (通道名称)、duration_min (持续发生分长)、mean_w (段内均值)、peak_w (最高峰幅)、energy_kwh (此连续段贡献总量)、dataset (分集归属)。最关键扩展列为第 5 列 min_w (连续有效段运行极值下界)：专门用来审计此连贯运行期内的最小表现底点，且恒等保障基本逻辑约束 min_w &lt;= mean_w &lt;= peak_w。同时针对全日并无任何触发动作的有效候选天数，程序会额外插入一行静默记录行 (OFF Day Row, duration_min=1440)，确保其全天背景基线平稳参数不漏落。</w:t>
        <w:br/>
        <w:t>• &lt;stage&gt;_on_periods_daily.csv (单日行为表)：汇成单日总体概览卡片。含 date、n_segments (当天发生段频次，静默日=0)、total_on_hours、first_on_time、last_off_time 及均值汇总统计。</w:t>
      </w:r>
    </w:p>
    <w:p>
      <w:pPr>
        <w:keepNext/>
        <w:spacing w:before="280" w:after="120"/>
      </w:pPr>
      <w:r>
        <w:rPr>
          <w:rFonts w:ascii="Calibri" w:hAnsi="Calibri" w:eastAsia="微软雅黑"/>
          <w:b/>
          <w:color w:val="2B547E"/>
          <w:sz w:val="27"/>
        </w:rPr>
        <w:t>3.7 协变量基底表与实测漂移评估规范 (lut.csv &amp; actual_vs_expected.csv)</w:t>
      </w:r>
    </w:p>
    <w:p>
      <w:pPr>
        <w:spacing w:after="120" w:line="300" w:lineRule="auto"/>
      </w:pPr>
      <w:r>
        <w:rPr>
          <w:rFonts w:ascii="Calibri" w:hAnsi="Calibri" w:eastAsia="微软雅黑"/>
          <w:b/>
          <w:color w:val="222222"/>
          <w:sz w:val="21"/>
        </w:rPr>
        <w:t>【协变量分段审计字典】：</w:t>
      </w:r>
      <w:r>
        <w:rPr>
          <w:rFonts w:ascii="Calibri" w:hAnsi="Calibri" w:eastAsia="微软雅黑"/>
          <w:color w:val="333333"/>
          <w:sz w:val="21"/>
        </w:rPr>
        <w:t>• 训练侧参考桶表 (temp_power_lut.csv)：系统针对温度等外部环境协变量按范围等距划分 20 个常规段桶 (Bin 1~20)，外附加一个全样本统计中位桶 ALL_MEDIAN (共 21 行)。行表列示上下边界 temp_lo/temp_hi、基调预期中位数 expected_signal、样本点 n_samples 与基础分位数等，反映对象基本特质。</w:t>
        <w:br/>
        <w:t>• 推理实测漂移比对表 (inference_temp_power_actual_vs_expected.csv)：推理把测定均值和样本填入对于分箱，得出差值 abs_residual 与相对漂移值 rel_drift；生成最终评估告警枚举字段 drift_flag：</w:t>
        <w:br/>
        <w:t xml:space="preserve">  ① OK —— 对比处于预设正常区间，未出现系统化分布偏差；</w:t>
        <w:br/>
        <w:t xml:space="preserve">  ② WARN —— 产生可观察的分箱偏度警告（如绝对偏度 ≥15%）；</w:t>
        <w:br/>
        <w:t xml:space="preserve">  ③ ALERT —— 发现严重风险漂移警报（偏离加剧，如 ≥30%），引发下游应对和模型校调；</w:t>
        <w:br/>
        <w:t xml:space="preserve">  ④ NO_DATA —— 此特定环境区间并未落入测点样本，安全占位。</w:t>
      </w:r>
    </w:p>
    <w:p>
      <w:pPr>
        <w:keepNext/>
        <w:spacing w:before="280" w:after="120"/>
      </w:pPr>
      <w:r>
        <w:rPr>
          <w:rFonts w:ascii="Calibri" w:hAnsi="Calibri" w:eastAsia="微软雅黑"/>
          <w:b/>
          <w:color w:val="2B547E"/>
          <w:sz w:val="27"/>
        </w:rPr>
        <w:t>3.8 批量原子断点续跑执行表规范 (artifacts/batch_execution_state.csv)</w:t>
      </w:r>
    </w:p>
    <w:p>
      <w:pPr>
        <w:spacing w:after="120" w:line="300" w:lineRule="auto"/>
      </w:pPr>
      <w:r>
        <w:rPr>
          <w:rFonts w:ascii="Calibri" w:hAnsi="Calibri" w:eastAsia="微软雅黑"/>
          <w:b/>
          <w:color w:val="222222"/>
          <w:sz w:val="21"/>
        </w:rPr>
        <w:t>【9 列断点表写就协议】：</w:t>
      </w:r>
      <w:r>
        <w:rPr>
          <w:rFonts w:ascii="Calibri" w:hAnsi="Calibri" w:eastAsia="微软雅黑"/>
          <w:color w:val="333333"/>
          <w:sz w:val="21"/>
        </w:rPr>
        <w:t>面对海量并发或者持续时间冗长的组批自动化调度，本执行表提供对处理状态的无损恢复：</w:t>
      </w:r>
    </w:p>
    <w:p>
      <w:pPr>
        <w:spacing w:after="120" w:line="300" w:lineRule="auto"/>
      </w:pPr>
      <w:r>
        <w:rPr>
          <w:rFonts w:ascii="Calibri" w:hAnsi="Calibri" w:eastAsia="微软雅黑"/>
          <w:color w:val="333333"/>
          <w:sz w:val="21"/>
        </w:rPr>
        <w:t>• 原子写盘保护语义：管理层严令禁止向现有表作非安全的流式写追加；采取“内存运算构建生成 batch_execution_state.csv.tmp 临时文件 ➔ 调用操作系统底层核心原子更名指令 (os.replace) 一秒替换老盘表”的设计。此机制能实现即使进程在运行时任意时刻遭到强退宕机，系统盘上的主表依然保持无损一致，最高仅影响正在发生读算的唯一一笔当前数据行。</w:t>
        <w:br/>
        <w:t>• 9 列表字段规范 (UTF-8-BOM)：</w:t>
        <w:br/>
        <w:t xml:space="preserve">  1. user_id: 正在编排执行管理的主键 ID；</w:t>
        <w:br/>
        <w:t xml:space="preserve">  2. status: 计算判定结论标签 (ok / fail / soft_skip)；</w:t>
        <w:br/>
        <w:t xml:space="preserve">  3. success: Bool 布尔判定量 (True / False)；</w:t>
        <w:br/>
        <w:t xml:space="preserve">  4. started_at / finished_at: 任务流水起讫标记点；</w:t>
        <w:br/>
        <w:t xml:space="preserve">  5. duration_s: 本轮任务过程净消耗时分秒 Float；</w:t>
        <w:br/>
        <w:t xml:space="preserve">  6. message: 执行结论备注提示，支持完整中文字符反馈堆栈内容；</w:t>
        <w:br/>
        <w:t xml:space="preserve">  7. target_col: 最终确认执行的目标表达式字面量 (如 p1+p2)；</w:t>
        <w:br/>
        <w:t xml:space="preserve">  8. run_id: 关联到调度引擎引发任务组运行的本次独立批次码。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