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7"/>
          <w:szCs w:val="27"/>
          <w:lang w:val="en-US" w:eastAsia="zh-CN"/>
        </w:rPr>
      </w:pPr>
      <w:r>
        <w:rPr>
          <w:rFonts w:hint="eastAsia" w:ascii="黑体" w:hAnsi="黑体" w:eastAsia="黑体" w:cs="黑体"/>
          <w:sz w:val="27"/>
          <w:szCs w:val="27"/>
          <w:lang w:val="en-US" w:eastAsia="zh-CN"/>
        </w:rPr>
        <w:t>在线课堂系统报告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120L022314 瞿久尧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18"/>
          <w:szCs w:val="18"/>
          <w:lang w:val="en-US" w:eastAsia="zh-CN"/>
        </w:rPr>
      </w:pPr>
      <w:r>
        <w:rPr>
          <w:rFonts w:hint="eastAsia" w:ascii="黑体" w:hAnsi="黑体" w:eastAsia="黑体" w:cs="黑体"/>
          <w:sz w:val="18"/>
          <w:szCs w:val="18"/>
          <w:lang w:val="en-US" w:eastAsia="zh-CN"/>
        </w:rPr>
        <w:t>摘要</w:t>
      </w:r>
      <w:r>
        <w:rPr>
          <w:rFonts w:hint="eastAsia"/>
          <w:lang w:val="en-US" w:eastAsia="zh-CN"/>
        </w:rPr>
        <w:t>：</w:t>
      </w:r>
      <w:r>
        <w:rPr>
          <w:rFonts w:hint="eastAsia" w:ascii="宋体" w:hAnsi="宋体" w:eastAsia="宋体" w:cs="宋体"/>
          <w:sz w:val="18"/>
          <w:szCs w:val="18"/>
          <w:lang w:val="en-US" w:eastAsia="zh-CN"/>
        </w:rPr>
        <w:t>该报告主要讨论了一个基于微信公众号 B2C 模式的在线学习平台的业务流程分析和改进。介绍了该平台的现有组织形式和系统架构，包括后台管理系统和公众号服务。详细分析了平台的业务流程，包括后台管理人员的操作和普通用户的操作。提出了业务流程改进的方案，包括增加后台管理系统的修改操作和公众号系统的模板消息支持。最后，介绍了服务实现的过程和结果比较，并指出改进和优化可以提高平台的用户满意度和用户粘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
        <w:rPr>
          <w:rFonts w:hint="eastAsia" w:ascii="宋体" w:hAnsi="宋体" w:eastAsia="宋体" w:cs="宋体"/>
          <w:kern w:val="2"/>
          <w:sz w:val="18"/>
          <w:szCs w:val="18"/>
          <w:lang w:val="en-US" w:eastAsia="zh-CN" w:bidi="ar-SA"/>
        </w:rPr>
      </w:pPr>
      <w:r>
        <w:rPr>
          <w:rFonts w:hint="eastAsia" w:ascii="黑体" w:hAnsi="黑体" w:eastAsia="黑体" w:cs="黑体"/>
          <w:kern w:val="2"/>
          <w:sz w:val="18"/>
          <w:szCs w:val="18"/>
          <w:lang w:val="en-US" w:eastAsia="zh-CN" w:bidi="ar-SA"/>
        </w:rPr>
        <w:t>关键词：</w:t>
      </w:r>
      <w:r>
        <w:rPr>
          <w:rFonts w:hint="eastAsia" w:ascii="宋体" w:hAnsi="宋体" w:eastAsia="宋体" w:cs="宋体"/>
          <w:kern w:val="2"/>
          <w:sz w:val="18"/>
          <w:szCs w:val="18"/>
          <w:lang w:val="en-US" w:eastAsia="zh-CN" w:bidi="ar-SA"/>
        </w:rPr>
        <w:t>在线课堂系统、B2C模式、业务流程分析、服务实现、优化。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18"/>
          <w:szCs w:val="18"/>
        </w:rPr>
      </w:pPr>
      <w:r>
        <w:rPr>
          <w:rFonts w:hint="eastAsia" w:ascii="黑体" w:hAnsi="黑体" w:eastAsia="黑体" w:cs="黑体"/>
          <w:sz w:val="18"/>
          <w:szCs w:val="18"/>
        </w:rPr>
        <w:t>一、业务背景分析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rPr>
      </w:pPr>
      <w:r>
        <w:rPr>
          <w:rFonts w:hint="eastAsia" w:ascii="宋体" w:hAnsi="宋体" w:eastAsia="宋体" w:cs="宋体"/>
          <w:sz w:val="18"/>
          <w:szCs w:val="21"/>
        </w:rPr>
        <w:t>该在线学习平台基于微信公众号 B2C 模式，通过后台管理系统和公众号服务构建了一个全方位的在线学习平台。平台提供录播课程，学员可以购买教学视频在线学习，分享教学视频获取平台收益。同时，平台支持腾讯云视频点播、微信支付、微信授权登录、微信菜单、微信消息与腾讯云文件存储等功能，为学员提供便捷的学习体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drawing>
          <wp:inline distT="0" distB="0" distL="114300" distR="114300">
            <wp:extent cx="4917440" cy="327469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7440" cy="32746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18"/>
          <w:szCs w:val="18"/>
        </w:rPr>
      </w:pPr>
      <w:r>
        <w:rPr>
          <w:rFonts w:hint="eastAsia" w:ascii="黑体" w:hAnsi="黑体" w:eastAsia="黑体" w:cs="黑体"/>
          <w:sz w:val="18"/>
          <w:szCs w:val="18"/>
        </w:rPr>
        <w:t>二、现有业务流程分析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rPr>
      </w:pPr>
      <w:r>
        <w:rPr>
          <w:rFonts w:hint="eastAsia" w:ascii="宋体" w:hAnsi="宋体" w:eastAsia="宋体" w:cs="宋体"/>
          <w:sz w:val="18"/>
          <w:szCs w:val="21"/>
        </w:rPr>
        <w:t>该在线学习平台的后台管理人员需要进入讲师管理页面添加讲师，并在课程管理页面添加课程。在添加课程时，需要输入与课程相关的讲师、课程分类、课程大纲等信息。添加完成后，才能在点播课程管理中添加能够被用户点播的课程。管理人员还能通过添加优惠券来促销付费课程，并查看用户购买点播课程后的订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宋体"/>
          <w:lang w:eastAsia="zh-CN"/>
        </w:rPr>
      </w:pPr>
      <w:r>
        <w:rPr>
          <w:rFonts w:hint="eastAsia" w:eastAsia="宋体"/>
          <w:lang w:eastAsia="zh-CN"/>
        </w:rPr>
        <w:drawing>
          <wp:inline distT="0" distB="0" distL="114300" distR="114300">
            <wp:extent cx="5208905" cy="4298950"/>
            <wp:effectExtent l="0" t="0" r="3175" b="1397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tretch>
                      <a:fillRect/>
                    </a:stretch>
                  </pic:blipFill>
                  <pic:spPr>
                    <a:xfrm>
                      <a:off x="0" y="0"/>
                      <a:ext cx="5208905" cy="42989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sz w:val="18"/>
          <w:szCs w:val="21"/>
          <w:lang w:val="en-US" w:eastAsia="zh-CN"/>
        </w:rPr>
      </w:pPr>
      <w:r>
        <w:rPr>
          <w:rFonts w:hint="eastAsia" w:eastAsia="宋体"/>
          <w:sz w:val="18"/>
          <w:szCs w:val="21"/>
          <w:lang w:val="en-US" w:eastAsia="zh-CN"/>
        </w:rPr>
        <w:t>业务流程图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rPr>
      </w:pPr>
      <w:r>
        <w:rPr>
          <w:rFonts w:hint="eastAsia" w:ascii="宋体" w:hAnsi="宋体" w:eastAsia="宋体" w:cs="宋体"/>
          <w:sz w:val="18"/>
          <w:szCs w:val="21"/>
        </w:rPr>
        <w:t>普通用户通过进入微信公众号并点击公众号菜单中的“点播”一栏进入点播页面，并需要获取微信授权，以此来获得点播课程的权限。部分点播课程可以免费观看，用户进入点播课程页面后可以直接点击播放键观看课程视频。付费视频需要用户点击购买并进入付款页面，通过微信支付发起订单后即可观看付费课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根据系统将业务流程细分可以得到更细的服务：</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4261" w:type="dxa"/>
            <w:shd w:val="clear" w:color="auto" w:fill="7CC2F2"/>
            <w:vAlign w:val="center"/>
          </w:tcPr>
          <w:p>
            <w:pPr>
              <w:keepNext w:val="0"/>
              <w:keepLines w:val="0"/>
              <w:pageBreakBefore w:val="0"/>
              <w:widowControl w:val="0"/>
              <w:tabs>
                <w:tab w:val="center" w:pos="2022"/>
              </w:tabs>
              <w:kinsoku/>
              <w:wordWrap/>
              <w:overflowPunct/>
              <w:topLinePunct w:val="0"/>
              <w:autoSpaceDE/>
              <w:autoSpaceDN/>
              <w:bidi w:val="0"/>
              <w:adjustRightInd/>
              <w:snapToGrid/>
              <w:spacing w:line="360" w:lineRule="auto"/>
              <w:jc w:val="center"/>
              <w:textAlignment w:val="auto"/>
              <w:rPr>
                <w:rFonts w:hint="default" w:ascii="宋体" w:hAnsi="宋体"/>
                <w:b/>
                <w:sz w:val="24"/>
                <w:highlight w:val="none"/>
                <w:vertAlign w:val="baseline"/>
                <w:lang w:val="en-US" w:eastAsia="zh-CN"/>
              </w:rPr>
            </w:pPr>
            <w:r>
              <w:rPr>
                <w:rFonts w:hint="eastAsia" w:ascii="宋体" w:hAnsi="宋体"/>
                <w:b/>
                <w:sz w:val="24"/>
                <w:highlight w:val="none"/>
                <w:vertAlign w:val="baseline"/>
                <w:lang w:val="en-US" w:eastAsia="zh-CN"/>
              </w:rPr>
              <w:t>管理员后台</w:t>
            </w:r>
          </w:p>
        </w:tc>
        <w:tc>
          <w:tcPr>
            <w:tcW w:w="4261" w:type="dxa"/>
            <w:shd w:val="clear" w:color="auto" w:fill="FFC00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vertAlign w:val="baseline"/>
                <w:lang w:val="en-US" w:eastAsia="zh-CN"/>
              </w:rPr>
            </w:pPr>
            <w:r>
              <w:rPr>
                <w:rFonts w:hint="eastAsia" w:ascii="宋体" w:hAnsi="宋体"/>
                <w:b/>
                <w:sz w:val="24"/>
                <w:vertAlign w:val="baseline"/>
                <w:lang w:val="en-US" w:eastAsia="zh-CN"/>
              </w:rPr>
              <w:t>用户公众号页面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2" w:hRule="atLeast"/>
          <w:jc w:val="center"/>
        </w:trPr>
        <w:tc>
          <w:tcPr>
            <w:tcW w:w="4261" w:type="dxa"/>
            <w:shd w:val="clear" w:color="auto" w:fill="F3F8FF"/>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1点播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1.1点播列表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1.2点播详情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2订单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2.1订单详情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2.2优惠券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3讲师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3.1添加讲师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3.2修改讲师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3.3删除讲师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4课程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4.1添加课程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4.2删除课程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highlight w:val="none"/>
                <w:vertAlign w:val="baseline"/>
                <w:lang w:val="en-US" w:eastAsia="zh-CN"/>
              </w:rPr>
            </w:pPr>
            <w:r>
              <w:rPr>
                <w:rFonts w:hint="eastAsia" w:ascii="宋体" w:hAnsi="宋体"/>
                <w:b w:val="0"/>
                <w:bCs/>
                <w:sz w:val="22"/>
                <w:szCs w:val="22"/>
                <w:highlight w:val="none"/>
                <w:vertAlign w:val="baseline"/>
                <w:lang w:val="en-US" w:eastAsia="zh-CN"/>
              </w:rPr>
              <w:t>4.3修改课程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b w:val="0"/>
                <w:bCs/>
                <w:sz w:val="22"/>
                <w:szCs w:val="22"/>
                <w:highlight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b w:val="0"/>
                <w:bCs/>
                <w:sz w:val="22"/>
                <w:szCs w:val="22"/>
                <w:highlight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b w:val="0"/>
                <w:bCs/>
                <w:sz w:val="22"/>
                <w:szCs w:val="22"/>
                <w:highlight w:val="none"/>
                <w:vertAlign w:val="baseline"/>
                <w:lang w:val="en-US" w:eastAsia="zh-CN"/>
              </w:rPr>
            </w:pPr>
          </w:p>
        </w:tc>
        <w:tc>
          <w:tcPr>
            <w:tcW w:w="4261" w:type="dxa"/>
            <w:shd w:val="clear" w:color="auto" w:fill="FEEC83"/>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1点播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1.1点播详情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1.2播放</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2公众号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2.1公众号消息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2.2公众号菜单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3我的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3.1我的订单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b w:val="0"/>
                <w:bCs/>
                <w:sz w:val="22"/>
                <w:szCs w:val="22"/>
                <w:vertAlign w:val="baseline"/>
                <w:lang w:val="en-US" w:eastAsia="zh-CN"/>
              </w:rPr>
            </w:pPr>
            <w:r>
              <w:rPr>
                <w:rFonts w:hint="eastAsia" w:ascii="宋体" w:hAnsi="宋体"/>
                <w:b w:val="0"/>
                <w:bCs/>
                <w:sz w:val="22"/>
                <w:szCs w:val="22"/>
                <w:vertAlign w:val="baseline"/>
                <w:lang w:val="en-US" w:eastAsia="zh-CN"/>
              </w:rPr>
              <w:t>3.2我的课程</w:t>
            </w:r>
          </w:p>
        </w:tc>
      </w:tr>
    </w:tbl>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b/>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利用业务流程分析法和SOMA方法论对系统服务进行分析并拆分出几个子系统：</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b/>
          <w:sz w:val="24"/>
          <w:lang w:val="en-US" w:eastAsia="zh-CN"/>
        </w:rPr>
      </w:pPr>
      <w:r>
        <w:drawing>
          <wp:inline distT="0" distB="0" distL="114300" distR="114300">
            <wp:extent cx="4717415" cy="2378075"/>
            <wp:effectExtent l="0" t="0" r="6985" b="1460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4717415" cy="23780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15890" cy="5878195"/>
            <wp:effectExtent l="0" t="0" r="11430" b="44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15890" cy="58781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Theme="minorEastAsia"/>
          <w:sz w:val="18"/>
          <w:szCs w:val="18"/>
          <w:lang w:val="en-US" w:eastAsia="zh-CN"/>
        </w:rPr>
      </w:pPr>
      <w:r>
        <w:rPr>
          <w:rFonts w:hint="eastAsia"/>
          <w:sz w:val="18"/>
          <w:szCs w:val="18"/>
          <w:lang w:val="en-US" w:eastAsia="zh-CN"/>
        </w:rPr>
        <w:t>用户界面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18"/>
          <w:szCs w:val="18"/>
        </w:rPr>
      </w:pPr>
      <w:r>
        <w:rPr>
          <w:rFonts w:hint="eastAsia" w:ascii="黑体" w:hAnsi="黑体" w:eastAsia="黑体" w:cs="黑体"/>
          <w:sz w:val="18"/>
          <w:szCs w:val="18"/>
        </w:rPr>
        <w:t>三、业务流程改进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rPr>
      </w:pPr>
      <w:r>
        <w:rPr>
          <w:rFonts w:hint="eastAsia" w:ascii="宋体" w:hAnsi="宋体" w:eastAsia="宋体" w:cs="宋体"/>
          <w:sz w:val="18"/>
          <w:szCs w:val="21"/>
        </w:rPr>
        <w:t>为了更好地支持后台管理系统对教师的个人信息以及课程的详情进行修改，我们增加了修改操作。这样，管理人员可以在原有教师或课程的基础上进行修改。同时，在公众号系统中，我们增加了模板消息的支持。用户在关注公众号后只需要点击公众号菜单中的课程类别，公众号会根据选中的课程类别自动回复相关的模板消息，告知用户相关的课程信息以及推荐学习的课程。这样可以提高用户的学习效率和学习体验。</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09540" cy="2567940"/>
            <wp:effectExtent l="0" t="0" r="254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5209540" cy="2567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Theme="minorEastAsia"/>
          <w:sz w:val="18"/>
          <w:szCs w:val="18"/>
          <w:lang w:val="en-US" w:eastAsia="zh-CN"/>
        </w:rPr>
      </w:pPr>
      <w:r>
        <w:rPr>
          <w:rFonts w:hint="eastAsia"/>
          <w:sz w:val="18"/>
          <w:szCs w:val="18"/>
          <w:lang w:val="en-US" w:eastAsia="zh-CN"/>
        </w:rPr>
        <w:t>改进后的前端页面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18"/>
          <w:szCs w:val="18"/>
        </w:rPr>
      </w:pPr>
      <w:r>
        <w:rPr>
          <w:rFonts w:hint="eastAsia" w:ascii="黑体" w:hAnsi="黑体" w:eastAsia="黑体" w:cs="黑体"/>
          <w:sz w:val="18"/>
          <w:szCs w:val="18"/>
        </w:rPr>
        <w:t>四、服务实现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rPr>
      </w:pPr>
      <w:r>
        <w:rPr>
          <w:rFonts w:hint="eastAsia" w:ascii="宋体" w:hAnsi="宋体" w:eastAsia="宋体" w:cs="宋体"/>
          <w:sz w:val="18"/>
          <w:szCs w:val="21"/>
        </w:rPr>
        <w:t>为了实现上述的业务流程改进，我们对后台管理系统和公众号系统进行了改进。在后台管理系统中，我们增加了对教师和课程信息的修改操作，以及优惠券和订单管理功能。在公众号系统中，我们增加了模板消息的支持，优化了用户的交互体验。我们还使用了腾讯云视频点播、微信支付、微信授权登录、微信菜单、微信消息与腾讯云文件存储等一系列功能，为用户提供全方位的在线学习服务。</w:t>
      </w:r>
    </w:p>
    <w:tbl>
      <w:tblPr>
        <w:tblStyle w:val="3"/>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5"/>
        <w:gridCol w:w="1055"/>
        <w:gridCol w:w="1055"/>
        <w:gridCol w:w="1055"/>
        <w:gridCol w:w="1789"/>
        <w:gridCol w:w="2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rPr>
              <w:t>系统名称</w:t>
            </w:r>
          </w:p>
        </w:tc>
        <w:tc>
          <w:tcPr>
            <w:tcW w:w="1250"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rPr>
              <w:t>业务流程名称</w:t>
            </w:r>
          </w:p>
        </w:tc>
        <w:tc>
          <w:tcPr>
            <w:tcW w:w="1250"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rPr>
              <w:t>业务子流程名称</w:t>
            </w:r>
          </w:p>
        </w:tc>
        <w:tc>
          <w:tcPr>
            <w:tcW w:w="1250"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rPr>
              <w:t>服务名称</w:t>
            </w:r>
          </w:p>
        </w:tc>
        <w:tc>
          <w:tcPr>
            <w:tcW w:w="1789"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sz w:val="24"/>
              </w:rPr>
            </w:pPr>
            <w:r>
              <w:rPr>
                <w:rFonts w:hint="eastAsia" w:ascii="宋体" w:hAnsi="宋体"/>
                <w:b/>
                <w:sz w:val="24"/>
              </w:rPr>
              <w:t>初始服务构件名称</w:t>
            </w:r>
          </w:p>
        </w:tc>
        <w:tc>
          <w:tcPr>
            <w:tcW w:w="1789"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rPr>
              <w:t>优化服务构件名称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后台管理系统</w:t>
            </w: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讲师管理</w:t>
            </w: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修改讲师</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添加讲师</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AddTeacher</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修改讲师信息</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r>
              <w:rPr>
                <w:rFonts w:hint="eastAsia" w:ascii="宋体" w:hAnsi="宋体"/>
                <w:b/>
                <w:sz w:val="24"/>
                <w:lang w:val="en-US" w:eastAsia="zh-CN"/>
              </w:rPr>
              <w:t>ModifyTeacher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删除讲师</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r>
              <w:rPr>
                <w:rFonts w:hint="eastAsia" w:ascii="宋体" w:hAnsi="宋体"/>
                <w:b/>
                <w:sz w:val="24"/>
                <w:lang w:val="en-US" w:eastAsia="zh-CN"/>
              </w:rPr>
              <w:t>DeleteTeacher</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查看讲师</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r>
              <w:rPr>
                <w:rFonts w:hint="eastAsia" w:ascii="宋体" w:hAnsi="宋体"/>
                <w:b/>
                <w:sz w:val="24"/>
                <w:lang w:val="en-US" w:eastAsia="zh-CN"/>
              </w:rPr>
              <w:t>查看讲师信息</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r>
              <w:rPr>
                <w:rFonts w:hint="eastAsia" w:ascii="宋体" w:hAnsi="宋体"/>
                <w:b/>
                <w:sz w:val="24"/>
                <w:lang w:val="en-US" w:eastAsia="zh-CN"/>
              </w:rPr>
              <w:t>ViewTeacher</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kern w:val="2"/>
                <w:sz w:val="24"/>
                <w:szCs w:val="24"/>
                <w:lang w:val="en-US" w:eastAsia="zh-CN" w:bidi="ar-SA"/>
              </w:rPr>
            </w:pPr>
            <w:r>
              <w:rPr>
                <w:rFonts w:hint="eastAsia" w:ascii="宋体" w:hAnsi="宋体"/>
                <w:b/>
                <w:sz w:val="24"/>
                <w:lang w:val="en-US" w:eastAsia="zh-CN"/>
              </w:rPr>
              <w:t>课程管理</w:t>
            </w: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修改课程</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添加课程</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AddCourse</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kern w:val="2"/>
                <w:sz w:val="24"/>
                <w:szCs w:val="24"/>
                <w:lang w:val="en-US" w:eastAsia="zh-CN" w:bidi="ar-SA"/>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修改课程</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kern w:val="2"/>
                <w:sz w:val="24"/>
                <w:szCs w:val="24"/>
                <w:lang w:val="en-US" w:eastAsia="zh-CN" w:bidi="ar-SA"/>
              </w:rPr>
            </w:pPr>
            <w:r>
              <w:rPr>
                <w:rFonts w:hint="eastAsia" w:ascii="宋体" w:hAnsi="宋体"/>
                <w:b/>
                <w:sz w:val="24"/>
                <w:lang w:val="en-US" w:eastAsia="zh-CN"/>
              </w:rPr>
              <w:t>ModifyCourse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删除课程</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DeleteCourse</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查看课程</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查看课程详情</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ViewCourse</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kern w:val="2"/>
                <w:sz w:val="24"/>
                <w:szCs w:val="24"/>
                <w:lang w:val="en-US" w:eastAsia="zh-CN" w:bidi="ar-SA"/>
              </w:rPr>
            </w:pPr>
            <w:r>
              <w:rPr>
                <w:rFonts w:hint="eastAsia" w:ascii="宋体" w:hAnsi="宋体"/>
                <w:b/>
                <w:sz w:val="24"/>
                <w:lang w:val="en-US" w:eastAsia="zh-CN"/>
              </w:rPr>
              <w:t>订单管理</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kern w:val="2"/>
                <w:sz w:val="24"/>
                <w:szCs w:val="24"/>
                <w:lang w:val="en-US" w:eastAsia="zh-CN" w:bidi="ar-SA"/>
              </w:rPr>
            </w:pPr>
            <w:r>
              <w:rPr>
                <w:rFonts w:hint="eastAsia" w:ascii="宋体" w:hAnsi="宋体"/>
                <w:b/>
                <w:sz w:val="24"/>
                <w:lang w:val="en-US" w:eastAsia="zh-CN"/>
              </w:rPr>
              <w:t>查看订单</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r>
              <w:rPr>
                <w:rFonts w:hint="eastAsia" w:ascii="宋体" w:hAnsi="宋体"/>
                <w:b/>
                <w:sz w:val="24"/>
                <w:lang w:val="en-US" w:eastAsia="zh-CN"/>
              </w:rPr>
              <w:t>查看订单详情</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r>
              <w:rPr>
                <w:rFonts w:hint="eastAsia" w:ascii="宋体" w:hAnsi="宋体"/>
                <w:b/>
                <w:sz w:val="24"/>
                <w:lang w:val="en-US" w:eastAsia="zh-CN"/>
              </w:rPr>
              <w:t>ViewOrder</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sz w:val="24"/>
                <w:lang w:val="en-US" w:eastAsia="zh-CN"/>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r>
              <w:rPr>
                <w:rFonts w:hint="eastAsia" w:ascii="宋体" w:hAnsi="宋体"/>
                <w:b/>
                <w:sz w:val="24"/>
                <w:lang w:val="en-US" w:eastAsia="zh-CN"/>
              </w:rPr>
              <w:t>修改订单</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r>
              <w:rPr>
                <w:rFonts w:hint="eastAsia" w:ascii="宋体" w:hAnsi="宋体"/>
                <w:b/>
                <w:sz w:val="24"/>
                <w:lang w:val="en-US" w:eastAsia="zh-CN"/>
              </w:rPr>
              <w:t>删除订单</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kern w:val="2"/>
                <w:sz w:val="24"/>
                <w:szCs w:val="24"/>
                <w:lang w:val="en-US" w:eastAsia="zh-CN" w:bidi="ar-SA"/>
              </w:rPr>
            </w:pPr>
            <w:r>
              <w:rPr>
                <w:rFonts w:hint="eastAsia" w:ascii="宋体" w:hAnsi="宋体"/>
                <w:b/>
                <w:sz w:val="24"/>
                <w:lang w:val="en-US" w:eastAsia="zh-CN"/>
              </w:rPr>
              <w:t>DeleteOrder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r>
              <w:rPr>
                <w:rFonts w:hint="eastAsia" w:ascii="宋体" w:hAnsi="宋体"/>
                <w:b/>
                <w:sz w:val="24"/>
                <w:lang w:val="en-US" w:eastAsia="zh-CN"/>
              </w:rPr>
              <w:t>点播系统</w:t>
            </w: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查看点播详情</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查看点播课程信息</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查看点播</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View</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播放课程</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播放</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Play</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lang w:val="en-US" w:eastAsia="zh-CN"/>
              </w:rPr>
              <w:t>添加视频</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添加视频</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上传视频</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UploadVedio</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kern w:val="2"/>
                <w:sz w:val="24"/>
                <w:szCs w:val="24"/>
                <w:lang w:val="en-US" w:eastAsia="zh-CN" w:bidi="ar-SA"/>
              </w:rPr>
            </w:pPr>
            <w:r>
              <w:rPr>
                <w:rFonts w:hint="eastAsia" w:ascii="宋体" w:hAnsi="宋体"/>
                <w:b/>
                <w:sz w:val="24"/>
                <w:lang w:val="en-US" w:eastAsia="zh-CN"/>
              </w:rPr>
              <w:t>公众号系统</w:t>
            </w: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查看个人信息</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查看个人课程</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我的课程</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MyCourse</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sz w:val="24"/>
                <w:lang w:val="en-US" w:eastAsia="zh-CN"/>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sz w:val="24"/>
                <w:lang w:val="en-US" w:eastAsia="zh-CN"/>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查看个人订单</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我的订单</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MyOrder</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发送公众号消息</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r>
              <w:rPr>
                <w:rFonts w:hint="eastAsia" w:ascii="宋体" w:hAnsi="宋体"/>
                <w:b/>
                <w:sz w:val="24"/>
                <w:lang w:val="en-US" w:eastAsia="zh-CN"/>
              </w:rPr>
              <w:t>发送响应消息</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回复消息</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ReplyMessage</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b/>
                <w:sz w:val="24"/>
                <w:lang w:val="en-US" w:eastAsia="zh-CN"/>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b/>
                <w:sz w:val="24"/>
                <w:lang w:val="en-US" w:eastAsia="zh-CN"/>
              </w:rPr>
            </w:pPr>
            <w:r>
              <w:rPr>
                <w:rFonts w:hint="eastAsia" w:ascii="宋体" w:hAnsi="宋体"/>
                <w:b/>
                <w:sz w:val="24"/>
                <w:lang w:val="en-US" w:eastAsia="zh-CN"/>
              </w:rPr>
              <w:t>发送模板消息</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r>
              <w:rPr>
                <w:rFonts w:hint="eastAsia" w:ascii="宋体" w:hAnsi="宋体"/>
                <w:b/>
                <w:sz w:val="24"/>
                <w:lang w:val="en-US" w:eastAsia="zh-CN"/>
              </w:rPr>
              <w:t>模板消息</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TemplateMessage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b/>
                <w:sz w:val="24"/>
                <w:lang w:val="en-US" w:eastAsia="zh-CN"/>
              </w:rPr>
            </w:pPr>
            <w:r>
              <w:rPr>
                <w:rFonts w:hint="eastAsia" w:ascii="宋体" w:hAnsi="宋体"/>
                <w:b/>
                <w:sz w:val="24"/>
                <w:lang w:val="en-US" w:eastAsia="zh-CN"/>
              </w:rPr>
              <w:t>公众号菜单同步</w:t>
            </w: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sz w:val="24"/>
                <w:lang w:val="en-US" w:eastAsia="zh-CN"/>
              </w:rPr>
            </w:pPr>
          </w:p>
        </w:tc>
        <w:tc>
          <w:tcPr>
            <w:tcW w:w="1250"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lang w:val="en-US" w:eastAsia="zh-CN"/>
              </w:rPr>
              <w:t>同步菜单</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r>
              <w:rPr>
                <w:rFonts w:hint="eastAsia" w:ascii="宋体" w:hAnsi="宋体"/>
                <w:b/>
                <w:sz w:val="24"/>
              </w:rPr>
              <w:t>synchronize</w:t>
            </w:r>
          </w:p>
        </w:tc>
        <w:tc>
          <w:tcPr>
            <w:tcW w:w="1789"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b/>
                <w:sz w:val="24"/>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511040" cy="39471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4511040" cy="3947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Theme="minorEastAsia"/>
          <w:sz w:val="18"/>
          <w:szCs w:val="21"/>
          <w:lang w:val="en-US" w:eastAsia="zh-CN"/>
        </w:rPr>
      </w:pPr>
      <w:r>
        <w:rPr>
          <w:rFonts w:hint="eastAsia"/>
          <w:sz w:val="18"/>
          <w:szCs w:val="21"/>
          <w:lang w:val="en-US" w:eastAsia="zh-CN"/>
        </w:rPr>
        <w:t>服务构件逻辑关系分析</w:t>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170170" cy="3339465"/>
            <wp:effectExtent l="0" t="0" r="11430"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170170" cy="33394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18"/>
          <w:szCs w:val="18"/>
        </w:rPr>
      </w:pPr>
      <w:r>
        <w:rPr>
          <w:rFonts w:hint="eastAsia" w:ascii="黑体" w:hAnsi="黑体" w:eastAsia="黑体" w:cs="黑体"/>
          <w:sz w:val="18"/>
          <w:szCs w:val="18"/>
        </w:rPr>
        <w:t>五、服务实现结果比较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18"/>
          <w:szCs w:val="21"/>
        </w:rPr>
      </w:pPr>
      <w:r>
        <w:rPr>
          <w:rFonts w:hint="eastAsia" w:ascii="宋体" w:hAnsi="宋体" w:eastAsia="宋体" w:cs="宋体"/>
          <w:sz w:val="18"/>
          <w:szCs w:val="21"/>
        </w:rPr>
        <w:t>通过对业务流程的改进和服务实现的优化，我们可以提高用户的学习效率和学习体验。后台管理人员可以更方便地管理教师和课程信息，以及优惠券和订单等内容。用户可以更便捷地获取点播课程权限，免费观看部分课程视频，以及通过微信支付购买付费课程。同时，我们增加了模板消息的支持，使用户可以更快捷地获取课程信息和推荐学习的课程。总体来说，我们的改进和优化可以提高平台的用户满意度和用户粘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1DD30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2023-05-24T01:44:23Z</dcterms:created>
  <dc:creator>Rainbow</dc:creator>
  <cp:lastModifiedBy>向阳而生￡</cp:lastModifiedBy>
  <dcterms:modified xsi:type="dcterms:W3CDTF">2023-05-24T03:38:04Z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A7EA1DED904845D2BB946F7D4FC932FE_12</vt:lpwstr>
  </property>
</Properties>
</file>