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C6A08">
      <w:pPr>
        <w:rPr>
          <w:sz w:val="48"/>
          <w:szCs w:val="48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-1120775</wp:posOffset>
            </wp:positionH>
            <wp:positionV relativeFrom="paragraph">
              <wp:posOffset>-978535</wp:posOffset>
            </wp:positionV>
            <wp:extent cx="7665720" cy="10866120"/>
            <wp:effectExtent l="0" t="0" r="1905" b="190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65720" cy="1086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color w:val="F2F2F2" w:themeColor="background1" w:themeShade="F2"/>
          <w:sz w:val="44"/>
          <w:szCs w:val="44"/>
          <w:lang w:val="en-US"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259715</wp:posOffset>
                </wp:positionH>
                <wp:positionV relativeFrom="paragraph">
                  <wp:posOffset>3446145</wp:posOffset>
                </wp:positionV>
                <wp:extent cx="4991735" cy="172212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1735" cy="1722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43A4F2"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项目标语：易闲校园</w:t>
                            </w:r>
                          </w:p>
                          <w:p w14:paraId="5E8FF3AE">
                            <w:pPr>
                              <w:ind w:firstLine="3922" w:firstLineChars="70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——书香学苑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.45pt;margin-top:271.35pt;height:135.6pt;width:393.05pt;z-index:251663360;mso-width-relative:page;mso-height-relative:page;" filled="f" stroked="f" coordsize="21600,21600" o:gfxdata="UEsDBAoAAAAAAIdO4kAAAAAAAAAAAAAAAAAEAAAAZHJzL1BLAwQUAAAACACHTuJA15WdjNwAAAAK&#10;AQAADwAAAGRycy9kb3ducmV2LnhtbE2Py07DMBBF90j8gzVI7Kid0NI0jVOhSBUSoouWbtg58TSJ&#10;6keI3Qd8PcMKdjOaozvnFqurNeyMY+i9k5BMBDB0jde9ayXs39cPGbAQldPKeIcSvjDAqry9KVSu&#10;/cVt8byLLaMQF3IloYtxyDkPTYdWhYkf0NHt4EerIq1jy/WoLhRuDU+FeOJW9Y4+dGrAqsPmuDtZ&#10;Ca/VeqO2dWqzb1O9vB2eh8/9x0zK+7tELIFFvMY/GH71SR1Kcqr9yenAjISpWBApYTZN58AIyNI5&#10;latpSB4XwMuC/69Q/gBQSwMEFAAAAAgAh07iQErGD9U+AgAAaQQAAA4AAABkcnMvZTJvRG9jLnht&#10;bK1UwW7UMBC9I/EPlu80m+2W0lWz1dKqCKmilQri7HWcJpLtMba3SfkA+ANOXLjzXf0Onp3dbVU4&#10;9MDFGc+M3/i9Gef4ZDCa3SofOrIVL/cmnCkrqe7sTcU/fTx/9YazEIWthSarKn6nAj9ZvHxx3Lu5&#10;mlJLulaeAcSGee8q3sbo5kURZKuMCHvklEWwIW9ExNbfFLUXPdCNLqaTyeuiJ187T1KFAO/ZGOQb&#10;RP8cQGqaTqozkmujbBxRvdIiglJoOxf4It+2aZSMl00TVGS64mAa84oisFdpLRbHYn7jhWs7ubmC&#10;eM4VnnAyorMouoM6E1Gwte/+gjKd9BSoiXuSTDESyYqARTl5os11K5zKXCB1cDvRw/+DlR9urzzr&#10;akwCJLHCoOP3P77f//x9/+sbgw8C9S7MkXftkBmHtzQgeesPcCbeQ+NN+oIRQxxYdzt51RCZhHN2&#10;dFQe7h9wJhErD6fTcprxi4fjzof4TpFhyai4R/+yrOL2IkRcBanblFTN0nmnde6htqyv+Ov9g0k+&#10;sIvghLY4mEiMl01WHFbDhtmK6jsQ8zTORnDyvEPxCxHilfAYBnDBc4mXWBpNKEIbi7OW/Nd/+VM+&#10;eoQoZz2Gq+Lhy1p4xZl+b9G9o3I2A2zMm9nBIXRg/nFk9Thi1+aUML8lHqaT2Uz5UW/NxpP5jFe1&#10;TFURElaidsXj1jyN48jjVUq1XOYkzJ8T8cJeO5mgRzmX60hNl5VOMo3abNTDBOYGbF5LGvHH+5z1&#10;8IdY/A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XlZ2M3AAAAAoBAAAPAAAAAAAAAAEAIAAAACIA&#10;AABkcnMvZG93bnJldi54bWxQSwECFAAUAAAACACHTuJASsYP1T4CAABp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343A4F2"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项目标语：易闲校园</w:t>
                      </w:r>
                    </w:p>
                    <w:p w14:paraId="5E8FF3AE">
                      <w:pPr>
                        <w:ind w:firstLine="3922" w:firstLineChars="700"/>
                        <w:jc w:val="left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——书香学苑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color w:val="F2F2F2" w:themeColor="background1" w:themeShade="F2"/>
          <w:sz w:val="44"/>
          <w:szCs w:val="44"/>
          <w:lang w:val="en-US"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2719705</wp:posOffset>
                </wp:positionH>
                <wp:positionV relativeFrom="paragraph">
                  <wp:posOffset>7058025</wp:posOffset>
                </wp:positionV>
                <wp:extent cx="2345690" cy="60769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690" cy="607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579ADC">
                            <w:pPr>
                              <w:jc w:val="right"/>
                              <w:rPr>
                                <w:rFonts w:hint="default" w:ascii="微软雅黑" w:hAnsi="微软雅黑" w:eastAsia="微软雅黑" w:cs="微软雅黑"/>
                                <w:color w:val="595959" w:themeColor="text1" w:themeTint="A6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2026年6月7日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4.15pt;margin-top:555.75pt;height:47.85pt;width:184.7pt;z-index:251664384;mso-width-relative:page;mso-height-relative:page;" filled="f" stroked="f" coordsize="21600,21600" o:gfxdata="UEsDBAoAAAAAAIdO4kAAAAAAAAAAAAAAAAAEAAAAZHJzL1BLAwQUAAAACACHTuJABt522NwAAAAN&#10;AQAADwAAAGRycy9kb3ducmV2LnhtbE2PS0/DMBCE70j8B2uRuFG7hpIQ4lQoUoWE6KGlF26b2E0i&#10;/Aix+4Bfz3KCve3OaPabcnl2lh3NFIfgFcxnApjxbdCD7xTs3lY3ObCY0Gu0wRsFXybCsrq8KLHQ&#10;4eQ35rhNHaMQHwtU0Kc0FpzHtjcO4yyMxpO2D5PDROvUcT3hicKd5VKIe+5w8PShx9HUvWk/tgen&#10;4KVerXHTSJd/2/r5df80fu7eF0pdX83FI7BkzunPDL/4hA4VMTXh4HVkVsGdzG/JSgLNAhhZsocs&#10;A9bQSYpMAq9K/r9F9QNQSwMEFAAAAAgAh07iQJsxv3I8AgAAaAQAAA4AAABkcnMvZTJvRG9jLnht&#10;bK1UwW4TMRC9I/EPlu90kzQJNOqmCq2KkCpaqSDOjtfbXcn2GNvpbvkA+ANOXLjzXf0Onr1JWhUO&#10;PXBxxjOzb/zezOT4pDea3SofWrIlHx+MOFNWUtXam5J/+nj+6g1nIQpbCU1WlfxOBX6yfPniuHML&#10;NaGGdKU8A4gNi86VvInRLYoiyEYZEQ7IKYtgTd6IiKu/KSovOqAbXUxGo3nRka+cJ6lCgPdsCPIt&#10;on8OINV1K9UZyY1RNg6oXmkRQSk0rQt8mV9b10rGy7oOKjJdcjCN+UQR2Ot0FstjsbjxwjWt3D5B&#10;POcJTzgZ0VoU3UOdiSjYxrd/QZlWegpUxwNJphiIZEXAYjx6os11I5zKXCB1cHvRw/+DlR9urzxr&#10;K0zCIWdWGHT8/sf3+5+/7399Y/BBoM6FBfKuHTJj/5Z6JO/8Ac7Eu6+9Sb9gxBCHvHd7eVUfmYRz&#10;cjidzY8QkojNR6/nR7MEUzx87XyI7xQZloySe7QvqypuL0IcUncpqZil81br3EJtWQfQw9kof7CP&#10;AFxb1EgchrcmK/brfktsTdUdeHkaRiM4ed6i+IUI8Up4zALei22JlzhqTShCW4uzhvzXf/lTPlqE&#10;KGcdZqvk4ctGeMWZfm/RvKPxdArYmC/T2esJLv5xZP04YjfmlDC+Y+ylk9lM+VHvzNqT+YylWqWq&#10;CAkrUbvkcWeexmHisZRSrVY5CePnRLyw104m6EHO1SZS3Walk0yDNlv1MIC5V9tlSRP++J6zHv4g&#10;l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Bt522NwAAAANAQAADwAAAAAAAAABACAAAAAiAAAA&#10;ZHJzL2Rvd25yZXYueG1sUEsBAhQAFAAAAAgAh07iQJsxv3I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4579ADC">
                      <w:pPr>
                        <w:jc w:val="right"/>
                        <w:rPr>
                          <w:rFonts w:hint="default" w:ascii="微软雅黑" w:hAnsi="微软雅黑" w:eastAsia="微软雅黑" w:cs="微软雅黑"/>
                          <w:color w:val="595959" w:themeColor="text1" w:themeTint="A6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2026年6月7日</w:t>
                      </w:r>
                    </w:p>
                  </w:txbxContent>
                </v:textbox>
              </v:shape>
            </w:pict>
          </mc:Fallback>
        </mc:AlternateContent>
      </w:r>
      <w:bookmarkStart w:id="37" w:name="_GoBack"/>
      <w:bookmarkEnd w:id="37"/>
      <w:r>
        <w:rPr>
          <w:rFonts w:hint="eastAsia" w:ascii="微软雅黑" w:hAnsi="微软雅黑" w:eastAsia="微软雅黑" w:cs="微软雅黑"/>
          <w:b/>
          <w:bCs/>
          <w:color w:val="F2F2F2" w:themeColor="background1" w:themeShade="F2"/>
          <w:sz w:val="44"/>
          <w:szCs w:val="44"/>
          <w:lang w:val="en-US"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186690</wp:posOffset>
                </wp:positionH>
                <wp:positionV relativeFrom="paragraph">
                  <wp:posOffset>2022475</wp:posOffset>
                </wp:positionV>
                <wp:extent cx="5804535" cy="71247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4535" cy="712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AA6DE5">
                            <w:pPr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color w:val="000000" w:themeColor="text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25级软件技术2班朱梦涵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.7pt;margin-top:159.25pt;height:56.1pt;width:457.05pt;z-index:251662336;mso-width-relative:page;mso-height-relative:page;" filled="f" stroked="f" coordsize="21600,21600" o:gfxdata="UEsDBAoAAAAAAIdO4kAAAAAAAAAAAAAAAAAEAAAAZHJzL1BLAwQUAAAACACHTuJAHMs0PNwAAAAK&#10;AQAADwAAAGRycy9kb3ducmV2LnhtbE2Py07DMBBF90j8gzVI7KjzKqRpJhWKVCEhumjppjsndpMI&#10;exxi9wFfj1nBbkZzdOfccnU1mp3V5AZLCPEsAqaotXKgDmH/vn7IgTkvSAptSSF8KQer6vamFIW0&#10;F9qq8853LISQKwRC7/1YcO7aXhnhZnZUFG5HOxnhwzp1XE7iEsKN5kkUPXIjBgofejGqulftx+5k&#10;EF7r9UZsm8Tk37p+eTs+j5/7wxzx/i6OlsC8uvo/GH71gzpUwamxJ5KOaYRkkQUSIY3zObAALLI0&#10;DA1ClkZPwKuS/69Q/QBQSwMEFAAAAAgAh07iQNnLhjg+AgAAZgQAAA4AAABkcnMvZTJvRG9jLnht&#10;bK1UwW7bMAy9D9g/CLovdtKkzYI4RdYgw4BgLZANOyuyHBuQRE1SYmcfsP1BT7vsvu/Kd4ySnTTo&#10;duhhF5kiKZLvkfT0tlGS7IV1FeiM9nspJUJzyCu9zejnT8s3Y0qcZzpnErTI6EE4ejt7/Wpam4kY&#10;QAkyF5ZgEO0mtclo6b2ZJInjpVDM9cAIjcYCrGIer3ab5JbVGF3JZJCm10kNNjcWuHAOtYvWSLuI&#10;9iUBoSgqLhbAd0po30a1QjKPkFxZGUdnsdqiENzfF4UTnsiMIlIfT0yC8iacyWzKJlvLTFnxrgT2&#10;khKeYVKs0pj0HGrBPCM7W/0VSlXcgoPC9ziopAUSGUEU/fQZN+uSGRGxINXOnEl3/y8s/7h/sKTK&#10;M4pt10xhw4+PP44/fx9/fSfjQE9t3AS91gb9fPMOGhyak96hMqBuCqvCF/EQtCO5hzO5ovGEo3I0&#10;ToejqxElHG03/cHwJrKfPL021vn3AhQJQkYtNi9yyvYr57ESdD25hGQalpWUsYFSkzqj11ejND44&#10;W/CF1PgwYGhrDZJvNk0HbAP5AXFZaAfDGb6sMPmKOf/ALE4CQsFd8fd4FBIwCXQSJSXYb//SB39s&#10;EFopqXGyMuq+7pgVlMgPGlv3tj8chlGMl+HoZoAXe2nZXFr0Tt0BDm8ft9LwKAZ/L09iYUF9wZWa&#10;h6xoYppj7oz6k3jn23nHleRiPo9OOHyG+ZVeGx5Ct3TOdx6KKjIdaGq56djD8YsN6FYlzPflPXo9&#10;/R5m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cyzQ83AAAAAoBAAAPAAAAAAAAAAEAIAAAACIA&#10;AABkcnMvZG93bnJldi54bWxQSwECFAAUAAAACACHTuJA2cuGOD4CAABm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8AA6DE5">
                      <w:pPr>
                        <w:jc w:val="center"/>
                        <w:rPr>
                          <w:rFonts w:hint="default" w:ascii="微软雅黑" w:hAnsi="微软雅黑" w:eastAsia="微软雅黑" w:cs="微软雅黑"/>
                          <w:color w:val="000000" w:themeColor="text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25级软件技术2班朱梦涵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-186690</wp:posOffset>
                </wp:positionH>
                <wp:positionV relativeFrom="paragraph">
                  <wp:posOffset>306070</wp:posOffset>
                </wp:positionV>
                <wp:extent cx="5746750" cy="159131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6750" cy="159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BBF5E9">
                            <w:pPr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144"/>
                                <w:szCs w:val="14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144"/>
                                <w:szCs w:val="14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创业计划书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4.7pt;margin-top:24.1pt;height:125.3pt;width:452.5pt;z-index:251661312;mso-width-relative:page;mso-height-relative:page;" filled="f" stroked="f" coordsize="21600,21600" o:gfxdata="UEsDBAoAAAAAAIdO4kAAAAAAAAAAAAAAAAAEAAAAZHJzL1BLAwQUAAAACACHTuJAsXVZKtwAAAAK&#10;AQAADwAAAGRycy9kb3ducmV2LnhtbE2Py07DMBBF90j8gzVI7FqnVlvcEKdCkSokBIuWbthNYjeJ&#10;sMchdh/w9ZhVWY7u0b1nivXFWXYyY+g9KZhNM2CGGq97ahXs3zcTCSxEJI3Wk1HwbQKsy9ubAnPt&#10;z7Q1p11sWSqhkKOCLsYh5zw0nXEYpn4wlLKDHx3GdI4t1yOeU7mzXGTZkjvsKS10OJiqM83n7ugU&#10;vFSbN9zWwskfWz2/Hp6Gr/3HQqn7u1n2CCyaS7zC8Kef1KFMTrU/kg7MKpiI1TyhCuZSAEuAfFgs&#10;gdUKxEpK4GXB/79Q/gJQSwMEFAAAAAgAh07iQCKNS3g8AgAAZwQAAA4AAABkcnMvZTJvRG9jLnht&#10;bK1UzW4TMRC+I/EOlu90s21+aJRNFRoFIVW0UkGcHa+3u5L/sJ3uhgeAN+DEhTvPlefgszdJS+HQ&#10;Axfv2DP+Zr5vxju76JQk98L5xuiC5icDSoTmpmz0XUE/fli9ek2JD0yXTBotCroVnl7MX76YtXYq&#10;Tk1tZCkcAYj209YWtA7BTrPM81oo5k+MFRrOyjjFArbuLisda4GuZHY6GIyz1rjSOsOF9zhd9k66&#10;R3TPATRV1XCxNHyjhA49qhOSBVDydWM9nadqq0rwcF1VXgQiCwqmIa1IAnsd12w+Y9M7x2zd8H0J&#10;7DklPOGkWKOR9Ai1ZIGRjWv+glINd8abKpxwo7KeSFIELPLBE21ua2ZF4gKpvT2K7v8fLH9/f+NI&#10;UxZ0QolmCg3fff+2+/Fr9/MrmUR5WuuniLq1iAvdG9NhaA7nHoeRdVc5Fb/gQ+CHuNujuKILhONw&#10;NBmOJyO4OHz56Dw/y5P82cN163x4K4wi0SioQ/eSqOz+ygeUgtBDSMymzaqRMnVQatIWdHwG/D88&#10;uCE1LkYSfbHRCt262zNbm3ILYs70k+EtXzVIfsV8uGEOo4CC8VjCNZZKGiQxe4uS2rgv/zqP8egQ&#10;vJS0GK2C+s8b5gQl8p1G787z4RCwIW2Go8kpNu6xZ/3Yozfq0mB6czxLy5MZ44M8mJUz6hPe1CJm&#10;hYtpjtwFDQfzMvQDjzfJxWKRgjB9loUrfWt5hO5FW2yCqZqkdJSp12avHuYvNWD/VuKAP96nqIf/&#10;w/w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sXVZKtwAAAAKAQAADwAAAAAAAAABACAAAAAiAAAA&#10;ZHJzL2Rvd25yZXYueG1sUEsBAhQAFAAAAAgAh07iQCKNS3g8AgAAZw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ABBF5E9">
                      <w:pPr>
                        <w:jc w:val="center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sz w:val="144"/>
                          <w:szCs w:val="14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144"/>
                          <w:szCs w:val="14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创业计划书</w:t>
                      </w:r>
                    </w:p>
                  </w:txbxContent>
                </v:textbox>
              </v:shape>
            </w:pict>
          </mc:Fallback>
        </mc:AlternateContent>
      </w:r>
    </w:p>
    <w:p w14:paraId="2042B3B5">
      <w:pPr>
        <w:rPr>
          <w:sz w:val="24"/>
          <w:szCs w:val="48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9697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sdtEndPr>
      <w:sdtContent>
        <w:p w14:paraId="50F28CB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50345ACD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_Toc12549 </w:instrText>
          </w:r>
          <w:r>
            <w:fldChar w:fldCharType="separate"/>
          </w:r>
          <w:r>
            <w:rPr>
              <w:szCs w:val="48"/>
            </w:rPr>
            <w:t>一、计划摘要</w:t>
          </w:r>
          <w:r>
            <w:tab/>
          </w:r>
          <w:r>
            <w:fldChar w:fldCharType="begin"/>
          </w:r>
          <w:r>
            <w:instrText xml:space="preserve"> PAGEREF _Toc12549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F7A2780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</w:pPr>
          <w:r>
            <w:fldChar w:fldCharType="begin"/>
          </w:r>
          <w:r>
            <w:instrText xml:space="preserve"> HYPERLINK \l _Toc24144 </w:instrText>
          </w:r>
          <w:r>
            <w:fldChar w:fldCharType="separate"/>
          </w:r>
          <w:r>
            <w:rPr>
              <w:szCs w:val="48"/>
            </w:rPr>
            <w:t>二、企业介绍</w:t>
          </w:r>
          <w:r>
            <w:tab/>
          </w:r>
          <w:r>
            <w:fldChar w:fldCharType="begin"/>
          </w:r>
          <w:r>
            <w:instrText xml:space="preserve"> PAGEREF _Toc24144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1431C68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</w:pPr>
          <w:r>
            <w:fldChar w:fldCharType="begin"/>
          </w:r>
          <w:r>
            <w:instrText xml:space="preserve"> HYPERLINK \l _Toc23558 </w:instrText>
          </w:r>
          <w: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szCs w:val="28"/>
            </w:rPr>
            <w:t>（一）经营理念</w:t>
          </w:r>
          <w:r>
            <w:tab/>
          </w:r>
          <w:r>
            <w:fldChar w:fldCharType="begin"/>
          </w:r>
          <w:r>
            <w:instrText xml:space="preserve"> PAGEREF _Toc23558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7E1DDAA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</w:pPr>
          <w:r>
            <w:fldChar w:fldCharType="begin"/>
          </w:r>
          <w:r>
            <w:instrText xml:space="preserve"> HYPERLINK \l _Toc19475 </w:instrText>
          </w:r>
          <w: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szCs w:val="28"/>
            </w:rPr>
            <w:t>（二）发展目标</w:t>
          </w:r>
          <w:r>
            <w:tab/>
          </w:r>
          <w:r>
            <w:fldChar w:fldCharType="begin"/>
          </w:r>
          <w:r>
            <w:instrText xml:space="preserve"> PAGEREF _Toc19475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895F1DB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</w:pPr>
          <w:r>
            <w:fldChar w:fldCharType="begin"/>
          </w:r>
          <w:r>
            <w:instrText xml:space="preserve"> HYPERLINK \l _Toc4752 </w:instrText>
          </w:r>
          <w:r>
            <w:fldChar w:fldCharType="separate"/>
          </w:r>
          <w:r>
            <w:rPr>
              <w:szCs w:val="48"/>
            </w:rPr>
            <w:t>三、人员结构</w:t>
          </w:r>
          <w:r>
            <w:tab/>
          </w:r>
          <w:r>
            <w:fldChar w:fldCharType="begin"/>
          </w:r>
          <w:r>
            <w:instrText xml:space="preserve"> PAGEREF _Toc4752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774320E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</w:pPr>
          <w:r>
            <w:fldChar w:fldCharType="begin"/>
          </w:r>
          <w:r>
            <w:instrText xml:space="preserve"> HYPERLINK \l _Toc17565 </w:instrText>
          </w:r>
          <w:r>
            <w:fldChar w:fldCharType="separate"/>
          </w:r>
          <w:r>
            <w:rPr>
              <w:szCs w:val="48"/>
            </w:rPr>
            <w:t>四、产品服务</w:t>
          </w:r>
          <w:r>
            <w:tab/>
          </w:r>
          <w:r>
            <w:fldChar w:fldCharType="begin"/>
          </w:r>
          <w:r>
            <w:instrText xml:space="preserve"> PAGEREF _Toc17565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0B7C2B6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</w:pPr>
          <w:r>
            <w:fldChar w:fldCharType="begin"/>
          </w:r>
          <w:r>
            <w:instrText xml:space="preserve"> HYPERLINK \l _Toc407 </w:instrText>
          </w:r>
          <w: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szCs w:val="28"/>
            </w:rPr>
            <w:t>（一）核心服务内容</w:t>
          </w:r>
          <w:r>
            <w:tab/>
          </w:r>
          <w:r>
            <w:fldChar w:fldCharType="begin"/>
          </w:r>
          <w:r>
            <w:instrText xml:space="preserve"> PAGEREF _Toc407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18610D8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</w:pPr>
          <w:r>
            <w:fldChar w:fldCharType="begin"/>
          </w:r>
          <w:r>
            <w:instrText xml:space="preserve"> HYPERLINK \l _Toc26168 </w:instrText>
          </w:r>
          <w: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szCs w:val="28"/>
            </w:rPr>
            <w:t>（二）产品独特性</w:t>
          </w:r>
          <w:r>
            <w:tab/>
          </w:r>
          <w:r>
            <w:fldChar w:fldCharType="begin"/>
          </w:r>
          <w:r>
            <w:instrText xml:space="preserve"> PAGEREF _Toc26168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017FAD5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</w:pPr>
          <w:r>
            <w:fldChar w:fldCharType="begin"/>
          </w:r>
          <w:r>
            <w:instrText xml:space="preserve"> HYPERLINK \l _Toc26328 </w:instrText>
          </w:r>
          <w: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szCs w:val="28"/>
            </w:rPr>
            <w:t>（三）解决核心痛点</w:t>
          </w:r>
          <w:r>
            <w:tab/>
          </w:r>
          <w:r>
            <w:fldChar w:fldCharType="begin"/>
          </w:r>
          <w:r>
            <w:instrText xml:space="preserve"> PAGEREF _Toc26328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ED22807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</w:pPr>
          <w:r>
            <w:fldChar w:fldCharType="begin"/>
          </w:r>
          <w:r>
            <w:instrText xml:space="preserve"> HYPERLINK \l _Toc5597 </w:instrText>
          </w:r>
          <w:r>
            <w:fldChar w:fldCharType="separate"/>
          </w:r>
          <w:r>
            <w:rPr>
              <w:szCs w:val="48"/>
            </w:rPr>
            <w:t>五、行业分析</w:t>
          </w:r>
          <w:r>
            <w:tab/>
          </w:r>
          <w:r>
            <w:fldChar w:fldCharType="begin"/>
          </w:r>
          <w:r>
            <w:instrText xml:space="preserve"> PAGEREF _Toc5597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50C4AA4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</w:pPr>
          <w:r>
            <w:fldChar w:fldCharType="begin"/>
          </w:r>
          <w:r>
            <w:instrText xml:space="preserve"> HYPERLINK \l _Toc212 </w:instrText>
          </w:r>
          <w: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szCs w:val="28"/>
            </w:rPr>
            <w:t>（一）行业特点</w:t>
          </w:r>
          <w:r>
            <w:tab/>
          </w:r>
          <w:r>
            <w:fldChar w:fldCharType="begin"/>
          </w:r>
          <w:r>
            <w:instrText xml:space="preserve"> PAGEREF _Toc212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CEE4347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</w:pPr>
          <w:r>
            <w:fldChar w:fldCharType="begin"/>
          </w:r>
          <w:r>
            <w:instrText xml:space="preserve"> HYPERLINK \l _Toc30666 </w:instrText>
          </w:r>
          <w: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szCs w:val="28"/>
            </w:rPr>
            <w:t>（二）竞争状态</w:t>
          </w:r>
          <w:r>
            <w:tab/>
          </w:r>
          <w:r>
            <w:fldChar w:fldCharType="begin"/>
          </w:r>
          <w:r>
            <w:instrText xml:space="preserve"> PAGEREF _Toc30666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0584B7C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</w:pPr>
          <w:r>
            <w:fldChar w:fldCharType="begin"/>
          </w:r>
          <w:r>
            <w:instrText xml:space="preserve"> HYPERLINK \l _Toc19337 </w:instrText>
          </w:r>
          <w: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szCs w:val="28"/>
            </w:rPr>
            <w:t>（三）发展趋势</w:t>
          </w:r>
          <w:r>
            <w:tab/>
          </w:r>
          <w:r>
            <w:fldChar w:fldCharType="begin"/>
          </w:r>
          <w:r>
            <w:instrText xml:space="preserve"> PAGEREF _Toc19337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D42B4E4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</w:pPr>
          <w:r>
            <w:fldChar w:fldCharType="begin"/>
          </w:r>
          <w:r>
            <w:instrText xml:space="preserve"> HYPERLINK \l _Toc17881 </w:instrText>
          </w:r>
          <w:r>
            <w:fldChar w:fldCharType="separate"/>
          </w:r>
          <w:r>
            <w:rPr>
              <w:szCs w:val="48"/>
            </w:rPr>
            <w:t>六、市场分析</w:t>
          </w:r>
          <w:r>
            <w:tab/>
          </w:r>
          <w:r>
            <w:fldChar w:fldCharType="begin"/>
          </w:r>
          <w:r>
            <w:instrText xml:space="preserve"> PAGEREF _Toc17881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120C493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</w:pPr>
          <w:r>
            <w:fldChar w:fldCharType="begin"/>
          </w:r>
          <w:r>
            <w:instrText xml:space="preserve"> HYPERLINK \l _Toc22514 </w:instrText>
          </w:r>
          <w:r>
            <w:fldChar w:fldCharType="separate"/>
          </w:r>
          <w:r>
            <w:rPr>
              <w:szCs w:val="32"/>
            </w:rPr>
            <w:t>（</w:t>
          </w:r>
          <w:r>
            <w:rPr>
              <w:rFonts w:hint="eastAsia" w:asciiTheme="majorEastAsia" w:hAnsiTheme="majorEastAsia" w:eastAsiaTheme="majorEastAsia" w:cstheme="majorEastAsia"/>
              <w:szCs w:val="28"/>
            </w:rPr>
            <w:t>一）市场需求</w:t>
          </w:r>
          <w:r>
            <w:tab/>
          </w:r>
          <w:r>
            <w:fldChar w:fldCharType="begin"/>
          </w:r>
          <w:r>
            <w:instrText xml:space="preserve"> PAGEREF _Toc22514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E508062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</w:pPr>
          <w:r>
            <w:fldChar w:fldCharType="begin"/>
          </w:r>
          <w:r>
            <w:instrText xml:space="preserve"> HYPERLINK \l _Toc14714 </w:instrText>
          </w:r>
          <w: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szCs w:val="28"/>
            </w:rPr>
            <w:t>（二）市场现状</w:t>
          </w:r>
          <w:r>
            <w:tab/>
          </w:r>
          <w:r>
            <w:fldChar w:fldCharType="begin"/>
          </w:r>
          <w:r>
            <w:instrText xml:space="preserve"> PAGEREF _Toc14714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A6E3E83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</w:pPr>
          <w:r>
            <w:fldChar w:fldCharType="begin"/>
          </w:r>
          <w:r>
            <w:instrText xml:space="preserve"> HYPERLINK \l _Toc15517 </w:instrText>
          </w:r>
          <w: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szCs w:val="28"/>
            </w:rPr>
            <w:t>（三）竞争厂商分析</w:t>
          </w:r>
          <w:r>
            <w:tab/>
          </w:r>
          <w:r>
            <w:fldChar w:fldCharType="begin"/>
          </w:r>
          <w:r>
            <w:instrText xml:space="preserve"> PAGEREF _Toc15517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2F1016F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</w:pPr>
          <w:r>
            <w:fldChar w:fldCharType="begin"/>
          </w:r>
          <w:r>
            <w:instrText xml:space="preserve"> HYPERLINK \l _Toc11894 </w:instrText>
          </w:r>
          <w: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szCs w:val="28"/>
            </w:rPr>
            <w:t>（四）目标客户与目标市场</w:t>
          </w:r>
          <w:r>
            <w:tab/>
          </w:r>
          <w:r>
            <w:fldChar w:fldCharType="begin"/>
          </w:r>
          <w:r>
            <w:instrText xml:space="preserve"> PAGEREF _Toc11894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FF50D39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</w:pPr>
          <w:r>
            <w:fldChar w:fldCharType="begin"/>
          </w:r>
          <w:r>
            <w:instrText xml:space="preserve"> HYPERLINK \l _Toc20436 </w:instrText>
          </w:r>
          <w:r>
            <w:fldChar w:fldCharType="separate"/>
          </w:r>
          <w:r>
            <w:rPr>
              <w:szCs w:val="48"/>
            </w:rPr>
            <w:t>七、财务规划（未来一年）</w:t>
          </w:r>
          <w:r>
            <w:tab/>
          </w:r>
          <w:r>
            <w:fldChar w:fldCharType="begin"/>
          </w:r>
          <w:r>
            <w:instrText xml:space="preserve"> PAGEREF _Toc20436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F764CF7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</w:pPr>
          <w:r>
            <w:fldChar w:fldCharType="begin"/>
          </w:r>
          <w:r>
            <w:instrText xml:space="preserve"> HYPERLINK \l _Toc3311 </w:instrText>
          </w:r>
          <w: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szCs w:val="28"/>
            </w:rPr>
            <w:t>（一）初始启动资金（总投入：4800 元）</w:t>
          </w:r>
          <w:r>
            <w:tab/>
          </w:r>
          <w:r>
            <w:fldChar w:fldCharType="begin"/>
          </w:r>
          <w:r>
            <w:instrText xml:space="preserve"> PAGEREF _Toc3311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0EBB77F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</w:pPr>
          <w:r>
            <w:fldChar w:fldCharType="begin"/>
          </w:r>
          <w:r>
            <w:instrText xml:space="preserve"> HYPERLINK \l _Toc8237 </w:instrText>
          </w:r>
          <w: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szCs w:val="28"/>
            </w:rPr>
            <w:t>（二）年度财务预测</w:t>
          </w:r>
          <w:r>
            <w:tab/>
          </w:r>
          <w:r>
            <w:fldChar w:fldCharType="begin"/>
          </w:r>
          <w:r>
            <w:instrText xml:space="preserve"> PAGEREF _Toc8237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6D9F2F5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</w:pPr>
          <w:r>
            <w:fldChar w:fldCharType="begin"/>
          </w:r>
          <w:r>
            <w:instrText xml:space="preserve"> HYPERLINK \l _Toc15414 </w:instrText>
          </w:r>
          <w: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szCs w:val="28"/>
            </w:rPr>
            <w:t>（三）明确投资回收方式</w:t>
          </w:r>
          <w:r>
            <w:tab/>
          </w:r>
          <w:r>
            <w:fldChar w:fldCharType="begin"/>
          </w:r>
          <w:r>
            <w:instrText xml:space="preserve"> PAGEREF _Toc15414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776B8A1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</w:pPr>
          <w:r>
            <w:fldChar w:fldCharType="begin"/>
          </w:r>
          <w:r>
            <w:instrText xml:space="preserve"> HYPERLINK \l _Toc1663 </w:instrText>
          </w:r>
          <w: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szCs w:val="28"/>
            </w:rPr>
            <w:t>（四）资金管控</w:t>
          </w:r>
          <w:r>
            <w:tab/>
          </w:r>
          <w:r>
            <w:fldChar w:fldCharType="begin"/>
          </w:r>
          <w:r>
            <w:instrText xml:space="preserve"> PAGEREF _Toc1663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2EEE025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</w:pPr>
          <w:r>
            <w:fldChar w:fldCharType="begin"/>
          </w:r>
          <w:r>
            <w:instrText xml:space="preserve"> HYPERLINK \l _Toc11626 </w:instrText>
          </w:r>
          <w:r>
            <w:fldChar w:fldCharType="separate"/>
          </w:r>
          <w:r>
            <w:rPr>
              <w:szCs w:val="48"/>
            </w:rPr>
            <w:t>八、风险管理</w:t>
          </w:r>
          <w:r>
            <w:tab/>
          </w:r>
          <w:r>
            <w:fldChar w:fldCharType="begin"/>
          </w:r>
          <w:r>
            <w:instrText xml:space="preserve"> PAGEREF _Toc11626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7F84CF4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</w:pPr>
          <w:r>
            <w:fldChar w:fldCharType="begin"/>
          </w:r>
          <w:r>
            <w:instrText xml:space="preserve"> HYPERLINK \l _Toc17543 </w:instrText>
          </w:r>
          <w: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szCs w:val="28"/>
            </w:rPr>
            <w:t>（一）市场竞争风险</w:t>
          </w:r>
          <w:r>
            <w:tab/>
          </w:r>
          <w:r>
            <w:fldChar w:fldCharType="begin"/>
          </w:r>
          <w:r>
            <w:instrText xml:space="preserve"> PAGEREF _Toc17543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4CCA449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</w:pPr>
          <w:r>
            <w:fldChar w:fldCharType="begin"/>
          </w:r>
          <w:r>
            <w:instrText xml:space="preserve"> HYPERLINK \l _Toc17409 </w:instrText>
          </w:r>
          <w: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szCs w:val="28"/>
            </w:rPr>
            <w:t>（二）货品积压风险</w:t>
          </w:r>
          <w:r>
            <w:tab/>
          </w:r>
          <w:r>
            <w:fldChar w:fldCharType="begin"/>
          </w:r>
          <w:r>
            <w:instrText xml:space="preserve"> PAGEREF _Toc17409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52E77B0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</w:pPr>
          <w:r>
            <w:fldChar w:fldCharType="begin"/>
          </w:r>
          <w:r>
            <w:instrText xml:space="preserve"> HYPERLINK \l _Toc32206 </w:instrText>
          </w:r>
          <w: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szCs w:val="28"/>
            </w:rPr>
            <w:t>（三）运营服务风险</w:t>
          </w:r>
          <w:r>
            <w:tab/>
          </w:r>
          <w:r>
            <w:fldChar w:fldCharType="begin"/>
          </w:r>
          <w:r>
            <w:instrText xml:space="preserve"> PAGEREF _Toc32206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ED99F84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</w:pPr>
          <w:r>
            <w:fldChar w:fldCharType="begin"/>
          </w:r>
          <w:r>
            <w:instrText xml:space="preserve"> HYPERLINK \l _Toc21418 </w:instrText>
          </w:r>
          <w: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szCs w:val="28"/>
            </w:rPr>
            <w:t>（四）财务风险</w:t>
          </w:r>
          <w:r>
            <w:tab/>
          </w:r>
          <w:r>
            <w:fldChar w:fldCharType="begin"/>
          </w:r>
          <w:r>
            <w:instrText xml:space="preserve"> PAGEREF _Toc21418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C723131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</w:pPr>
          <w:r>
            <w:fldChar w:fldCharType="begin"/>
          </w:r>
          <w:r>
            <w:instrText xml:space="preserve"> HYPERLINK \l _Toc1154 </w:instrText>
          </w:r>
          <w: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szCs w:val="28"/>
            </w:rPr>
            <w:t>（五）人员变动风险</w:t>
          </w:r>
          <w:r>
            <w:tab/>
          </w:r>
          <w:r>
            <w:fldChar w:fldCharType="begin"/>
          </w:r>
          <w:r>
            <w:instrText xml:space="preserve"> PAGEREF _Toc1154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D2BDE6C">
          <w:r>
            <w:fldChar w:fldCharType="end"/>
          </w:r>
        </w:p>
      </w:sdtContent>
    </w:sdt>
    <w:p w14:paraId="0E859E05"/>
    <w:p w14:paraId="443F1160">
      <w:pPr>
        <w:rPr>
          <w:rFonts w:asciiTheme="minorHAnsi" w:hAnsiTheme="minorHAnsi" w:eastAsiaTheme="minorEastAsia" w:cstheme="minorBidi"/>
          <w:kern w:val="2"/>
          <w:sz w:val="21"/>
          <w:szCs w:val="48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48"/>
          <w:lang w:val="en-US" w:eastAsia="zh-CN" w:bidi="ar-SA"/>
        </w:rPr>
        <w:br w:type="page"/>
      </w:r>
    </w:p>
    <w:p w14:paraId="3B670332">
      <w:pPr>
        <w:bidi w:val="0"/>
        <w:jc w:val="left"/>
        <w:rPr>
          <w:lang w:val="en-US" w:eastAsia="zh-CN"/>
        </w:rPr>
        <w:sectPr>
          <w:headerReference r:id="rId5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58CB31EC">
      <w:pPr>
        <w:rPr>
          <w:rFonts w:asciiTheme="minorHAnsi" w:hAnsiTheme="minorHAnsi" w:eastAsiaTheme="minorEastAsia" w:cstheme="minorBidi"/>
          <w:kern w:val="2"/>
          <w:sz w:val="21"/>
          <w:szCs w:val="48"/>
          <w:lang w:val="en-US" w:eastAsia="zh-CN" w:bidi="ar-SA"/>
        </w:rPr>
      </w:pPr>
    </w:p>
    <w:p w14:paraId="3547164A">
      <w:pPr>
        <w:rPr>
          <w:rFonts w:asciiTheme="minorHAnsi" w:hAnsiTheme="minorHAnsi" w:eastAsiaTheme="minorEastAsia" w:cstheme="minorBidi"/>
          <w:kern w:val="2"/>
          <w:sz w:val="21"/>
          <w:szCs w:val="48"/>
          <w:lang w:val="en-US" w:eastAsia="zh-CN" w:bidi="ar-SA"/>
        </w:rPr>
      </w:pPr>
    </w:p>
    <w:p w14:paraId="61D993D0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/>
        <w:jc w:val="left"/>
        <w:textAlignment w:val="auto"/>
        <w:outlineLvl w:val="0"/>
        <w:rPr>
          <w:sz w:val="32"/>
          <w:szCs w:val="32"/>
        </w:rPr>
      </w:pPr>
      <w:bookmarkStart w:id="0" w:name="_Toc12549"/>
      <w:bookmarkStart w:id="1" w:name="_Toc20805"/>
      <w:r>
        <w:rPr>
          <w:sz w:val="48"/>
          <w:szCs w:val="48"/>
        </w:rPr>
        <w:t>一、计划摘要</w:t>
      </w:r>
      <w:bookmarkEnd w:id="0"/>
      <w:bookmarkEnd w:id="1"/>
    </w:p>
    <w:p w14:paraId="650FFEA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本项目为</w:t>
      </w:r>
      <w:r>
        <w:rPr>
          <w:rStyle w:val="13"/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>易闲校园・文教学习专项分支</w:t>
      </w: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，隶属于易闲校园整体闲置循环项目，是聚焦高校学习类物资的垂直二手服务板块。针对大学生教材教辅逐年闲置、考研考证资料用完即弃、学习文具与小型学习设备购新成本高，校外平台教材资料版本不符、运输麻烦、资料真伪难辨，校内学习类物资流转渠道单一等痛点，主打</w:t>
      </w:r>
      <w:r>
        <w:rPr>
          <w:rStyle w:val="13"/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>教材教辅置换、学习资料寄卖回收、二手文具流转、学习类数码代卖</w:t>
      </w: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四大专项服务，依托主平台线下驿站与线上流量，打造校内专业文教闲置循环体系。</w:t>
      </w:r>
    </w:p>
    <w:p w14:paraId="06E0BA9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本项目成功的核心关键：校园版本匹配度高、学科资料精准分类、无运费面对面交易、学习品类专业化运营、和主平台资源互通。</w:t>
      </w:r>
    </w:p>
    <w:p w14:paraId="601400A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sz w:val="32"/>
          <w:szCs w:val="32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相较于校外二手平台，本分支深耕本校专业、年级、课程，教材资料版本完全匹配校内教学要求，当面交易无运输损耗；相较于校内零散转手，本分支分类清晰、品类集中、资料保真、服务专业，同时共享总团队的场地、客源与售后体系。</w:t>
      </w:r>
    </w:p>
    <w:p w14:paraId="2F2745F1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/>
        <w:jc w:val="left"/>
        <w:textAlignment w:val="auto"/>
        <w:outlineLvl w:val="0"/>
        <w:rPr>
          <w:sz w:val="48"/>
          <w:szCs w:val="48"/>
        </w:rPr>
      </w:pPr>
      <w:bookmarkStart w:id="2" w:name="_Toc24144"/>
      <w:bookmarkStart w:id="3" w:name="_Toc29595"/>
      <w:r>
        <w:rPr>
          <w:sz w:val="48"/>
          <w:szCs w:val="48"/>
        </w:rPr>
        <w:t>二、企业介绍</w:t>
      </w:r>
      <w:bookmarkEnd w:id="2"/>
      <w:bookmarkEnd w:id="3"/>
    </w:p>
    <w:p w14:paraId="5B52C10E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2" w:firstLineChars="200"/>
        <w:jc w:val="left"/>
        <w:textAlignment w:val="auto"/>
        <w:outlineLvl w:val="1"/>
        <w:rPr>
          <w:rFonts w:hint="eastAsia" w:asciiTheme="majorEastAsia" w:hAnsiTheme="majorEastAsia" w:eastAsiaTheme="majorEastAsia" w:cstheme="majorEastAsia"/>
          <w:sz w:val="28"/>
          <w:szCs w:val="28"/>
        </w:rPr>
      </w:pPr>
      <w:bookmarkStart w:id="4" w:name="_Toc23558"/>
      <w:r>
        <w:rPr>
          <w:rFonts w:hint="eastAsia" w:asciiTheme="majorEastAsia" w:hAnsiTheme="majorEastAsia" w:eastAsiaTheme="majorEastAsia" w:cstheme="majorEastAsia"/>
          <w:sz w:val="28"/>
          <w:szCs w:val="28"/>
        </w:rPr>
        <w:t>（一）经营理念</w:t>
      </w:r>
      <w:bookmarkEnd w:id="4"/>
    </w:p>
    <w:p w14:paraId="7B58F85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延续总项目理念：秉持绿色循环、诚信经营、便民利民、低碳校园的核心经营理念。以盘活校园学习类闲置物资、降低学生学习开支为宗旨，专注文教用品循环流转，拒绝溢价、拒绝盗版资料，打造师生信赖的校园学习物资循环服务品牌。</w:t>
      </w:r>
    </w:p>
    <w:p w14:paraId="05A841C3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2" w:firstLineChars="200"/>
        <w:jc w:val="left"/>
        <w:textAlignment w:val="auto"/>
        <w:outlineLvl w:val="1"/>
        <w:rPr>
          <w:rFonts w:hint="eastAsia" w:asciiTheme="majorEastAsia" w:hAnsiTheme="majorEastAsia" w:eastAsiaTheme="majorEastAsia" w:cstheme="majorEastAsia"/>
          <w:sz w:val="28"/>
          <w:szCs w:val="28"/>
        </w:rPr>
      </w:pPr>
      <w:bookmarkStart w:id="5" w:name="_Toc19475"/>
      <w:r>
        <w:rPr>
          <w:rFonts w:hint="eastAsia" w:asciiTheme="majorEastAsia" w:hAnsiTheme="majorEastAsia" w:eastAsiaTheme="majorEastAsia" w:cstheme="majorEastAsia"/>
          <w:sz w:val="28"/>
          <w:szCs w:val="28"/>
        </w:rPr>
        <w:t>（二）发展目标</w:t>
      </w:r>
      <w:bookmarkEnd w:id="5"/>
    </w:p>
    <w:p w14:paraId="5362177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短期目标（1 年内）完成文教类闲置专项服务体系搭建，依托主平台实现线上线下联动，占据本校 90% 以上教材、教辅、学习资料闲置交易份额，积累稳定师生客源，实现月度持续盈利。</w:t>
      </w:r>
    </w:p>
    <w:p w14:paraId="2C2C4DE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中期目标（1-2 年）完善教材回收、分类、流转标准化流程，按专业、年级、考试类目细化资料管理，配合主平台拓展周边高校文教闲置业务，新增迎新季教材套装、备考资料合集配套服务。</w:t>
      </w:r>
    </w:p>
    <w:p w14:paraId="53B190F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长期目标（3 年以上）成为区域性高校专业学习资料循环标杆板块，联动学校教务处、学习社团开展旧书捐赠、书香校园等公益活动，助力整体项目打造区域连锁品牌。</w:t>
      </w:r>
    </w:p>
    <w:p w14:paraId="35A2A51A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/>
        <w:jc w:val="left"/>
        <w:textAlignment w:val="auto"/>
        <w:outlineLvl w:val="0"/>
        <w:rPr>
          <w:sz w:val="32"/>
          <w:szCs w:val="32"/>
        </w:rPr>
      </w:pPr>
      <w:bookmarkStart w:id="6" w:name="_Toc8361"/>
      <w:bookmarkStart w:id="7" w:name="_Toc4752"/>
      <w:r>
        <w:rPr>
          <w:sz w:val="48"/>
          <w:szCs w:val="48"/>
        </w:rPr>
        <w:t>三、人员结构</w:t>
      </w:r>
      <w:bookmarkEnd w:id="6"/>
      <w:bookmarkEnd w:id="7"/>
    </w:p>
    <w:p w14:paraId="7817BCA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本项目采用精干化、高效率、无冗余的核心管理团队模式，团队整体年轻化、执行力强、熟悉校园市场。</w:t>
      </w:r>
    </w:p>
    <w:p w14:paraId="2E1CE7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朱梦涵：项目总负责人负责整体战略规划、统筹三大板块运营、校企资源对接、风险整体把控。具备优秀的统筹决策能力，擅长项目整体落地规划与团队管理，抗压能力强。</w:t>
      </w:r>
    </w:p>
    <w:p w14:paraId="1BF165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王嘉泽： 财务管理员：统一负责三大板块收支记账、成本核算、盈利测算，精细化管控各项开支。</w:t>
      </w:r>
    </w:p>
    <w:p w14:paraId="377931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sz w:val="32"/>
          <w:szCs w:val="32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屈康飞：市场运营主管：统筹社群运营、校园推广、活动策划，针对学习类人群做精准引流，低成本开拓客源。</w:t>
      </w:r>
    </w:p>
    <w:p w14:paraId="3507AC0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整体优势全员为在校大学生，深度扎根校园场景，精准洞察学生学习类消费与流转需求；人力成本低、运营灵活、试错成本低，完美适配校园轻量化创业模式。</w:t>
      </w:r>
    </w:p>
    <w:p w14:paraId="6DB4908F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/>
        <w:jc w:val="left"/>
        <w:textAlignment w:val="auto"/>
        <w:outlineLvl w:val="0"/>
        <w:rPr>
          <w:sz w:val="32"/>
          <w:szCs w:val="32"/>
        </w:rPr>
      </w:pPr>
      <w:bookmarkStart w:id="8" w:name="_Toc15547"/>
      <w:bookmarkStart w:id="9" w:name="_Toc17565"/>
      <w:r>
        <w:rPr>
          <w:sz w:val="48"/>
          <w:szCs w:val="48"/>
        </w:rPr>
        <w:t>四、产品服务</w:t>
      </w:r>
      <w:bookmarkEnd w:id="8"/>
      <w:bookmarkEnd w:id="9"/>
    </w:p>
    <w:p w14:paraId="0774025B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2" w:firstLineChars="200"/>
        <w:jc w:val="left"/>
        <w:textAlignment w:val="auto"/>
        <w:outlineLvl w:val="1"/>
        <w:rPr>
          <w:rFonts w:hint="eastAsia" w:asciiTheme="majorEastAsia" w:hAnsiTheme="majorEastAsia" w:eastAsiaTheme="majorEastAsia" w:cstheme="majorEastAsia"/>
          <w:sz w:val="28"/>
          <w:szCs w:val="28"/>
        </w:rPr>
      </w:pPr>
      <w:bookmarkStart w:id="10" w:name="_Toc407"/>
      <w:r>
        <w:rPr>
          <w:rFonts w:hint="eastAsia" w:asciiTheme="majorEastAsia" w:hAnsiTheme="majorEastAsia" w:eastAsiaTheme="majorEastAsia" w:cstheme="majorEastAsia"/>
          <w:sz w:val="28"/>
          <w:szCs w:val="28"/>
        </w:rPr>
        <w:t>（一）核心服务内容</w:t>
      </w:r>
      <w:bookmarkEnd w:id="10"/>
    </w:p>
    <w:p w14:paraId="3069254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主打四大专项业务：教材 / 教辅图书自由置换、考研 / 考证 / 期末复习资料代卖寄售、二手文具与办公用品回收流转、台灯、耳机、平板等小型学习数码产品寄卖回收。品类覆盖专业课教材、公共课书籍、辅导资料、试卷笔记、笔本文具、桌面学习设备等全品类校园文教物资。</w:t>
      </w:r>
    </w:p>
    <w:p w14:paraId="5377E3ED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2" w:firstLineChars="200"/>
        <w:jc w:val="left"/>
        <w:textAlignment w:val="auto"/>
        <w:outlineLvl w:val="1"/>
        <w:rPr>
          <w:rFonts w:hint="eastAsia" w:asciiTheme="majorEastAsia" w:hAnsiTheme="majorEastAsia" w:eastAsiaTheme="majorEastAsia" w:cstheme="majorEastAsia"/>
          <w:sz w:val="28"/>
          <w:szCs w:val="28"/>
        </w:rPr>
      </w:pPr>
      <w:bookmarkStart w:id="11" w:name="_Toc26168"/>
      <w:r>
        <w:rPr>
          <w:rFonts w:hint="eastAsia" w:asciiTheme="majorEastAsia" w:hAnsiTheme="majorEastAsia" w:eastAsiaTheme="majorEastAsia" w:cstheme="majorEastAsia"/>
          <w:sz w:val="28"/>
          <w:szCs w:val="28"/>
        </w:rPr>
        <w:t>（二）产品独特性</w:t>
      </w:r>
      <w:bookmarkEnd w:id="11"/>
    </w:p>
    <w:p w14:paraId="4E390EB7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版本精准匹配严格按照本校专业、年级、课程分类整理教材与资料，彻底解决校外平台教材版本不符、资料不适用的问题。</w:t>
      </w:r>
    </w:p>
    <w:p w14:paraId="7558A5E3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学习品类专业化专人分类整理书籍、笔记、备考资料，区分正版 / 复印资料，明码标注品相与内容，专业性远超零散个人转手。</w:t>
      </w:r>
    </w:p>
    <w:p w14:paraId="30334F0C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资源互通共享共享主平台线下驿站、线上社群、客源流量，无需单独搭建场地与渠道，运营成本更低。</w:t>
      </w:r>
    </w:p>
    <w:p w14:paraId="298A42C6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校园闭环安全交易全程校内面交验货，书籍资料无运输折损，学习数码设备可现场测试，交易安全有保障。</w:t>
      </w:r>
    </w:p>
    <w:p w14:paraId="316CE12A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2" w:firstLineChars="200"/>
        <w:jc w:val="left"/>
        <w:textAlignment w:val="auto"/>
        <w:outlineLvl w:val="1"/>
        <w:rPr>
          <w:rFonts w:hint="eastAsia" w:asciiTheme="majorEastAsia" w:hAnsiTheme="majorEastAsia" w:eastAsiaTheme="majorEastAsia" w:cstheme="majorEastAsia"/>
          <w:sz w:val="28"/>
          <w:szCs w:val="28"/>
        </w:rPr>
      </w:pPr>
      <w:bookmarkStart w:id="12" w:name="_Toc26328"/>
      <w:r>
        <w:rPr>
          <w:rFonts w:hint="eastAsia" w:asciiTheme="majorEastAsia" w:hAnsiTheme="majorEastAsia" w:eastAsiaTheme="majorEastAsia" w:cstheme="majorEastAsia"/>
          <w:sz w:val="28"/>
          <w:szCs w:val="28"/>
        </w:rPr>
        <w:t>（三）解决核心痛点</w:t>
      </w:r>
      <w:bookmarkEnd w:id="12"/>
    </w:p>
    <w:p w14:paraId="47099CF6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每学期教材、辅导书闲置堆积，丢弃浪费、留存占用宿舍空间；</w:t>
      </w:r>
    </w:p>
    <w:p w14:paraId="2B61D0CB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新生、备考学生采购全新教材、资料、文具花销大，学习成本高；</w:t>
      </w:r>
    </w:p>
    <w:p w14:paraId="28912F5C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校外平台教材版本不匹配、资料真假难辨、书籍运输易破损、运费额外增加成本；</w:t>
      </w:r>
    </w:p>
    <w:p w14:paraId="25503F9E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sz w:val="32"/>
          <w:szCs w:val="32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校内学习资料零散转手，分类混乱、查找困难、无质量保障。</w:t>
      </w:r>
    </w:p>
    <w:p w14:paraId="0D54F2A1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/>
        <w:jc w:val="left"/>
        <w:textAlignment w:val="auto"/>
        <w:outlineLvl w:val="0"/>
        <w:rPr>
          <w:sz w:val="32"/>
          <w:szCs w:val="32"/>
        </w:rPr>
      </w:pPr>
      <w:bookmarkStart w:id="13" w:name="_Toc5597"/>
      <w:bookmarkStart w:id="14" w:name="_Toc8321"/>
      <w:r>
        <w:rPr>
          <w:sz w:val="48"/>
          <w:szCs w:val="48"/>
        </w:rPr>
        <w:t>五、行业分析</w:t>
      </w:r>
      <w:bookmarkEnd w:id="13"/>
      <w:bookmarkEnd w:id="14"/>
    </w:p>
    <w:p w14:paraId="43221DF1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2" w:firstLineChars="200"/>
        <w:jc w:val="left"/>
        <w:textAlignment w:val="auto"/>
        <w:outlineLvl w:val="1"/>
        <w:rPr>
          <w:rFonts w:hint="eastAsia" w:asciiTheme="majorEastAsia" w:hAnsiTheme="majorEastAsia" w:eastAsiaTheme="majorEastAsia" w:cstheme="majorEastAsia"/>
          <w:sz w:val="28"/>
          <w:szCs w:val="28"/>
        </w:rPr>
      </w:pPr>
      <w:bookmarkStart w:id="15" w:name="_Toc212"/>
      <w:r>
        <w:rPr>
          <w:rFonts w:hint="eastAsia" w:asciiTheme="majorEastAsia" w:hAnsiTheme="majorEastAsia" w:eastAsiaTheme="majorEastAsia" w:cstheme="majorEastAsia"/>
          <w:sz w:val="28"/>
          <w:szCs w:val="28"/>
        </w:rPr>
        <w:t>（一）行业特点</w:t>
      </w:r>
      <w:bookmarkEnd w:id="15"/>
    </w:p>
    <w:p w14:paraId="5AD718D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校园文教闲置属于</w:t>
      </w:r>
      <w:r>
        <w:rPr>
          <w:rStyle w:val="13"/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>强刚需、高复购、季节性极强、受众高度集中</w:t>
      </w: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的细分赛道。每学期开学、期末、考研考公节点形成固定流转高峰，图书资料可反复循环使用，损耗低、流转周期长，契合书香校园、绿色循环的校园政策，市场需求长期稳定。</w:t>
      </w:r>
    </w:p>
    <w:p w14:paraId="631CA840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2" w:firstLineChars="200"/>
        <w:jc w:val="left"/>
        <w:textAlignment w:val="auto"/>
        <w:outlineLvl w:val="1"/>
        <w:rPr>
          <w:rFonts w:hint="eastAsia" w:asciiTheme="majorEastAsia" w:hAnsiTheme="majorEastAsia" w:eastAsiaTheme="majorEastAsia" w:cstheme="majorEastAsia"/>
          <w:sz w:val="28"/>
          <w:szCs w:val="28"/>
        </w:rPr>
      </w:pPr>
      <w:bookmarkStart w:id="16" w:name="_Toc30666"/>
      <w:r>
        <w:rPr>
          <w:rFonts w:hint="eastAsia" w:asciiTheme="majorEastAsia" w:hAnsiTheme="majorEastAsia" w:eastAsiaTheme="majorEastAsia" w:cstheme="majorEastAsia"/>
          <w:sz w:val="28"/>
          <w:szCs w:val="28"/>
        </w:rPr>
        <w:t>（二）竞争状态</w:t>
      </w:r>
      <w:bookmarkEnd w:id="16"/>
    </w:p>
    <w:p w14:paraId="3435037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校外综合二手平台不了解本校课程体系，教材资料适配度低；校内仅存在学生个人私下转手，无专业分类、无集中交易点、资料杂乱。目前本校暂无专业化的文教闲置专项服务板块，细分市场几乎空白。</w:t>
      </w:r>
    </w:p>
    <w:p w14:paraId="4AE4AD31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2" w:firstLineChars="200"/>
        <w:jc w:val="left"/>
        <w:textAlignment w:val="auto"/>
        <w:outlineLvl w:val="1"/>
        <w:rPr>
          <w:rFonts w:hint="eastAsia" w:asciiTheme="majorEastAsia" w:hAnsiTheme="majorEastAsia" w:eastAsiaTheme="majorEastAsia" w:cstheme="majorEastAsia"/>
          <w:sz w:val="28"/>
          <w:szCs w:val="28"/>
        </w:rPr>
      </w:pPr>
      <w:bookmarkStart w:id="17" w:name="_Toc19337"/>
      <w:r>
        <w:rPr>
          <w:rFonts w:hint="eastAsia" w:asciiTheme="majorEastAsia" w:hAnsiTheme="majorEastAsia" w:eastAsiaTheme="majorEastAsia" w:cstheme="majorEastAsia"/>
          <w:sz w:val="28"/>
          <w:szCs w:val="28"/>
        </w:rPr>
        <w:t>（三）发展趋势</w:t>
      </w:r>
      <w:bookmarkEnd w:id="17"/>
    </w:p>
    <w:p w14:paraId="5A0955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大学生逐年重视成本节约与资源循环，二手教材、二手备考资料已经成为校园主流选择，零散转手模式会逐步被</w:t>
      </w:r>
      <w:r>
        <w:rPr>
          <w:rStyle w:val="13"/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>专业化分类、集中式流转</w:t>
      </w: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的专项服务替代，文教闲置细分赛道会持续壮大。</w:t>
      </w:r>
    </w:p>
    <w:p w14:paraId="1BABC60A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/>
        <w:jc w:val="left"/>
        <w:textAlignment w:val="auto"/>
        <w:outlineLvl w:val="0"/>
        <w:rPr>
          <w:sz w:val="32"/>
          <w:szCs w:val="32"/>
        </w:rPr>
      </w:pPr>
      <w:bookmarkStart w:id="18" w:name="_Toc10289"/>
      <w:bookmarkStart w:id="19" w:name="_Toc17881"/>
      <w:r>
        <w:rPr>
          <w:sz w:val="48"/>
          <w:szCs w:val="48"/>
        </w:rPr>
        <w:t>六、市场分析</w:t>
      </w:r>
      <w:bookmarkEnd w:id="18"/>
      <w:bookmarkEnd w:id="19"/>
    </w:p>
    <w:p w14:paraId="09209496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643" w:firstLineChars="200"/>
        <w:jc w:val="left"/>
        <w:textAlignment w:val="auto"/>
        <w:outlineLvl w:val="1"/>
        <w:rPr>
          <w:rFonts w:hint="eastAsia" w:asciiTheme="majorEastAsia" w:hAnsiTheme="majorEastAsia" w:eastAsiaTheme="majorEastAsia" w:cstheme="majorEastAsia"/>
          <w:sz w:val="28"/>
          <w:szCs w:val="28"/>
        </w:rPr>
      </w:pPr>
      <w:bookmarkStart w:id="20" w:name="_Toc22514"/>
      <w:r>
        <w:rPr>
          <w:sz w:val="32"/>
          <w:szCs w:val="32"/>
        </w:rPr>
        <w:t>（</w:t>
      </w:r>
      <w:r>
        <w:rPr>
          <w:rFonts w:hint="eastAsia" w:asciiTheme="majorEastAsia" w:hAnsiTheme="majorEastAsia" w:eastAsiaTheme="majorEastAsia" w:cstheme="majorEastAsia"/>
          <w:sz w:val="28"/>
          <w:szCs w:val="28"/>
        </w:rPr>
        <w:t>一）市场需求</w:t>
      </w:r>
      <w:bookmarkEnd w:id="20"/>
    </w:p>
    <w:p w14:paraId="6A74D5D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全校各年级、各专业学生为核心客源，开学季教材采购、学期中资料流转、毕业季旧书清仓、全年备考资料交易形成持续性刚需，几乎覆盖全体学生，需求刚性极强。</w:t>
      </w:r>
    </w:p>
    <w:p w14:paraId="2ACF5588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2" w:firstLineChars="200"/>
        <w:jc w:val="left"/>
        <w:textAlignment w:val="auto"/>
        <w:outlineLvl w:val="1"/>
        <w:rPr>
          <w:rFonts w:hint="eastAsia" w:asciiTheme="majorEastAsia" w:hAnsiTheme="majorEastAsia" w:eastAsiaTheme="majorEastAsia" w:cstheme="majorEastAsia"/>
          <w:sz w:val="28"/>
          <w:szCs w:val="28"/>
        </w:rPr>
      </w:pPr>
      <w:bookmarkStart w:id="21" w:name="_Toc14714"/>
      <w:r>
        <w:rPr>
          <w:rFonts w:hint="eastAsia" w:asciiTheme="majorEastAsia" w:hAnsiTheme="majorEastAsia" w:eastAsiaTheme="majorEastAsia" w:cstheme="majorEastAsia"/>
          <w:sz w:val="28"/>
          <w:szCs w:val="28"/>
        </w:rPr>
        <w:t>（二）市场现状</w:t>
      </w:r>
      <w:bookmarkEnd w:id="21"/>
    </w:p>
    <w:p w14:paraId="56CEA03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目前学生仅能通过班级群、朋友圈零散转手书籍资料，查找不便、交易效率低，大量优质教材、笔记、复习资料被闲置浪费，专业化文教闲置服务存在巨大市场缺口。</w:t>
      </w:r>
    </w:p>
    <w:p w14:paraId="6AAB193B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2" w:firstLineChars="200"/>
        <w:jc w:val="left"/>
        <w:textAlignment w:val="auto"/>
        <w:outlineLvl w:val="1"/>
        <w:rPr>
          <w:rFonts w:hint="eastAsia" w:asciiTheme="majorEastAsia" w:hAnsiTheme="majorEastAsia" w:eastAsiaTheme="majorEastAsia" w:cstheme="majorEastAsia"/>
          <w:sz w:val="28"/>
          <w:szCs w:val="28"/>
        </w:rPr>
      </w:pPr>
      <w:bookmarkStart w:id="22" w:name="_Toc15517"/>
      <w:r>
        <w:rPr>
          <w:rFonts w:hint="eastAsia" w:asciiTheme="majorEastAsia" w:hAnsiTheme="majorEastAsia" w:eastAsiaTheme="majorEastAsia" w:cstheme="majorEastAsia"/>
          <w:sz w:val="28"/>
          <w:szCs w:val="28"/>
        </w:rPr>
        <w:t>（三）竞争厂商分析</w:t>
      </w:r>
      <w:bookmarkEnd w:id="22"/>
    </w:p>
    <w:p w14:paraId="0BF225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闲鱼、转转等校外平台优势：书籍总量大；劣势：教材版本与本校不符、资料真伪无法核验、书籍运输易损坏、运费增加成本、无法现场翻阅查验。</w:t>
      </w:r>
    </w:p>
    <w:p w14:paraId="51AB6FEE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2" w:firstLineChars="200"/>
        <w:jc w:val="left"/>
        <w:textAlignment w:val="auto"/>
        <w:outlineLvl w:val="1"/>
        <w:rPr>
          <w:rFonts w:hint="eastAsia" w:asciiTheme="majorEastAsia" w:hAnsiTheme="majorEastAsia" w:eastAsiaTheme="majorEastAsia" w:cstheme="majorEastAsia"/>
          <w:sz w:val="28"/>
          <w:szCs w:val="28"/>
        </w:rPr>
      </w:pPr>
      <w:bookmarkStart w:id="23" w:name="_Toc11894"/>
      <w:r>
        <w:rPr>
          <w:rFonts w:hint="eastAsia" w:asciiTheme="majorEastAsia" w:hAnsiTheme="majorEastAsia" w:eastAsiaTheme="majorEastAsia" w:cstheme="majorEastAsia"/>
          <w:sz w:val="28"/>
          <w:szCs w:val="28"/>
        </w:rPr>
        <w:t>（四）目标客户与目标市场</w:t>
      </w:r>
      <w:bookmarkEnd w:id="23"/>
    </w:p>
    <w:p w14:paraId="482EC84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目标客户：全体在校学生、教职工、校内备考人群。目标市场：短期深耕本校文教闲置细分市场，长期配合主平台辐射周边高校。</w:t>
      </w:r>
    </w:p>
    <w:p w14:paraId="19FF2F9C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/>
        <w:jc w:val="left"/>
        <w:textAlignment w:val="auto"/>
        <w:outlineLvl w:val="0"/>
        <w:rPr>
          <w:sz w:val="48"/>
          <w:szCs w:val="48"/>
        </w:rPr>
      </w:pPr>
      <w:bookmarkStart w:id="24" w:name="_Toc10058"/>
      <w:bookmarkStart w:id="25" w:name="_Toc20436"/>
      <w:r>
        <w:rPr>
          <w:sz w:val="48"/>
          <w:szCs w:val="48"/>
        </w:rPr>
        <w:t>七、财务规划（未来一年）</w:t>
      </w:r>
      <w:bookmarkEnd w:id="24"/>
      <w:bookmarkEnd w:id="25"/>
    </w:p>
    <w:p w14:paraId="1A8E9F1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本项目依托主平台场地与流量，属于纯轻资产细分业务，成本低、风险低、回本快。</w:t>
      </w:r>
    </w:p>
    <w:p w14:paraId="45D76D15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2" w:firstLineChars="200"/>
        <w:jc w:val="left"/>
        <w:textAlignment w:val="auto"/>
        <w:outlineLvl w:val="1"/>
        <w:rPr>
          <w:rFonts w:hint="eastAsia" w:asciiTheme="majorEastAsia" w:hAnsiTheme="majorEastAsia" w:eastAsiaTheme="majorEastAsia" w:cstheme="majorEastAsia"/>
          <w:sz w:val="28"/>
          <w:szCs w:val="28"/>
        </w:rPr>
      </w:pPr>
      <w:bookmarkStart w:id="26" w:name="_Toc3311"/>
      <w:r>
        <w:rPr>
          <w:rFonts w:hint="eastAsia" w:asciiTheme="majorEastAsia" w:hAnsiTheme="majorEastAsia" w:eastAsiaTheme="majorEastAsia" w:cstheme="majorEastAsia"/>
          <w:sz w:val="28"/>
          <w:szCs w:val="28"/>
        </w:rPr>
        <w:t>（一）初始启动资金（总投入：4800 元）</w:t>
      </w:r>
      <w:bookmarkEnd w:id="26"/>
    </w:p>
    <w:p w14:paraId="45893EFB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图书分类货架、收纳筐、打包耗材：2000 元</w:t>
      </w:r>
    </w:p>
    <w:p w14:paraId="3AE8AD9C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品类标识牌、专项宣传物料：1300 元</w:t>
      </w:r>
    </w:p>
    <w:p w14:paraId="3DBFCC1C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项目流动资金、风险备用金：1500 元</w:t>
      </w:r>
    </w:p>
    <w:p w14:paraId="48C9EEB8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2" w:firstLineChars="200"/>
        <w:jc w:val="left"/>
        <w:textAlignment w:val="auto"/>
        <w:outlineLvl w:val="1"/>
        <w:rPr>
          <w:rFonts w:hint="eastAsia" w:asciiTheme="majorEastAsia" w:hAnsiTheme="majorEastAsia" w:eastAsiaTheme="majorEastAsia" w:cstheme="majorEastAsia"/>
          <w:sz w:val="28"/>
          <w:szCs w:val="28"/>
        </w:rPr>
      </w:pPr>
      <w:bookmarkStart w:id="27" w:name="_Toc8237"/>
      <w:r>
        <w:rPr>
          <w:rFonts w:hint="eastAsia" w:asciiTheme="majorEastAsia" w:hAnsiTheme="majorEastAsia" w:eastAsiaTheme="majorEastAsia" w:cstheme="majorEastAsia"/>
          <w:sz w:val="28"/>
          <w:szCs w:val="28"/>
        </w:rPr>
        <w:t>（二）年度财务预测</w:t>
      </w:r>
      <w:bookmarkEnd w:id="27"/>
    </w:p>
    <w:p w14:paraId="71608F05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稳定运营月营收：7500 元 —11000 元</w:t>
      </w:r>
    </w:p>
    <w:p w14:paraId="77C71B91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月度固定运营成本：1800 元 —2800 元</w:t>
      </w:r>
    </w:p>
    <w:p w14:paraId="6E5FBDBE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月度净利润：4700 元 —9200 元</w:t>
      </w:r>
    </w:p>
    <w:p w14:paraId="59CB01AD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全年预估净利润：5.6 万元 —9.8 万元</w:t>
      </w:r>
    </w:p>
    <w:p w14:paraId="6F7E2484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2" w:firstLineChars="200"/>
        <w:jc w:val="left"/>
        <w:textAlignment w:val="auto"/>
        <w:outlineLvl w:val="1"/>
        <w:rPr>
          <w:rFonts w:hint="eastAsia" w:asciiTheme="majorEastAsia" w:hAnsiTheme="majorEastAsia" w:eastAsiaTheme="majorEastAsia" w:cstheme="majorEastAsia"/>
          <w:sz w:val="28"/>
          <w:szCs w:val="28"/>
        </w:rPr>
      </w:pPr>
      <w:bookmarkStart w:id="28" w:name="_Toc15414"/>
      <w:r>
        <w:rPr>
          <w:rFonts w:hint="eastAsia" w:asciiTheme="majorEastAsia" w:hAnsiTheme="majorEastAsia" w:eastAsiaTheme="majorEastAsia" w:cstheme="majorEastAsia"/>
          <w:sz w:val="28"/>
          <w:szCs w:val="28"/>
        </w:rPr>
        <w:t>（三）明确投资回收方式</w:t>
      </w:r>
      <w:bookmarkEnd w:id="28"/>
    </w:p>
    <w:p w14:paraId="297496D5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短期快速回本：项目稳定运营 1.5 个月即可全额收回初始启动资金；</w:t>
      </w:r>
    </w:p>
    <w:p w14:paraId="3146D274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日常稳定收益：依靠书籍资料回收差价、寄卖佣金获得持续盈利；</w:t>
      </w:r>
    </w:p>
    <w:p w14:paraId="1A9AFB28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阶段性爆发收益：开学季、毕业季、考研报名季营收大幅上涨；</w:t>
      </w:r>
    </w:p>
    <w:p w14:paraId="6FD7F212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规模化增值收益：随主平台跨校扩张，同步拓展外校文教闲置业务。</w:t>
      </w:r>
    </w:p>
    <w:p w14:paraId="63A3B46C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2" w:firstLineChars="200"/>
        <w:jc w:val="left"/>
        <w:textAlignment w:val="auto"/>
        <w:outlineLvl w:val="1"/>
        <w:rPr>
          <w:rFonts w:hint="eastAsia" w:asciiTheme="majorEastAsia" w:hAnsiTheme="majorEastAsia" w:eastAsiaTheme="majorEastAsia" w:cstheme="majorEastAsia"/>
          <w:sz w:val="28"/>
          <w:szCs w:val="28"/>
        </w:rPr>
      </w:pPr>
      <w:bookmarkStart w:id="29" w:name="_Toc1663"/>
      <w:r>
        <w:rPr>
          <w:rFonts w:hint="eastAsia" w:asciiTheme="majorEastAsia" w:hAnsiTheme="majorEastAsia" w:eastAsiaTheme="majorEastAsia" w:cstheme="majorEastAsia"/>
          <w:sz w:val="28"/>
          <w:szCs w:val="28"/>
        </w:rPr>
        <w:t>（四）资金管控</w:t>
      </w:r>
      <w:bookmarkEnd w:id="29"/>
    </w:p>
    <w:p w14:paraId="5B35CAF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由团队财务统一管理，每日记账、日清月结，预留 10% 风险备用金，严控采购与耗材成本。</w:t>
      </w:r>
    </w:p>
    <w:p w14:paraId="4F00D13D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/>
        <w:jc w:val="left"/>
        <w:textAlignment w:val="auto"/>
        <w:outlineLvl w:val="0"/>
        <w:rPr>
          <w:sz w:val="48"/>
          <w:szCs w:val="48"/>
        </w:rPr>
      </w:pPr>
      <w:bookmarkStart w:id="30" w:name="_Toc6642"/>
      <w:bookmarkStart w:id="31" w:name="_Toc11626"/>
      <w:r>
        <w:rPr>
          <w:sz w:val="48"/>
          <w:szCs w:val="48"/>
        </w:rPr>
        <w:t>八、风险管理</w:t>
      </w:r>
      <w:bookmarkEnd w:id="30"/>
      <w:bookmarkEnd w:id="31"/>
    </w:p>
    <w:p w14:paraId="1DC473E3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2" w:firstLineChars="200"/>
        <w:jc w:val="left"/>
        <w:textAlignment w:val="auto"/>
        <w:outlineLvl w:val="1"/>
        <w:rPr>
          <w:rFonts w:hint="eastAsia" w:asciiTheme="majorEastAsia" w:hAnsiTheme="majorEastAsia" w:eastAsiaTheme="majorEastAsia" w:cstheme="majorEastAsia"/>
          <w:sz w:val="28"/>
          <w:szCs w:val="28"/>
        </w:rPr>
      </w:pPr>
      <w:bookmarkStart w:id="32" w:name="_Toc17543"/>
      <w:r>
        <w:rPr>
          <w:rFonts w:hint="eastAsia" w:asciiTheme="majorEastAsia" w:hAnsiTheme="majorEastAsia" w:eastAsiaTheme="majorEastAsia" w:cstheme="majorEastAsia"/>
          <w:sz w:val="28"/>
          <w:szCs w:val="28"/>
        </w:rPr>
        <w:t>（一）市场竞争风险</w:t>
      </w:r>
      <w:bookmarkEnd w:id="32"/>
    </w:p>
    <w:p w14:paraId="5B71C15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风险：出现单独做二手书籍的个人或小团队，分流客源。对策：依托整体品牌优势，做精细化分类与保真服务，和学院、学习社团建立长期合作，巩固客源壁垒。</w:t>
      </w:r>
    </w:p>
    <w:p w14:paraId="1ED480A7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2" w:firstLineChars="200"/>
        <w:jc w:val="left"/>
        <w:textAlignment w:val="auto"/>
        <w:outlineLvl w:val="1"/>
        <w:rPr>
          <w:rFonts w:hint="eastAsia" w:asciiTheme="majorEastAsia" w:hAnsiTheme="majorEastAsia" w:eastAsiaTheme="majorEastAsia" w:cstheme="majorEastAsia"/>
          <w:sz w:val="28"/>
          <w:szCs w:val="28"/>
        </w:rPr>
      </w:pPr>
      <w:bookmarkStart w:id="33" w:name="_Toc17409"/>
      <w:r>
        <w:rPr>
          <w:rFonts w:hint="eastAsia" w:asciiTheme="majorEastAsia" w:hAnsiTheme="majorEastAsia" w:eastAsiaTheme="majorEastAsia" w:cstheme="majorEastAsia"/>
          <w:sz w:val="28"/>
          <w:szCs w:val="28"/>
        </w:rPr>
        <w:t>（二）货品积压风险</w:t>
      </w:r>
      <w:bookmarkEnd w:id="33"/>
    </w:p>
    <w:p w14:paraId="25AF74B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风险：老旧教材、过时备考资料无人问津，形成库存积压。对策：优先回收通用教材、热门资料；过时书籍低价流转或联合学校开展旧书公益捐赠。</w:t>
      </w:r>
    </w:p>
    <w:p w14:paraId="0507A1F5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2" w:firstLineChars="200"/>
        <w:jc w:val="left"/>
        <w:textAlignment w:val="auto"/>
        <w:outlineLvl w:val="1"/>
        <w:rPr>
          <w:rFonts w:hint="eastAsia" w:asciiTheme="majorEastAsia" w:hAnsiTheme="majorEastAsia" w:eastAsiaTheme="majorEastAsia" w:cstheme="majorEastAsia"/>
          <w:sz w:val="28"/>
          <w:szCs w:val="28"/>
        </w:rPr>
      </w:pPr>
      <w:bookmarkStart w:id="34" w:name="_Toc32206"/>
      <w:r>
        <w:rPr>
          <w:rFonts w:hint="eastAsia" w:asciiTheme="majorEastAsia" w:hAnsiTheme="majorEastAsia" w:eastAsiaTheme="majorEastAsia" w:cstheme="majorEastAsia"/>
          <w:sz w:val="28"/>
          <w:szCs w:val="28"/>
        </w:rPr>
        <w:t>（三）运营服务风险</w:t>
      </w:r>
      <w:bookmarkEnd w:id="34"/>
    </w:p>
    <w:p w14:paraId="1306463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风险：开学季书籍流转量暴增，分类、整理、交付不及时；出现资料盗版、内容缺失等客诉。对策：提前预判旺季，团队全员协作分工，严格查验书籍资料品相，建立退换规则。</w:t>
      </w:r>
    </w:p>
    <w:p w14:paraId="3D1C2EB7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2" w:firstLineChars="200"/>
        <w:jc w:val="left"/>
        <w:textAlignment w:val="auto"/>
        <w:outlineLvl w:val="1"/>
        <w:rPr>
          <w:rFonts w:hint="eastAsia" w:asciiTheme="majorEastAsia" w:hAnsiTheme="majorEastAsia" w:eastAsiaTheme="majorEastAsia" w:cstheme="majorEastAsia"/>
          <w:sz w:val="28"/>
          <w:szCs w:val="28"/>
        </w:rPr>
      </w:pPr>
      <w:bookmarkStart w:id="35" w:name="_Toc21418"/>
      <w:r>
        <w:rPr>
          <w:rFonts w:hint="eastAsia" w:asciiTheme="majorEastAsia" w:hAnsiTheme="majorEastAsia" w:eastAsiaTheme="majorEastAsia" w:cstheme="majorEastAsia"/>
          <w:sz w:val="28"/>
          <w:szCs w:val="28"/>
        </w:rPr>
        <w:t>（四）财务风险</w:t>
      </w:r>
      <w:bookmarkEnd w:id="35"/>
    </w:p>
    <w:p w14:paraId="2A23237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风险：书籍采购、耗材支出管控不当，成本失控。对策：按需收书、减少盲目囤货，财务每月复盘收支，严控非必要支出。</w:t>
      </w:r>
    </w:p>
    <w:p w14:paraId="344407B4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2" w:firstLineChars="200"/>
        <w:jc w:val="left"/>
        <w:textAlignment w:val="auto"/>
        <w:outlineLvl w:val="1"/>
        <w:rPr>
          <w:rFonts w:hint="eastAsia" w:asciiTheme="majorEastAsia" w:hAnsiTheme="majorEastAsia" w:eastAsiaTheme="majorEastAsia" w:cstheme="majorEastAsia"/>
          <w:sz w:val="28"/>
          <w:szCs w:val="28"/>
        </w:rPr>
      </w:pPr>
      <w:bookmarkStart w:id="36" w:name="_Toc1154"/>
      <w:r>
        <w:rPr>
          <w:rFonts w:hint="eastAsia" w:asciiTheme="majorEastAsia" w:hAnsiTheme="majorEastAsia" w:eastAsiaTheme="majorEastAsia" w:cstheme="majorEastAsia"/>
          <w:sz w:val="28"/>
          <w:szCs w:val="28"/>
        </w:rPr>
        <w:t>（五）人员变动风险</w:t>
      </w:r>
      <w:bookmarkEnd w:id="36"/>
    </w:p>
    <w:p w14:paraId="5C06B58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sz w:val="32"/>
          <w:szCs w:val="32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风险：团队成员学业繁忙，无暇整理分类书籍。对策：完善分红激励，储备兼职图书整理人员，保障板块正常运转。</w:t>
      </w:r>
    </w:p>
    <w:p w14:paraId="0DBEC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56"/>
          <w:szCs w:val="72"/>
        </w:rPr>
      </w:pPr>
    </w:p>
    <w:p w14:paraId="3F43C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56"/>
          <w:szCs w:val="72"/>
        </w:rPr>
      </w:pPr>
    </w:p>
    <w:p w14:paraId="6DEF90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sectPr>
      <w:headerReference r:id="rId6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4E998C">
    <w:pPr>
      <w:pStyle w:val="6"/>
      <w:bidi w:val="0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3F459D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53F459D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10A875C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CA68DC">
    <w:pPr>
      <w:pStyle w:val="7"/>
      <w:ind w:firstLine="3600" w:firstLineChars="1200"/>
      <w:rPr>
        <w:rFonts w:hint="default" w:ascii="微软雅黑" w:hAnsi="微软雅黑" w:eastAsia="微软雅黑" w:cs="微软雅黑"/>
        <w:sz w:val="30"/>
        <w:szCs w:val="30"/>
        <w:lang w:val="en-US" w:eastAsia="zh-CN"/>
      </w:rPr>
    </w:pPr>
    <w:r>
      <w:rPr>
        <w:rFonts w:hint="eastAsia" w:ascii="微软雅黑" w:hAnsi="微软雅黑" w:eastAsia="微软雅黑" w:cs="微软雅黑"/>
        <w:sz w:val="30"/>
        <w:szCs w:val="30"/>
        <w:lang w:val="en-US" w:eastAsia="zh-CN"/>
      </w:rPr>
      <w:t>创业计划书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9185A2">
    <w:pPr>
      <w:pStyle w:val="7"/>
      <w:jc w:val="center"/>
      <w:rPr>
        <w:rFonts w:hint="default" w:ascii="微软雅黑" w:hAnsi="微软雅黑" w:eastAsia="微软雅黑" w:cs="微软雅黑"/>
        <w:sz w:val="30"/>
        <w:szCs w:val="30"/>
        <w:lang w:val="en-US" w:eastAsia="zh-CN"/>
      </w:rPr>
    </w:pPr>
    <w:r>
      <w:rPr>
        <w:rFonts w:hint="eastAsia" w:ascii="微软雅黑" w:hAnsi="微软雅黑" w:eastAsia="微软雅黑" w:cs="微软雅黑"/>
        <w:sz w:val="30"/>
        <w:szCs w:val="30"/>
        <w:lang w:val="en-US" w:eastAsia="zh-CN"/>
      </w:rPr>
      <w:t>目录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0508E7">
    <w:pPr>
      <w:pStyle w:val="7"/>
      <w:ind w:firstLine="3600" w:firstLineChars="1200"/>
      <w:rPr>
        <w:rFonts w:hint="default" w:ascii="微软雅黑" w:hAnsi="微软雅黑" w:eastAsia="微软雅黑" w:cs="微软雅黑"/>
        <w:sz w:val="30"/>
        <w:szCs w:val="30"/>
        <w:lang w:val="en-US" w:eastAsia="zh-CN"/>
      </w:rPr>
    </w:pPr>
    <w:r>
      <w:rPr>
        <w:rFonts w:hint="eastAsia" w:ascii="微软雅黑" w:hAnsi="微软雅黑" w:eastAsia="微软雅黑" w:cs="微软雅黑"/>
        <w:sz w:val="30"/>
        <w:szCs w:val="30"/>
        <w:lang w:val="en-US" w:eastAsia="zh-CN"/>
      </w:rPr>
      <w:t>创业计划书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CC125E"/>
    <w:multiLevelType w:val="multilevel"/>
    <w:tmpl w:val="8BCC12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EF4B5DA"/>
    <w:multiLevelType w:val="multilevel"/>
    <w:tmpl w:val="8EF4B5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3D436F4"/>
    <w:multiLevelType w:val="multilevel"/>
    <w:tmpl w:val="D3D436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1DF608F0"/>
    <w:multiLevelType w:val="multilevel"/>
    <w:tmpl w:val="1DF608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37AD0E6C"/>
    <w:multiLevelType w:val="multilevel"/>
    <w:tmpl w:val="37AD0E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4E90F738"/>
    <w:multiLevelType w:val="multilevel"/>
    <w:tmpl w:val="4E90F7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916455"/>
    <w:rsid w:val="13A84A9A"/>
    <w:rsid w:val="15E433A4"/>
    <w:rsid w:val="1D2E02AF"/>
    <w:rsid w:val="31916455"/>
    <w:rsid w:val="35723667"/>
    <w:rsid w:val="59870EAD"/>
    <w:rsid w:val="63433F66"/>
    <w:rsid w:val="77930422"/>
    <w:rsid w:val="7DBA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uiPriority w:val="0"/>
  </w:style>
  <w:style w:type="paragraph" w:styleId="9">
    <w:name w:val="toc 2"/>
    <w:basedOn w:val="1"/>
    <w:next w:val="1"/>
    <w:uiPriority w:val="0"/>
    <w:pPr>
      <w:ind w:left="420" w:leftChars="200"/>
    </w:pPr>
  </w:style>
  <w:style w:type="paragraph" w:styleId="1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3">
    <w:name w:val="Strong"/>
    <w:basedOn w:val="12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lengthwise3"/>
      <sectRole val="1"/>
    </customSectPr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3100</Words>
  <Characters>3146</Characters>
  <Lines>0</Lines>
  <Paragraphs>0</Paragraphs>
  <TotalTime>1</TotalTime>
  <ScaleCrop>false</ScaleCrop>
  <LinksUpToDate>false</LinksUpToDate>
  <CharactersWithSpaces>3268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2026-06-07T03:13:00Z</dcterms:created>
  <dc:creator>WPS_1719677426</dc:creator>
  <cp:lastModifiedBy>WPS_1719677426</cp:lastModifiedBy>
  <dcterms:modified xsi:type="dcterms:W3CDTF">2026-06-10T10:30:36Z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CC4099F50D40431EBD41665012960B6F_11</vt:lpwstr>
  </property>
  <property fmtid="{D5CDD505-2E9C-101B-9397-08002B2CF9AE}" pid="4" name="KSOTemplateDocerSaveRecord">
    <vt:lpwstr>eyJoZGlkIjoiZjM4ZTA1ZWU0YzdlOTJmZDdhNzE1MjRiNGI0OTk2ZTMiLCJ1c2VySWQiOiIxNjExMzA2NTM5In0=</vt:lpwstr>
  </property>
</Properties>
</file>