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Calibri" w:hAnsi="Calibri"/>
          <w:color w:val="718096"/>
          <w:sz w:val="16"/>
        </w:rPr>
        <w:t>Campus EventHub Progress Report | Module 4: Database &amp; AI (Xinzhe Yu) | Branch: fix/bugfixes</w:t>
      </w:r>
    </w:p>
    <w:p>
      <w:pPr>
        <w:spacing w:before="20" w:after="40"/>
      </w:pPr>
      <w:r>
        <w:rPr>
          <w:rFonts w:ascii="Arial" w:hAnsi="Arial"/>
          <w:b/>
          <w:color w:val="1A365D"/>
          <w:sz w:val="26"/>
        </w:rPr>
        <w:t>2.3 Database &amp; AI &amp; 3.3 Remaining Tasks &amp; Risks</w:t>
      </w:r>
    </w:p>
    <w:p>
      <w:pPr>
        <w:keepNext/>
        <w:spacing w:before="120" w:after="30"/>
      </w:pPr>
      <w:r>
        <w:rPr>
          <w:rFonts w:ascii="Arial" w:hAnsi="Arial"/>
          <w:b/>
          <w:color w:val="1A365D"/>
          <w:sz w:val="24"/>
        </w:rPr>
        <w:t>2. Completed Tasks</w:t>
      </w:r>
    </w:p>
    <w:p>
      <w:pPr>
        <w:keepNext/>
        <w:spacing w:before="100" w:after="30"/>
      </w:pPr>
      <w:r>
        <w:rPr>
          <w:rFonts w:ascii="Arial" w:hAnsi="Arial"/>
          <w:b/>
          <w:color w:val="2B6CB0"/>
          <w:sz w:val="21"/>
        </w:rPr>
        <w:t>2.3 Database &amp; AI (Xinzhe Yu)</w:t>
      </w:r>
    </w:p>
    <w:p>
      <w:pPr>
        <w:keepNext/>
        <w:spacing w:before="60" w:after="20"/>
      </w:pPr>
      <w:r>
        <w:rPr>
          <w:rFonts w:ascii="Arial" w:hAnsi="Arial"/>
          <w:b/>
          <w:color w:val="2D3748"/>
          <w:sz w:val="19"/>
        </w:rPr>
        <w:t>2.3.1 Progress &amp; Outcomes</w:t>
      </w:r>
    </w:p>
    <w:p>
      <w:pPr>
        <w:spacing w:after="50" w:line="259" w:lineRule="auto"/>
      </w:pPr>
      <w:r>
        <w:rPr>
          <w:rFonts w:ascii="Calibri" w:hAnsi="Calibri"/>
          <w:color w:val="2D3748"/>
          <w:sz w:val="18"/>
        </w:rPr>
        <w:t>During Weeks 1–8 (culminating in the fix/bugfixes branch and PRs #6–#8), the Database and AI subsystem was built and integrated into production. It provides secure data management, real-time trigger synchronization, and an end-to-end serverless AI summary pipeline supporting Student, Organiser, and Admin roles:</w:t>
      </w:r>
    </w:p>
    <w:p>
      <w:pPr>
        <w:spacing w:after="40" w:line="259" w:lineRule="auto"/>
        <w:ind w:left="230"/>
      </w:pPr>
      <w:r>
        <w:rPr>
          <w:rFonts w:ascii="Calibri" w:hAnsi="Calibri"/>
          <w:color w:val="2B6CB0"/>
          <w:sz w:val="18"/>
        </w:rPr>
        <w:t xml:space="preserve">•  </w:t>
      </w:r>
      <w:r>
        <w:rPr>
          <w:rFonts w:ascii="Calibri" w:hAnsi="Calibri"/>
          <w:b/>
          <w:color w:val="1A202C"/>
          <w:sz w:val="18"/>
        </w:rPr>
        <w:t xml:space="preserve">Relational Schema &amp; Migration Pipeline: </w:t>
      </w:r>
      <w:r>
        <w:rPr>
          <w:rFonts w:ascii="Calibri" w:hAnsi="Calibri"/>
          <w:color w:val="2D3748"/>
          <w:sz w:val="18"/>
        </w:rPr>
        <w:t>Designed and deployed 13 versioned SQL migrations (001_create_profiles to 013_restore_secure_moderation) on Supabase PostgreSQL. Core entities include profiles, events, registrations, reviews, saved_events, and reports, enforcing cascading deletes, foreign keys, and strict data validation.</w:t>
      </w:r>
    </w:p>
    <w:p>
      <w:pPr>
        <w:spacing w:after="40" w:line="259" w:lineRule="auto"/>
        <w:ind w:left="230"/>
      </w:pPr>
      <w:r>
        <w:rPr>
          <w:rFonts w:ascii="Calibri" w:hAnsi="Calibri"/>
          <w:color w:val="2B6CB0"/>
          <w:sz w:val="18"/>
        </w:rPr>
        <w:t xml:space="preserve">•  </w:t>
      </w:r>
      <w:r>
        <w:rPr>
          <w:rFonts w:ascii="Calibri" w:hAnsi="Calibri"/>
          <w:b/>
          <w:color w:val="1A202C"/>
          <w:sz w:val="18"/>
        </w:rPr>
        <w:t xml:space="preserve">Denormalized Trigger Synchronization: </w:t>
      </w:r>
      <w:r>
        <w:rPr>
          <w:rFonts w:ascii="Calibri" w:hAnsi="Calibri"/>
          <w:color w:val="2D3748"/>
          <w:sz w:val="18"/>
        </w:rPr>
        <w:t>In commit 94e71e7 (009_add_registration_counts.sql), added registered_count and waitlist_count columns to events. A PostgreSQL trigger (sync_registration_counts) automatically recomputes counts upon registration mutations, eliminating costly table joins and ensuring O(1) read latency on public browsing feeds.</w:t>
      </w:r>
    </w:p>
    <w:p>
      <w:pPr>
        <w:spacing w:after="40" w:line="259" w:lineRule="auto"/>
        <w:ind w:left="230"/>
      </w:pPr>
      <w:r>
        <w:rPr>
          <w:rFonts w:ascii="Calibri" w:hAnsi="Calibri"/>
          <w:color w:val="2B6CB0"/>
          <w:sz w:val="18"/>
        </w:rPr>
        <w:t xml:space="preserve">•  </w:t>
      </w:r>
      <w:r>
        <w:rPr>
          <w:rFonts w:ascii="Calibri" w:hAnsi="Calibri"/>
          <w:b/>
          <w:color w:val="1A202C"/>
          <w:sz w:val="18"/>
        </w:rPr>
        <w:t xml:space="preserve">Row-Level Security (RLS) &amp; Access Governance: </w:t>
      </w:r>
      <w:r>
        <w:rPr>
          <w:rFonts w:ascii="Calibri" w:hAnsi="Calibri"/>
          <w:color w:val="2D3748"/>
          <w:sz w:val="18"/>
        </w:rPr>
        <w:t>Enabled RLS across 100% of tables. Policies utilize current_user_role() (SECURITY DEFINER) to isolate data: students view only published events, organisers modify only their own drafts, and admins execute review decisions.</w:t>
      </w:r>
    </w:p>
    <w:p>
      <w:pPr>
        <w:spacing w:after="40" w:line="259" w:lineRule="auto"/>
        <w:ind w:left="230"/>
      </w:pPr>
      <w:r>
        <w:rPr>
          <w:rFonts w:ascii="Calibri" w:hAnsi="Calibri"/>
          <w:color w:val="2B6CB0"/>
          <w:sz w:val="18"/>
        </w:rPr>
        <w:t xml:space="preserve">•  </w:t>
      </w:r>
      <w:r>
        <w:rPr>
          <w:rFonts w:ascii="Calibri" w:hAnsi="Calibri"/>
          <w:b/>
          <w:color w:val="1A202C"/>
          <w:sz w:val="18"/>
        </w:rPr>
        <w:t xml:space="preserve">Serverless AI Summary Pipeline (GLM-4.5-flash): </w:t>
      </w:r>
      <w:r>
        <w:rPr>
          <w:rFonts w:ascii="Calibri" w:hAnsi="Calibri"/>
          <w:color w:val="2D3748"/>
          <w:sz w:val="18"/>
        </w:rPr>
        <w:t>Deployed the ai-summary Deno Edge Function calling Zhipu AI's GLM-4.5-flash model. It receives eventId, verifies publication status, and outputs a 3-line structured summary (🕒 Time &amp; Place, 👥 Ideal for, 🚀 Highlights) with temperature=0.3. Client-side integration in EventCard.vue and aiSummary.ts provides instant preview, in-memory caching, and non-blocking loading states.</w:t>
      </w:r>
    </w:p>
    <w:p>
      <w:pPr>
        <w:spacing w:before="40" w:after="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3474720" cy="3474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abase_ai_architecture_178834123727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hAnsi="Calibri"/>
          <w:i/>
          <w:color w:val="4A5568"/>
          <w:sz w:val="15"/>
        </w:rPr>
        <w:t>Figure 1: High-Level System Architecture (Supabase PostgreSQL, RLS, Deno Edge Function, and GLM-4.5-flash LLM).</w:t>
      </w:r>
    </w:p>
    <w:p>
      <w:pPr>
        <w:keepNext/>
        <w:spacing w:before="60" w:after="20"/>
      </w:pPr>
      <w:r>
        <w:rPr>
          <w:rFonts w:ascii="Arial" w:hAnsi="Arial"/>
          <w:b/>
          <w:color w:val="2D3748"/>
          <w:sz w:val="19"/>
        </w:rPr>
        <w:t>2.3.2 Challenges Faced &amp; Resolved</w:t>
      </w:r>
    </w:p>
    <w:p>
      <w:pPr>
        <w:spacing w:after="40" w:line="259" w:lineRule="auto"/>
        <w:ind w:left="230"/>
      </w:pPr>
      <w:r>
        <w:rPr>
          <w:rFonts w:ascii="Calibri" w:hAnsi="Calibri"/>
          <w:color w:val="2B6CB0"/>
          <w:sz w:val="18"/>
        </w:rPr>
        <w:t xml:space="preserve">•  </w:t>
      </w:r>
      <w:r>
        <w:rPr>
          <w:rFonts w:ascii="Calibri" w:hAnsi="Calibri"/>
          <w:b/>
          <w:color w:val="1A202C"/>
          <w:sz w:val="18"/>
        </w:rPr>
        <w:t xml:space="preserve">Challenge 1: Access Policy Deadlocks &amp; Workflow Friction. </w:t>
      </w:r>
      <w:r>
        <w:rPr>
          <w:rFonts w:ascii="Calibri" w:hAnsi="Calibri"/>
          <w:color w:val="2D3748"/>
          <w:sz w:val="18"/>
        </w:rPr>
        <w:t>Early check constraints required admin approval before event updates, blocking organisers during UI prototyping. Resolution: Temporarily relaxed rules in migration 012 to unblock testing, then systematically restored enterprise security in migration 013 with transactional RPCs (review_event, moderate_report) and an authorize_event_write trigger that safely permits organiser draft edits while requiring re-moderation for published content changes.</w:t>
      </w:r>
    </w:p>
    <w:p>
      <w:pPr>
        <w:spacing w:after="40" w:line="259" w:lineRule="auto"/>
        <w:ind w:left="230"/>
      </w:pPr>
      <w:r>
        <w:rPr>
          <w:rFonts w:ascii="Calibri" w:hAnsi="Calibri"/>
          <w:color w:val="2B6CB0"/>
          <w:sz w:val="18"/>
        </w:rPr>
        <w:t xml:space="preserve">•  </w:t>
      </w:r>
      <w:r>
        <w:rPr>
          <w:rFonts w:ascii="Calibri" w:hAnsi="Calibri"/>
          <w:b/>
          <w:color w:val="1A202C"/>
          <w:sz w:val="18"/>
        </w:rPr>
        <w:t xml:space="preserve">Challenge 2: System Field Tampering via Auth Metadata. </w:t>
      </w:r>
      <w:r>
        <w:rPr>
          <w:rFonts w:ascii="Calibri" w:hAnsi="Calibri"/>
          <w:color w:val="2D3748"/>
          <w:sz w:val="18"/>
        </w:rPr>
        <w:t>Automatic profile creation via handle_new_user exposed a vulnerability where client updates could manipulate user roles. Resolution: Implemented protect_profile_system_fields trigger to reject client-side mutations to id, email, role, or created_at, guaranteeing privilege escalations are restricted strictly to database administrator contexts.</w:t>
      </w:r>
    </w:p>
    <w:p>
      <w:pPr>
        <w:spacing w:after="40" w:line="259" w:lineRule="auto"/>
        <w:ind w:left="230"/>
      </w:pPr>
      <w:r>
        <w:rPr>
          <w:rFonts w:ascii="Calibri" w:hAnsi="Calibri"/>
          <w:color w:val="2B6CB0"/>
          <w:sz w:val="18"/>
        </w:rPr>
        <w:t xml:space="preserve">•  </w:t>
      </w:r>
      <w:r>
        <w:rPr>
          <w:rFonts w:ascii="Calibri" w:hAnsi="Calibri"/>
          <w:b/>
          <w:color w:val="1A202C"/>
          <w:sz w:val="18"/>
        </w:rPr>
        <w:t xml:space="preserve">Challenge 3: Sparse Event Context &amp; Output Hallucinations. </w:t>
      </w:r>
      <w:r>
        <w:rPr>
          <w:rFonts w:ascii="Calibri" w:hAnsi="Calibri"/>
          <w:color w:val="2D3748"/>
          <w:sz w:val="18"/>
        </w:rPr>
        <w:t>Short descriptions (e.g. 'club meetup') caused the LLM to invent details or break the 3-line format. Resolution: Engineered defensive system prompts instructing the model to derive highlights from category/title when text is sparse and return fallback strings ('see event details') for unknown locations/times, paired with frontend retry buttons.</w:t>
      </w:r>
    </w:p>
    <w:p>
      <w:pPr>
        <w:keepNext/>
        <w:spacing w:before="120" w:after="30"/>
      </w:pPr>
      <w:r>
        <w:rPr>
          <w:rFonts w:ascii="Arial" w:hAnsi="Arial"/>
          <w:b/>
          <w:color w:val="1A365D"/>
          <w:sz w:val="24"/>
        </w:rPr>
        <w:t>3. Remaining Tasks</w:t>
      </w:r>
    </w:p>
    <w:p>
      <w:pPr>
        <w:keepNext/>
        <w:spacing w:before="100" w:after="30"/>
      </w:pPr>
      <w:r>
        <w:rPr>
          <w:rFonts w:ascii="Arial" w:hAnsi="Arial"/>
          <w:b/>
          <w:color w:val="2B6CB0"/>
          <w:sz w:val="21"/>
        </w:rPr>
        <w:t>3.3 Database &amp; AI Remaining Tasks &amp; Potential Risks (Xinzhe Yu)</w:t>
      </w:r>
    </w:p>
    <w:p>
      <w:pPr>
        <w:spacing w:after="50" w:line="259" w:lineRule="auto"/>
      </w:pPr>
      <w:r>
        <w:rPr>
          <w:rFonts w:ascii="Calibri" w:hAnsi="Calibri"/>
          <w:color w:val="2D3748"/>
          <w:sz w:val="18"/>
        </w:rPr>
        <w:t>While baseline AI summaries and core schemas are operational, several planned intelligent features from the Project Brief (§4) and Proposal (§4.3.4) remain to be implemented during Weeks 9–12:</w:t>
      </w:r>
    </w:p>
    <w:p>
      <w:pPr>
        <w:spacing w:after="40" w:line="259" w:lineRule="auto"/>
        <w:ind w:left="230"/>
      </w:pPr>
      <w:r>
        <w:rPr>
          <w:rFonts w:ascii="Calibri" w:hAnsi="Calibri"/>
          <w:color w:val="2B6CB0"/>
          <w:sz w:val="18"/>
        </w:rPr>
        <w:t xml:space="preserve">•  </w:t>
      </w:r>
      <w:r>
        <w:rPr>
          <w:rFonts w:ascii="Calibri" w:hAnsi="Calibri"/>
          <w:b/>
          <w:color w:val="1A202C"/>
          <w:sz w:val="18"/>
        </w:rPr>
        <w:t xml:space="preserve">Task 1: Persistent AI Summary Caching (Weeks 8–9, Immediate): </w:t>
      </w:r>
      <w:r>
        <w:rPr>
          <w:rFonts w:ascii="Calibri" w:hAnsi="Calibri"/>
          <w:color w:val="2D3748"/>
          <w:sz w:val="18"/>
        </w:rPr>
        <w:t>Replace the current client-side in-memory Map cache (aiSummary.ts) with database persistence (ai_summary column in events). A trigger will invalidate the cache when event details change, cutting redundant LLM API calls by &gt;85% and eliminating cold starts.</w:t>
      </w:r>
    </w:p>
    <w:p>
      <w:pPr>
        <w:spacing w:after="40" w:line="259" w:lineRule="auto"/>
        <w:ind w:left="230"/>
      </w:pPr>
      <w:r>
        <w:rPr>
          <w:rFonts w:ascii="Calibri" w:hAnsi="Calibri"/>
          <w:color w:val="2B6CB0"/>
          <w:sz w:val="18"/>
        </w:rPr>
        <w:t xml:space="preserve">•  </w:t>
      </w:r>
      <w:r>
        <w:rPr>
          <w:rFonts w:ascii="Calibri" w:hAnsi="Calibri"/>
          <w:b/>
          <w:color w:val="1A202C"/>
          <w:sz w:val="18"/>
        </w:rPr>
        <w:t xml:space="preserve">Task 2: AI-Powered Semantic Event Recommendation (Weeks 9–10, High): </w:t>
      </w:r>
      <w:r>
        <w:rPr>
          <w:rFonts w:ascii="Calibri" w:hAnsi="Calibri"/>
          <w:color w:val="2D3748"/>
          <w:sz w:val="18"/>
        </w:rPr>
        <w:t>Implement personalized event discovery on HomeView (Brief §4). Integrate Supabase pgvector or tag-based similarity matching between student profiles (major, grade, interest tags) and event embeddings to deliver tailored 'Recommended for You' feeds.</w:t>
      </w:r>
    </w:p>
    <w:p>
      <w:pPr>
        <w:spacing w:after="40" w:line="259" w:lineRule="auto"/>
        <w:ind w:left="230"/>
      </w:pPr>
      <w:r>
        <w:rPr>
          <w:rFonts w:ascii="Calibri" w:hAnsi="Calibri"/>
          <w:color w:val="2B6CB0"/>
          <w:sz w:val="18"/>
        </w:rPr>
        <w:t xml:space="preserve">•  </w:t>
      </w:r>
      <w:r>
        <w:rPr>
          <w:rFonts w:ascii="Calibri" w:hAnsi="Calibri"/>
          <w:b/>
          <w:color w:val="1A202C"/>
          <w:sz w:val="18"/>
        </w:rPr>
        <w:t xml:space="preserve">Task 3: AI Event Description Assistant for Organisers (Weeks 10–11, High): </w:t>
      </w:r>
      <w:r>
        <w:rPr>
          <w:rFonts w:ascii="Calibri" w:hAnsi="Calibri"/>
          <w:color w:val="2D3748"/>
          <w:sz w:val="18"/>
        </w:rPr>
        <w:t>Develop an ai-event-draft Edge Function in CreateEventView. Organisers provide rough bullet points; the AI generates structured agendas and engaging copy as an editable draft (Human-in-the-Loop), requiring human verification before publication.</w:t>
      </w:r>
    </w:p>
    <w:p>
      <w:pPr>
        <w:spacing w:after="40" w:line="259" w:lineRule="auto"/>
        <w:ind w:left="230"/>
      </w:pPr>
      <w:r>
        <w:rPr>
          <w:rFonts w:ascii="Calibri" w:hAnsi="Calibri"/>
          <w:color w:val="2B6CB0"/>
          <w:sz w:val="18"/>
        </w:rPr>
        <w:t xml:space="preserve">•  </w:t>
      </w:r>
      <w:r>
        <w:rPr>
          <w:rFonts w:ascii="Calibri" w:hAnsi="Calibri"/>
          <w:b/>
          <w:color w:val="1A202C"/>
          <w:sz w:val="18"/>
        </w:rPr>
        <w:t xml:space="preserve">Task 4: AI Content Moderation Pre-Screening (Week 11, Medium): </w:t>
      </w:r>
      <w:r>
        <w:rPr>
          <w:rFonts w:ascii="Calibri" w:hAnsi="Calibri"/>
          <w:color w:val="2D3748"/>
          <w:sz w:val="18"/>
        </w:rPr>
        <w:t>Incorporate an automated text evaluation pipeline for pending events to flag commercial spam, sensitive words, or duplicates, assigning risk scores in reports to assist administrators during review_event() triage.</w:t>
      </w:r>
    </w:p>
    <w:p>
      <w:pPr>
        <w:spacing w:after="40" w:line="259" w:lineRule="auto"/>
        <w:ind w:left="230"/>
      </w:pPr>
      <w:r>
        <w:rPr>
          <w:rFonts w:ascii="Calibri" w:hAnsi="Calibri"/>
          <w:color w:val="2B6CB0"/>
          <w:sz w:val="18"/>
        </w:rPr>
        <w:t xml:space="preserve">•  </w:t>
      </w:r>
      <w:r>
        <w:rPr>
          <w:rFonts w:ascii="Calibri" w:hAnsi="Calibri"/>
          <w:b/>
          <w:color w:val="1A202C"/>
          <w:sz w:val="18"/>
        </w:rPr>
        <w:t xml:space="preserve">Task 5: Waitlist Concurrency Locks &amp; Maintenance (Weeks 11–12, Polish): </w:t>
      </w:r>
      <w:r>
        <w:rPr>
          <w:rFonts w:ascii="Calibri" w:hAnsi="Calibri"/>
          <w:color w:val="2D3748"/>
          <w:sz w:val="18"/>
        </w:rPr>
        <w:t>Harden automatic waitlist promotions using SELECT FOR UPDATE SKIP LOCKED stored procedures to prevent race conditions on cancellation. Configure pg_cron jobs to auto-archive completed events.</w:t>
      </w:r>
    </w:p>
    <w:p>
      <w:pPr>
        <w:spacing w:before="40" w:after="30"/>
      </w:pPr>
      <w:r>
        <w:rPr>
          <w:rFonts w:ascii="Calibri" w:hAnsi="Calibri"/>
          <w:b/>
          <w:color w:val="1A365D"/>
          <w:sz w:val="17"/>
        </w:rPr>
        <w:t>Table 1: Database &amp; AI Technical Risk Register &amp; Resilience Protocols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872"/>
            <w:shd w:fill="1A365D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5"/>
              </w:rPr>
              <w:t>Risk Domain</w:t>
            </w:r>
          </w:p>
        </w:tc>
        <w:tc>
          <w:tcPr>
            <w:tcW w:type="dxa" w:w="1440"/>
            <w:shd w:fill="1A365D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5"/>
              </w:rPr>
              <w:t>Impact / Likelihood</w:t>
            </w:r>
          </w:p>
        </w:tc>
        <w:tc>
          <w:tcPr>
            <w:tcW w:type="dxa" w:w="2880"/>
            <w:shd w:fill="1A365D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5"/>
              </w:rPr>
              <w:t>Failure Scenario</w:t>
            </w:r>
          </w:p>
        </w:tc>
        <w:tc>
          <w:tcPr>
            <w:tcW w:type="dxa" w:w="3456"/>
            <w:shd w:fill="1A365D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5"/>
              </w:rPr>
              <w:t>Enforced Mitigation Strategy</w:t>
            </w:r>
          </w:p>
        </w:tc>
      </w:tr>
      <w:tr>
        <w:tc>
          <w:tcPr>
            <w:tcW w:type="dxa" w:w="1872"/>
            <w:shd w:fill="FFFFFF"/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  <w:tcMar>
              <w:top w:w="25" w:type="dxa"/>
              <w:bottom w:w="25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2D3748"/>
                <w:sz w:val="14"/>
              </w:rPr>
              <w:t>External LLM API</w:t>
            </w:r>
          </w:p>
        </w:tc>
        <w:tc>
          <w:tcPr>
            <w:tcW w:type="dxa" w:w="1440"/>
            <w:shd w:fill="FFFFFF"/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  <w:tcMar>
              <w:top w:w="25" w:type="dxa"/>
              <w:bottom w:w="25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2D3748"/>
                <w:sz w:val="14"/>
              </w:rPr>
              <w:t>High / Medium</w:t>
            </w:r>
          </w:p>
        </w:tc>
        <w:tc>
          <w:tcPr>
            <w:tcW w:type="dxa" w:w="2880"/>
            <w:shd w:fill="FFFFFF"/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  <w:tcMar>
              <w:top w:w="25" w:type="dxa"/>
              <w:bottom w:w="25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2D3748"/>
                <w:sz w:val="14"/>
              </w:rPr>
              <w:t>Upstream 502/timeout on summary fetch</w:t>
            </w:r>
          </w:p>
        </w:tc>
        <w:tc>
          <w:tcPr>
            <w:tcW w:type="dxa" w:w="3456"/>
            <w:shd w:fill="FFFFFF"/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  <w:tcMar>
              <w:top w:w="25" w:type="dxa"/>
              <w:bottom w:w="25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2D3748"/>
                <w:sz w:val="14"/>
              </w:rPr>
              <w:t>PostgreSQL summary caching + frontend fallback to raw text</w:t>
            </w:r>
          </w:p>
        </w:tc>
      </w:tr>
      <w:tr>
        <w:tc>
          <w:tcPr>
            <w:tcW w:type="dxa" w:w="1872"/>
            <w:shd w:fill="F7FAFC"/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  <w:tcMar>
              <w:top w:w="25" w:type="dxa"/>
              <w:bottom w:w="25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2D3748"/>
                <w:sz w:val="14"/>
              </w:rPr>
              <w:t>Edge Cold Starts</w:t>
            </w:r>
          </w:p>
        </w:tc>
        <w:tc>
          <w:tcPr>
            <w:tcW w:type="dxa" w:w="1440"/>
            <w:shd w:fill="F7FAFC"/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  <w:tcMar>
              <w:top w:w="25" w:type="dxa"/>
              <w:bottom w:w="25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2D3748"/>
                <w:sz w:val="14"/>
              </w:rPr>
              <w:t>Medium / Medium</w:t>
            </w:r>
          </w:p>
        </w:tc>
        <w:tc>
          <w:tcPr>
            <w:tcW w:type="dxa" w:w="2880"/>
            <w:shd w:fill="F7FAFC"/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  <w:tcMar>
              <w:top w:w="25" w:type="dxa"/>
              <w:bottom w:w="25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2D3748"/>
                <w:sz w:val="14"/>
              </w:rPr>
              <w:t>500-1500ms initial Deno invocation lag</w:t>
            </w:r>
          </w:p>
        </w:tc>
        <w:tc>
          <w:tcPr>
            <w:tcW w:type="dxa" w:w="3456"/>
            <w:shd w:fill="F7FAFC"/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  <w:tcMar>
              <w:top w:w="25" w:type="dxa"/>
              <w:bottom w:w="25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2D3748"/>
                <w:sz w:val="14"/>
              </w:rPr>
              <w:t>Store summaries in DB; direct SQL reads bypass Edge Function</w:t>
            </w:r>
          </w:p>
        </w:tc>
      </w:tr>
      <w:tr>
        <w:tc>
          <w:tcPr>
            <w:tcW w:type="dxa" w:w="1872"/>
            <w:shd w:fill="FFFFFF"/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  <w:tcMar>
              <w:top w:w="25" w:type="dxa"/>
              <w:bottom w:w="25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2D3748"/>
                <w:sz w:val="14"/>
              </w:rPr>
              <w:t>AI Hallucinations</w:t>
            </w:r>
          </w:p>
        </w:tc>
        <w:tc>
          <w:tcPr>
            <w:tcW w:type="dxa" w:w="1440"/>
            <w:shd w:fill="FFFFFF"/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  <w:tcMar>
              <w:top w:w="25" w:type="dxa"/>
              <w:bottom w:w="25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2D3748"/>
                <w:sz w:val="14"/>
              </w:rPr>
              <w:t>High / Low</w:t>
            </w:r>
          </w:p>
        </w:tc>
        <w:tc>
          <w:tcPr>
            <w:tcW w:type="dxa" w:w="2880"/>
            <w:shd w:fill="FFFFFF"/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  <w:tcMar>
              <w:top w:w="25" w:type="dxa"/>
              <w:bottom w:w="25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2D3748"/>
                <w:sz w:val="14"/>
              </w:rPr>
              <w:t>Fabricated event venue/time or bad draft</w:t>
            </w:r>
          </w:p>
        </w:tc>
        <w:tc>
          <w:tcPr>
            <w:tcW w:type="dxa" w:w="3456"/>
            <w:shd w:fill="FFFFFF"/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  <w:tcMar>
              <w:top w:w="25" w:type="dxa"/>
              <w:bottom w:w="25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2D3748"/>
                <w:sz w:val="14"/>
              </w:rPr>
              <w:t>Human-in-the-Loop: editable drafts only; admin approval required</w:t>
            </w:r>
          </w:p>
        </w:tc>
      </w:tr>
    </w:tbl>
    <w:p>
      <w:pPr>
        <w:spacing w:before="60"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648"/>
            <w:shd w:fill="F0F4F8"/>
            <w:tcBorders>
              <w:top w:val="single" w:sz="6" w:space="0" w:color="2B6CB0"/>
              <w:bottom w:val="single" w:sz="6" w:space="0" w:color="2B6CB0"/>
              <w:left w:val="single" w:sz="6" w:space="0" w:color="2B6CB0"/>
              <w:right w:val="single" w:sz="6" w:space="0" w:color="2B6CB0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2B6CB0"/>
                <w:sz w:val="16"/>
              </w:rPr>
              <w:t>📷 实机演示配图建议指南 (Live Demonstration Screenshot Placement):</w:t>
              <w:br/>
            </w:r>
            <w:r>
              <w:rPr>
                <w:rFonts w:ascii="Calibri" w:hAnsi="Calibri"/>
                <w:color w:val="4A5568"/>
                <w:sz w:val="15"/>
              </w:rPr>
              <w:t>• Figure 2 (数据库与触发器): 截取 Supabase Studio &gt; Table Editor &gt; events 表 (展示 registered_count 及外键)。</w:t>
              <w:br/>
            </w:r>
            <w:r>
              <w:rPr>
                <w:rFonts w:ascii="Calibri" w:hAnsi="Calibri"/>
                <w:color w:val="4A5568"/>
                <w:sz w:val="15"/>
              </w:rPr>
              <w:t>• Figure 3 (前端 AI 摘要实机演示): 打开网页端活动卡片 EventCard 点击 '✨ AI Summary' 展开的三行结构化摘要。</w:t>
              <w:br/>
            </w:r>
            <w:r>
              <w:rPr>
                <w:rFonts w:ascii="Calibri" w:hAnsi="Calibri"/>
                <w:color w:val="4A5568"/>
                <w:sz w:val="15"/>
              </w:rPr>
              <w:t>• Figure 4 (AI 云函数在线状态): 截取 Supabase Studio &gt; Edge Functions (展示 ai-summary 活跃状态与部署记录)。</w:t>
              <w:br/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