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 /><Relationship Id="rId4" Type="http://schemas.openxmlformats.org/officeDocument/2006/relationships/extended-properties" Target="docProps/app.xml" /><Relationship Id="rId1" Type="http://schemas.openxmlformats.org/officeDocument/2006/relationships/officeDocument" Target="word/document.xml" /><Relationship Id="rId2" Type="http://schemas.openxmlformats.org/package/2006/relationships/metadata/thumbnail" Target="docProps/thumbnail.jpeg" /><Relationship Id="rId5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ENG-SWE1-001_SW 요구사항 명세서 (Phase 1)</w:t>
      </w:r>
    </w:p>
    <w:p>
      <w:r>
        <w:rPr>
          <w:rFonts w:ascii="맑은 고딕" w:hAnsi="맑은 고딕" w:eastAsia="맑은 고딕"/>
          <w:b w:val="0"/>
          <w:i w:val="0"/>
          <w:color w:val="404040"/>
          <w:sz w:val="22"/>
        </w:rPr>
        <w:t>전자식 차일드락 제어 SW / OEM-A 공급자 입력 기반 SW 요구사항 (Phase 1: OEM-FR-001, 002, 004 부분, 007)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6973"/>
      </w:tblGrid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템플릿 ID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TPL-SWE1-001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적용 프로세스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>SWE.1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프로젝트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VJ-ECL-2026 (전자식 차일드락 제어 SW, OEM-A 가상 프로젝트)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 문서 ID와 명칭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ENG-SWE1-001_SW 요구사항 명세서 (Phase 1)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버전 및 베이스라인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0.1 (Phase 1 초안, 베이스라인 미지정)</w:t>
            </w:r>
          </w:p>
        </w:tc>
      </w:tr>
      <w:tr>
        <w:tc>
          <w:tcPr>
            <w:tcW w:type="dxa" w:w="4929"/>
            <w:shd w:fill="D9EAF7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>작성자와 검토자</w:t>
            </w:r>
          </w:p>
        </w:tc>
        <w:tc>
          <w:tcPr>
            <w:tcW w:type="dxa" w:w="492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작성: 박재현 (requirements-analyst 서브에이전트 지원) | 검토: 미지정 | 승인: 미지정</w:t>
            </w:r>
          </w:p>
        </w:tc>
      </w:tr>
    </w:tbl>
    <w:p/>
    <w:p>
      <w:pPr>
        <w:spacing w:before="200"/>
      </w:pPr>
      <w:r>
        <w:rPr>
          <w:rFonts w:ascii="맑은 고딕" w:hAnsi="맑은 고딕" w:eastAsia="맑은 고딕"/>
          <w:b w:val="0"/>
          <w:i w:val="0"/>
          <w:color w:val="595959"/>
          <w:sz w:val="17"/>
        </w:rPr>
        <w:t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w:t>
      </w:r>
    </w:p>
    <w:p>
      <w:r>
        <w:br w:type="page"/>
      </w:r>
    </w:p>
    <w:p>
      <w:pPr>
        <w:pStyle w:val="Heading1"/>
      </w:pPr>
      <w:r>
        <w:t>문서 통제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문서는 VJ-ECL-2026 SW 품질교육 시나리오의 산출물이다. 작성/검토/승인의 시나리오 상 진행 상태와 실제 서명 여부를 구분하여 아래 표에 기록하며, 본 Phase 1 초안은 아직 기술검토·품질확인·승인이 수행되지 않았다(§변경 이력, §작성 검토 승인 상태 참조).</w:t>
      </w:r>
    </w:p>
    <w:p>
      <w:pPr>
        <w:pStyle w:val="Heading2"/>
      </w:pPr>
      <w:r>
        <w:t>변경 이력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Revision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변경일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작성 역할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변경 내용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검토 상태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0.1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requirements-analyst 서브에이전트(작성 지원)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Phase 1 SW 요구사항 초안 작성 — OEM-FR-001, OEM-FR-002, OEM-FR-007, OEM-FR-004(기본 골격)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 — 기술검토 미실시</w:t>
            </w:r>
          </w:p>
        </w:tc>
      </w:tr>
    </w:tbl>
    <w:p>
      <w:pPr>
        <w:pStyle w:val="Heading2"/>
      </w:pPr>
      <w:r>
        <w:t>작성 검토 승인 상태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구분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역할 또는 성명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상태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일자</w:t>
            </w:r>
          </w:p>
        </w:tc>
        <w:tc>
          <w:tcPr>
            <w:tcW w:type="dxa" w:w="1972"/>
            <w:shd w:fill="17365D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17"/>
              </w:rPr>
              <w:t>증거 위치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작성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박재현 (requirements-analyst 서브에이전트 지원)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 작성 완료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2026-09-18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본 문서(ENG-SWE1-001) Git 이력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기술 검토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미실시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품질 확인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미실시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  <w:tr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승인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미지정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미승인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972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</w:tr>
    </w:tbl>
    <w:p>
      <w:pPr>
        <w:pStyle w:val="Heading2"/>
      </w:pPr>
      <w:r>
        <w:t>목차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1. 목적 및 적용범위 (1.1 목적 / 1.2 적용범위 / 1.3 적용 경계)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2. 요구사항 작성 및 판정 규칙 (2.1 식별 및 상태 규칙 / 2.2 품질 판정 기준)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3. 상태와 우선순위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4. 기능 및 안전 관련 SW 요구사항 (4.1 기능 요구사항 / 4.2 안전 관련 SW 요구사항)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5. 입력 데이터 사전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6. 외부 인터페이스 요구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7. 비기능 및 환경 제약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8. 분석 결과와 가정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9. 하향 할당 및 검증 계획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10. 범위 밖 주장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11. 추적성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12. 참고자료</w:t>
      </w:r>
    </w:p>
    <w:p>
      <w:r>
        <w:rPr>
          <w:rFonts w:ascii="맑은 고딕" w:hAnsi="맑은 고딕" w:eastAsia="맑은 고딕"/>
          <w:b w:val="0"/>
          <w:i/>
          <w:color w:val="595959"/>
          <w:sz w:val="17"/>
        </w:rPr>
        <w:t xml:space="preserve">(참고: 위 목차는 본 초안 작성 시 수기로 정리한 절 구성이다. 배포 전 Word의 자동 목차 기능으로 페이지 번호와 제목 수준을 갱신한다.)</w:t>
      </w:r>
    </w:p>
    <w:p>
      <w:pPr>
        <w:pStyle w:val="Heading1"/>
      </w:pPr>
      <w:r>
        <w:t>1. 목적 및 적용범위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절은 OEM-A가 공급자 입력으로 제공한 `OEM-SWR-001_OEM SW 요구사항 사양서`(Rev 1.0, BL-OEM-1.0) 가운데 Phase 1 범위로 확정된 항목을 SW 요구사항으로 상세화하는 목적과 적용 대상, 적용 시점(SWE.1 요구사항 분석 단계)을 정의한다.</w:t>
      </w:r>
    </w:p>
    <w:p>
      <w:pPr>
        <w:pStyle w:val="Heading2"/>
      </w:pPr>
      <w:r>
        <w:t>1.1 목적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문서는 VJ-ECL-2026 가상 프로젝트에서 OEM-A 공급자 입력(OEM-SWR-001)의 OEM-FR-001, OEM-FR-002, OEM-FR-007과 OEM-FR-004의 기본 골격을 SW 요구사항(REQ-ECL-001~005)으로 상세화한다. 이 문서는 A-SPICE 4.1 SWE.1(소프트웨어 요구사항 분석) 활동의 산출물이며, 이후 SWE.2(아키텍처 설계)·SWE.3(상세설계)·SWE.4~6(구현/통합시험/검증) 단계 산출물의 입력이 된다. 기대 결과는 검증 가능하고 추적 가능한 SW 요구사항 집합과, 이를 뒷받침하는 Use Case 및 양방향 추적 매트릭스(ENG-TRC-001)이다.</w:t>
      </w:r>
    </w:p>
    <w:p>
      <w:pPr>
        <w:pStyle w:val="Heading2"/>
      </w:pPr>
      <w:r>
        <w:t>1.2 적용범위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대상 제품: 가상 OEM-A 승용차(2026년식, 대한민국 판매용 가정) 후석 좌/우 전자식 차일드락 제어 SW. 대상 생명주기 단계: SWE.1(요구사항 분석). 대상 조직: VJ-ECL-2026 프로젝트 SW 엔지니어링 팀(교육 시나리오, requirements-analyst 서브에이전트가 초안 작성). 본 문서가 다루는 요구사항 식별자 범위는 REQ-ECL-001~REQ-ECL-005이며, OEM 원문 기준으로는 OEM-FR-001, OEM-FR-002, OEM-FR-007과 OEM-FR-004의 일부(현재 잠금상태·입력유효성 필드)만 포함한다.</w:t>
      </w:r>
    </w:p>
    <w:p>
      <w:pPr>
        <w:pStyle w:val="Heading2"/>
      </w:pPr>
      <w:r>
        <w:t>1.3 적용 경계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포함: OEM-FR-001(4채널 운전자 명령 처리), OEM-FR-002(자동 잠금), OEM-FR-007(점화 OFF 초기화), OEM-FR-004 중 상태/입력유효성 표시 기본 골격. 관련 인터페이스는 OEM-IF-001(vehicle_speed_kph, gear), OEM-IF-004(운전자 명령), OEM-IF-005(SW→Actuator 출력), OEM-IF-006(SW→Display, 기본 필드만), OEM-IF-009(ignition_on 부분만)이다.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제외(후속 단계 및 별도 에이전트 실행 대상): OEM-SR-001~OEM-SR-004(ASIL B 입력 — 충돌 우선 해제, 접근위험 억제, 입력 유효성/freshness/DEGRADED 처리, sensor_fault 유지), OEM-FR-003(접근위험 override), OEM-FR-005(화재/과온/성인탑승 강제해제), OEM-FR-006(ISOFIX 강제잠금), OEM-NFR-001(결정론적 재생), OEM-NFR-002(이력 보존), OEM-FR-004/OEM-IF-006의 reason_code·priority_reason 완전 구현, OEM-IF-002/003/007/008, OEM-IF-009의 sensor_fault 필드.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저장소의 공통 경계(CLAUDE.md '교육용 자료 안내')에 따라 HARA, ASIL 도출, ISO 26262 Part 3, ECU/HW 개발, HIL, 실차 시험, 공식 A-SPICE 심사와 인증 활동은 모든 단계에서 범위 밖이다.</w:t>
      </w:r>
    </w:p>
    <w:p>
      <w:pPr>
        <w:pStyle w:val="Heading1"/>
      </w:pPr>
      <w:r>
        <w:t>2. 요구사항 작성 및 판정 규칙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절은 요구사항 문장 형식(EARS 구문), 식별 규칙과 품질 판정 기준을 정의한다. 세부 규칙은 `requirements-analysis` 스킬 §4(EARS 구문)와 CLAUDE.md '요구사항 작성 정책'을 따른다.</w:t>
      </w:r>
    </w:p>
    <w:p>
      <w:pPr>
        <w:pStyle w:val="Heading2"/>
      </w:pPr>
      <w:r>
        <w:t>2.1 식별 및 상태 규칙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요구사항 ID는 REQ-ECL-&lt;3자리 일련번호&gt;(ECL = Electronic Child Lock) 형식을 사용한다(예: REQ-ECL-001). ID는 한 번 부여되면 재사용하지 않으며, 폐지 시 상태를 '폐지'로 표시하고 ID는 남긴다.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상태값은 {초안, 검토중, 합의, 변경, 폐지} 중 하나를 가진다. 본 Phase 1 산출물의 모든 요구사항(REQ-ECL-001~005)은 '초안' 상태이며 아직 기술검토가 수행되지 않았다(§3, §문서통제 참조).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변경 통제는 Git 커밋 이력과 `ENG-TRC-001` 양방향 요구사항 추적 매트릭스 갱신으로 관리한다. 요구사항 문구가 변경되면 상태를 '변경'으로 표시하고 변경 사유를 §8(분석 결과와 가정) 또는 문서 통제의 변경 이력에 기록한다.</w:t>
      </w:r>
    </w:p>
    <w:p>
      <w:pPr>
        <w:pStyle w:val="Heading2"/>
      </w:pPr>
      <w:r>
        <w:t>2.2 품질 판정 기준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모든 요구사항 문장은 EARS(이벤트 구동/상태 구동/유비쿼터스/원치 않는 동작) 패턴 중 하나로 작성하고, 다음 기준으로 품질을 판정한다.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원자성: 하나의 문장에 하나의 요구만 담는다. '그리고/또는'으로 여러 요구를 묶지 않는다.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정량적 검증 가능성: 수용기준은 측정 가능한 수치나 명확한 판정식으로 표현한다.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명확성: 정의되지 않은 용어를 쓰지 않고, 능동태로 작성한다.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일관성: 동일 대상(입력/출력/임계값)에 대해 다른 요구사항과 모순되는 값·조건이 없는지 교차 검토한다.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추적성: 모든 요구사항은 출처(OEM-FR-ID 등)와 검증 방법을 명시하고, ENG-TRC-001에 등록한다.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판정 결과는 각 요구사항 표의 '상태' 열에 반영한다(§4.1).</w:t>
      </w:r>
    </w:p>
    <w:p>
      <w:pPr>
        <w:pStyle w:val="Heading1"/>
      </w:pPr>
      <w:r>
        <w:t>3. 상태와 우선순위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상태값 전이: 초안(작성 완료, 검토 전) → 검토중(기술검토 진행) → 합의(검토 완료, 수정 없음 합의) → 변경(합의 후 수정 필요, 변경 후 다시 검토중으로 복귀) → 폐지(더 이상 유효하지 않음). 본 Phase 1 산출물의 REQ-ECL-001~005는 모두 '초안' 상태이다.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우선순위: 본 Phase 1 대상 OEM 요구사항(OEM-FR-001, OEM-FR-002, OEM-FR-004, OEM-FR-007)은 OEM-SWR-001 §5에서 모두 QM(품질관리)으로 분류되어 있으며 ASIL 할당이 없다. ASIL B로 분류된 OEM-SR-00x 항목은 이번 Phase 1 범위 밖이다(§1.3 참조).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상태 전이 승인 책임: OEM 원본 요구사항 변경은 OEM-A SW Requirements Owner(고객 측, 실제 승인 미수행)의 책임이며, 본 SW 요구사항(REQ-ECL-*)의 상태 전이는 프로젝트 내부 요구사항 책임자의 검토를 거친다. 이 저장소는 교육 시나리오이므로 실제 서명·승인 절차는 수행되지 않는다(§문서통제 참조).</w:t>
      </w:r>
    </w:p>
    <w:p>
      <w:pPr>
        <w:pStyle w:val="Heading1"/>
      </w:pPr>
      <w:r>
        <w:t>4. 기능 및 안전 관련 SW 요구사항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이 절은 Phase 1 대상 OEM 요구사항(OEM-FR-001, OEM-FR-002, OEM-FR-004 일부, OEM-FR-007)으로부터 도출한 기능 요구사항(§4.1)과 안전 관련 SW 요구사항(§4.2)을 기술한다. 각 항목은 ID, 출처, 조건, 동작, 정량적 수용기준, 검증 방법과 상태를 포함하며 EARS 구문(`requirements-analysis` 스킬 §4)으로 작성한다.</w:t>
      </w:r>
    </w:p>
    <w:p>
      <w:pPr>
        <w:pStyle w:val="Heading2"/>
      </w:pPr>
      <w:r>
        <w:t>4.1 기능 요구사항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아래 표는 Phase 1 범위의 기능 요구사항이다. 각 요구사항은 EARS 패턴(이벤트 구동/유비쿼터스/원치 않는 동작)으로 작성했으며, 정량적 수용기준은 OEM-SWR-001 원문의 수용기준 문구를 근거로 도출했다.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00"/>
        <w:gridCol w:w="1450"/>
        <w:gridCol w:w="1550"/>
        <w:gridCol w:w="1750"/>
        <w:gridCol w:w="2200"/>
        <w:gridCol w:w="1050"/>
        <w:gridCol w:w="550"/>
      </w:tblGrid>
      <w:tr>
        <w:trPr>
          <w:tblHeader/>
        </w:trPr>
        <w:tc>
          <w:tcPr>
            <w:tcW w:type="dxa" w:w="8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ID</w:t>
            </w:r>
          </w:p>
        </w:tc>
        <w:tc>
          <w:tcPr>
            <w:tcW w:type="dxa" w:w="14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출처</w:t>
            </w:r>
          </w:p>
        </w:tc>
        <w:tc>
          <w:tcPr>
            <w:tcW w:type="dxa" w:w="15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조건</w:t>
            </w:r>
          </w:p>
        </w:tc>
        <w:tc>
          <w:tcPr>
            <w:tcW w:type="dxa" w:w="17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동작</w:t>
            </w:r>
          </w:p>
        </w:tc>
        <w:tc>
          <w:tcPr>
            <w:tcW w:type="dxa" w:w="22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정량적 수용기준</w:t>
            </w:r>
          </w:p>
        </w:tc>
        <w:tc>
          <w:tcPr>
            <w:tcW w:type="dxa" w:w="10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검증 방법</w:t>
            </w:r>
          </w:p>
        </w:tc>
        <w:tc>
          <w:tcPr>
            <w:tcW w:type="dxa" w:w="5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상태</w:t>
            </w:r>
          </w:p>
        </w:tc>
      </w:tr>
      <w:tr>
        <w:tc>
          <w:tcPr>
            <w:tcW w:type="dxa" w:w="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</w:t>
            </w:r>
          </w:p>
        </w:tc>
        <w:tc>
          <w:tcPr>
            <w:tcW w:type="dxa" w:w="14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OEM-FR-001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(이벤트 구동)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물리 버튼(physical_button), AVN(avn), 음성(voice), 모바일 앱(mobile_app) 중 하나의 경로로 형식이 올바른 잠금/해제 명령(side, action, source)이 수신되면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SW는 명령이 지정한 도어 대상(LEFT/RIGHT/ALL)에 대해서만 action에 해당하는 LOCK 또는 RELEASE 출력을 적용하고, 지정되지 않은 도어의 기존 출력은 변경하지 않는다.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차량 정지 및 정상 입력 조건에서 4개 source(physical_button/avn/voice/mobile_app) 각각에 대해 LOCK/RELEASE × LEFT/RIGHT/ALL 조합을 주입하는 시험에서, 선택된 도어의 출력만 변경되고 선택되지 않은 도어의 출력은 직전 값으로 유지된다.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(근거: OEM-SWR-001 §5 OEM-FR-001 수용기준)</w:t>
            </w:r>
          </w:p>
        </w:tc>
        <w:tc>
          <w:tcPr>
            <w:tcW w:type="dxa" w:w="1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 요구기반 시험 + Web 시뮬레이터 입력 재현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(OEM 원문 검증수준: PC/SIL/Web)</w:t>
            </w:r>
          </w:p>
        </w:tc>
        <w:tc>
          <w:tcPr>
            <w:tcW w:type="dxa" w:w="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</w:t>
            </w:r>
          </w:p>
        </w:tc>
      </w:tr>
      <w:tr>
        <w:tc>
          <w:tcPr>
            <w:tcW w:type="dxa" w:w="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REQ-ECL-002</w:t>
            </w:r>
          </w:p>
        </w:tc>
        <w:tc>
          <w:tcPr>
            <w:tcW w:type="dxa" w:w="14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OEM-FR-002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(이벤트 구동)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유효한 vehicle_speed_kph 값이 3 km/h 이상이 되는 최초 평가주기가 되면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SW는 후석 좌/우 차일드락 출력을 모두 LOCK으로 설정한다.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유효 차속이 3 km/h 이상이 되는 첫 평가주기부터 좌/우 출력이 모두 LOCK이다.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(근거: OEM-SWR-001 §5 OEM-FR-002 수용기준) vehicle_speed_kph의 형식/범위 오류 판정 이후의 동작(DEGRADED 전이 등)은 OEM-SR-003 범위이며 Phase 1에서 다루지 않는다(§8 참조).</w:t>
            </w:r>
          </w:p>
        </w:tc>
        <w:tc>
          <w:tcPr>
            <w:tcW w:type="dxa" w:w="1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 요구기반 시험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(OEM 원문 검증수준: PC/SIL)</w:t>
            </w:r>
          </w:p>
        </w:tc>
        <w:tc>
          <w:tcPr>
            <w:tcW w:type="dxa" w:w="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</w:t>
            </w:r>
          </w:p>
        </w:tc>
      </w:tr>
      <w:tr>
        <w:tc>
          <w:tcPr>
            <w:tcW w:type="dxa" w:w="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REQ-ECL-003</w:t>
            </w:r>
          </w:p>
        </w:tc>
        <w:tc>
          <w:tcPr>
            <w:tcW w:type="dxa" w:w="14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OEM-FR-007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(이벤트 구동)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ignition_on이 TRUE에서 FALSE로 전이되면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SW는 후석 좌/우 차일드락 논리 출력을 초기 해제(RELEASE) 상태로 전환하고 상태값을 OFF로 갱신한다.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ignition_on=FALSE가 되는 첫 평가주기에 좌/우 출력이 모두 RELEASE이고 상태값이 OFF이다.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(근거: OEM-SWR-001 §5 OEM-FR-007 수용기준) OEM 원문의 'ignition_off 이유코드 제공'은 OEM-IF-006의 reason_code 필드에 해당하며, 본 Phase 1은 IF-006을 기본 골격(state, input_validity)만 구현하므로 이유코드 제공 여부는 본 요구사항의 수용기준에서 제외한다(§8-c, 후속 단계에서 REQ-ECL-004 확장 시 충족).</w:t>
            </w:r>
          </w:p>
        </w:tc>
        <w:tc>
          <w:tcPr>
            <w:tcW w:type="dxa" w:w="1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 요구기반 시험 + Web 시뮬레이터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(OEM 원문 검증수준: PC/SIL/Web)</w:t>
            </w:r>
          </w:p>
        </w:tc>
        <w:tc>
          <w:tcPr>
            <w:tcW w:type="dxa" w:w="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</w:t>
            </w:r>
          </w:p>
        </w:tc>
      </w:tr>
      <w:tr>
        <w:tc>
          <w:tcPr>
            <w:tcW w:type="dxa" w:w="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REQ-ECL-004</w:t>
            </w:r>
          </w:p>
        </w:tc>
        <w:tc>
          <w:tcPr>
            <w:tcW w:type="dxa" w:w="14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OEM-FR-004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(부분, 유비쿼터스)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(유비쿼터스) — SW가 동작 중인 동안 항상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SW는 현재 좌/우 잠금 상태(state)와 입력 유효성(input_validity)을 OEM-IF-006 표시 인터페이스를 통해 제공한다. priority_reason, reason_code 필드는 본 Phase 1의 구현 범위에서 제외하며 후속 단계에서 추가한다(§8-c).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상태조회 요청에 대한 HTTP 응답에 좌/우 state와 input_validity 필드가 포함된다. 응답 직렬화가 성공하면 HTTP 200을, 직렬화에 실패하면 HTTP 500을 반환한다.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(근거: OEM-SWR-001 §5 OEM-FR-004 수용기준 중 state·입력유효성 부분, §6 OEM-IF-006 오류처리 'HTTP 500') reason_code/priority_reason 필드 제공은 이 수용기준에 포함하지 않는다(부분 구현).</w:t>
            </w:r>
          </w:p>
        </w:tc>
        <w:tc>
          <w:tcPr>
            <w:tcW w:type="dxa" w:w="1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통합 및 Web 요구기반 시험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(OEM 원문 검증수준: 통합 및 Web; 이 프로젝트는 PC/SIL·Web 증거로 한정)</w:t>
            </w:r>
          </w:p>
        </w:tc>
        <w:tc>
          <w:tcPr>
            <w:tcW w:type="dxa" w:w="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(부분 구현)</w:t>
            </w:r>
          </w:p>
        </w:tc>
      </w:tr>
      <w:tr>
        <w:tc>
          <w:tcPr>
            <w:tcW w:type="dxa" w:w="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REQ-ECL-005</w:t>
            </w:r>
          </w:p>
        </w:tc>
        <w:tc>
          <w:tcPr>
            <w:tcW w:type="dxa" w:w="14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OEM-FR-001 + OEM-IF-004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(원치 않는 동작)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side, action, source 중 하나 이상이 결측이거나 정의된 열거값(left/right/all; lock/unlock; physical_button/avn/voice/mobile_app)에 속하지 않는 명령이 수신되면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SW는 해당 명령을 거절하고 직전 확정 출력을 변경하지 않는다.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side/action/source 중 하나 이상이 결측이거나 미등록 값인 명령을 주입했을 때, 좌/우 출력이 변경되지 않고 해당 명령이 거절된 것으로 판정된다.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(근거: OEM-SWR-001 §6 OEM-IF-004 오류처리 '누락, 형식, 미등록 enum 거절')</w:t>
            </w:r>
          </w:p>
        </w:tc>
        <w:tc>
          <w:tcPr>
            <w:tcW w:type="dxa" w:w="10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 요구기반 시험</w:t>
            </w:r>
          </w:p>
        </w:tc>
        <w:tc>
          <w:tcPr>
            <w:tcW w:type="dxa" w:w="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초안</w:t>
            </w:r>
          </w:p>
        </w:tc>
      </w:tr>
    </w:tbl>
    <w:p>
      <w:pPr>
        <w:pStyle w:val="Heading2"/>
      </w:pPr>
      <w:r>
        <w:t>4.2 안전 관련 SW 요구사항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해당 없음. 본 Phase 1 대상 OEM 요구사항(OEM-FR-001, OEM-FR-002, OEM-FR-004, OEM-FR-007)은 OEM-SWR-001 §5에서 모두 QM으로 분류되어 있으며 ASIL 할당이 없다. ASIL B 입력으로 분류된 OEM-SR-001(충돌 우선 해제)~OEM-SR-004(sensor_fault 출력 유지)는 이번 Phase 1 범위에서 명시적으로 제외되었으며(§1.3), 안전 관련 SW 요구사항으로 별도 도출하지 않는다. 이후 단계에서 OEM-SR-00x가 범위에 포함되면 ISO 26262 ASIL B 요구사항으로서 본 절에 추가하고 안전목표와의 연계를 기술한다.</w:t>
      </w:r>
    </w:p>
    <w:p>
      <w:pPr>
        <w:pStyle w:val="Heading1"/>
      </w:pPr>
      <w:r>
        <w:t>5. 입력 데이터 사전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아래 표는 Phase 1 범위 기능 요구사항(§4.1)이 사용하는 입력 데이터를 정의한다. 자료형/단위/범위는 OEM-SWR-001 §6 외부 인터페이스 계약 표에서 그대로 인용했다.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00"/>
        <w:gridCol w:w="900"/>
        <w:gridCol w:w="900"/>
        <w:gridCol w:w="1750"/>
        <w:gridCol w:w="2800"/>
        <w:gridCol w:w="1500"/>
      </w:tblGrid>
      <w:tr>
        <w:trPr>
          <w:tblHeader/>
        </w:trPr>
        <w:tc>
          <w:tcPr>
            <w:tcW w:type="dxa" w:w="15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명칭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자료형</w:t>
            </w:r>
          </w:p>
        </w:tc>
        <w:tc>
          <w:tcPr>
            <w:tcW w:type="dxa" w:w="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단위</w:t>
            </w:r>
          </w:p>
        </w:tc>
        <w:tc>
          <w:tcPr>
            <w:tcW w:type="dxa" w:w="17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범위/열거값</w:t>
            </w:r>
          </w:p>
        </w:tc>
        <w:tc>
          <w:tcPr>
            <w:tcW w:type="dxa" w:w="28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유효성 및 오류 처리</w:t>
            </w:r>
          </w:p>
        </w:tc>
        <w:tc>
          <w:tcPr>
            <w:tcW w:type="dxa" w:w="15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출처(인터페이스)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vehicle_speed_kph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float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km/h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0.0~300.0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형식, 범위 오류 시 INVALID로 판정한다. 판정 이후의 DEGRADED 전이 등 세부 로직은 OEM-SR-003 범위이며 Phase 1에서 제외한다.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OEM-IF-001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gear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enum(string)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P, N, D, R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형식, 범위(미등록 값) 오류 시 INVALID로 판정한다(위와 동일 근거).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OEM-IF-001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source_timestamp_s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float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s(초)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≥ 0.0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본 Phase 1에서는 freshness(신선도) 판정을 구현하지 않으므로 값은 보관만 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확인 필요: freshness 판정 도입 시점과 기준(OEM-SR-003, 후속 단계).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OEM-IF-001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side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enum(string)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left, right, all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 또는 미등록 값은 거절한다(REQ-ECL-005).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OEM-IF-004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action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enum(string)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lock, unlock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 또는 미등록 값은 거절한다(REQ-ECL-005).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OEM-IF-004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source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enum(string)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physical_button, avn, voice, mobile_app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 또는 미등록 값은 거절한다(REQ-ECL-005).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OEM-IF-004</w:t>
            </w:r>
          </w:p>
        </w:tc>
      </w:tr>
      <w:tr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ignition_on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boolean</w:t>
            </w:r>
          </w:p>
        </w:tc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-</w:t>
            </w:r>
          </w:p>
        </w:tc>
        <w:tc>
          <w:tcPr>
            <w:tcW w:type="dxa" w:w="17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TRUE, FALSE</w:t>
            </w:r>
          </w:p>
        </w:tc>
        <w:tc>
          <w:tcPr>
            <w:tcW w:type="dxa" w:w="28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 오류 시 INVALID로 판정한다.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확인 필요: INVALID 판정 이후의 동작 세부 규칙은 OEM-SR-003 범위이며 Phase 1에서 정의하지 않는다.</w:t>
            </w:r>
          </w:p>
        </w:tc>
        <w:tc>
          <w:tcPr>
            <w:tcW w:type="dxa" w:w="1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OEM-IF-009 (ignition_on만; sensor_fault는 Phase 1 제외)</w:t>
            </w:r>
          </w:p>
        </w:tc>
      </w:tr>
    </w:tbl>
    <w:p>
      <w:pPr>
        <w:pStyle w:val="Heading1"/>
      </w:pPr>
      <w:r>
        <w:t>6. 외부 인터페이스 요구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아래 표는 Phase 1 범위에서 사용하는 외부 인터페이스 계약이다. 데이터/단위/오류처리 열은 OEM-SWR-001 §6 외부 인터페이스 계약 표를 그대로 인용했으며, 'Phase 1 적용범위' 열에 이번 단계의 적용/제외를 명시한다.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0"/>
        <w:gridCol w:w="1000"/>
        <w:gridCol w:w="1900"/>
        <w:gridCol w:w="1600"/>
        <w:gridCol w:w="2400"/>
        <w:gridCol w:w="1550"/>
      </w:tblGrid>
      <w:tr>
        <w:trPr>
          <w:tblHeader/>
        </w:trPr>
        <w:tc>
          <w:tcPr>
            <w:tcW w:type="dxa" w:w="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인터페이스 ID</w:t>
            </w:r>
          </w:p>
        </w:tc>
        <w:tc>
          <w:tcPr>
            <w:tcW w:type="dxa" w:w="10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방향</w:t>
            </w:r>
          </w:p>
        </w:tc>
        <w:tc>
          <w:tcPr>
            <w:tcW w:type="dxa" w:w="19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주요 데이터</w:t>
            </w:r>
          </w:p>
        </w:tc>
        <w:tc>
          <w:tcPr>
            <w:tcW w:type="dxa" w:w="16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단위/범위</w:t>
            </w:r>
          </w:p>
        </w:tc>
        <w:tc>
          <w:tcPr>
            <w:tcW w:type="dxa" w:w="24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오류 처리</w:t>
            </w:r>
          </w:p>
        </w:tc>
        <w:tc>
          <w:tcPr>
            <w:tcW w:type="dxa" w:w="15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Phase 1 적용범위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OEM-IF-001</w:t>
            </w:r>
          </w:p>
        </w:tc>
        <w:tc>
          <w:tcPr>
            <w:tcW w:type="dxa" w:w="10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Vehicle→SW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vehicle_speed_kph, gear, source_timestamp_s</w:t>
            </w:r>
          </w:p>
        </w:tc>
        <w:tc>
          <w:tcPr>
            <w:tcW w:type="dxa" w:w="1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km/h 0.0~300.0; P/N/D/R; s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형식, 범위 오류 시 INVALID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REQ-ECL-002의 입력으로 전체 적용(원문 그대로)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OEM-IF-004</w:t>
            </w:r>
          </w:p>
        </w:tc>
        <w:tc>
          <w:tcPr>
            <w:tcW w:type="dxa" w:w="10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Driver→SW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side, action, source</w:t>
            </w:r>
          </w:p>
        </w:tc>
        <w:tc>
          <w:tcPr>
            <w:tcW w:type="dxa" w:w="1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left/right/all; lock/unlock; physical_button/avn/voice/mobile_app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형식, 미등록 enum 거절; 요청 시각은 VehicleSnapshot.timestamp_s 사용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REQ-ECL-001, REQ-ECL-005의 입력으로 전체 적용(원문 그대로)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OEM-IF-005</w:t>
            </w:r>
          </w:p>
        </w:tc>
        <w:tc>
          <w:tcPr>
            <w:tcW w:type="dxa" w:w="10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SW→Actuator model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lock_left, lock_right</w:t>
            </w:r>
          </w:p>
        </w:tc>
        <w:tc>
          <w:tcPr>
            <w:tcW w:type="dxa" w:w="1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LOCK/RELEASE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 논리 출력까지만 검증; 적용 feedback은 범위 밖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REQ-ECL-001/002/003의 출력으로 전체 적용(원문 그대로)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OEM-IF-006</w:t>
            </w:r>
          </w:p>
        </w:tc>
        <w:tc>
          <w:tcPr>
            <w:tcW w:type="dxa" w:w="10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SW→Display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state, input_validity (Phase 1 제공)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priority_reason, reason_code (Phase 1 미제공)</w:t>
            </w:r>
          </w:p>
        </w:tc>
        <w:tc>
          <w:tcPr>
            <w:tcW w:type="dxa" w:w="1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enumeration/string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priority_reason의 reason_code 매핑은 후속 단계 구현. 직렬화 실패는 HTTP 500(원문 그대로 적용). 정상 직렬화는 HTTP 200.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REQ-ECL-004 — state, input_validity 필드만 부분 구현</w:t>
            </w:r>
          </w:p>
        </w:tc>
      </w:tr>
      <w:tr>
        <w:tc>
          <w:tcPr>
            <w:tcW w:type="dxa" w:w="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OEM-IF-009</w:t>
            </w:r>
          </w:p>
        </w:tc>
        <w:tc>
          <w:tcPr>
            <w:tcW w:type="dxa" w:w="10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Vehicle→SW</w:t>
            </w:r>
          </w:p>
        </w:tc>
        <w:tc>
          <w:tcPr>
            <w:tcW w:type="dxa" w:w="19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ignition_on (Phase 1 적용)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sensor_fault (Phase 1 제외)</w:t>
            </w:r>
          </w:p>
        </w:tc>
        <w:tc>
          <w:tcPr>
            <w:tcW w:type="dxa" w:w="16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boolean</w:t>
            </w:r>
          </w:p>
        </w:tc>
        <w:tc>
          <w:tcPr>
            <w:tcW w:type="dxa" w:w="24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누락, 형식 오류 INVALID</w:t>
            </w:r>
          </w:p>
        </w:tc>
        <w:tc>
          <w:tcPr>
            <w:tcW w:type="dxa" w:w="15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REQ-ECL-003의 입력으로 ignition_on 필드만 적용</w:t>
            </w:r>
          </w:p>
        </w:tc>
      </w:tr>
    </w:tbl>
    <w:p>
      <w:pPr>
        <w:pStyle w:val="Heading1"/>
      </w:pPr>
      <w:r>
        <w:t>7. 비기능 및 환경 제약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Phase 1 범위(OEM-FR-001/002/007, OEM-FR-004 기본 골격)에서 신규로 식별된 독립적인 비기능 요구사항은 없다. OEM 원문의 비기능 요구사항인 OEM-NFR-001(결정론적 재생)과 OEM-NFR-002(이력 보존)는 이번 Phase 범위에서 명시적으로 제외되었다(§1.3). 실행 불가능하거나 근거 없는 비기능 요구사항을 임의로 만들어 넣지 않는다.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OEM-IF-006의 오류 계약(직렬화 실패 시 HTTP 500 반환, 성공 시 HTTP 200)은 신뢰성(ISO 25010) 관점의 인터페이스 오류 처리 계약이지만, REQ-ECL-004 기능 요구사항의 수용기준(§4.1)에 이미 포함했으므로 별도의 비기능 요구사항으로 중복 생성하지 않는다.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환경 제약: 실행 환경은 Python 3.14(PC/SIL, 프로젝트 결정 — §8-a 참조)이며, Web 표시/조작은 OEM-IF-006 HTTP 인터페이스를 통해 시뮬레이터로 검증한다. HIL·실차 환경은 이 저장소의 공통 경계에 따라 제외한다(CLAUDE.md '교육용 자료 안내').</w:t>
      </w:r>
    </w:p>
    <w:p>
      <w:pPr>
        <w:pStyle w:val="Heading1"/>
      </w:pPr>
      <w:r>
        <w:t>8. 분석 결과와 가정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(a) Python 버전 편차: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OEM-SWR-001 §3(제품 경계)은 실행 환경으로 'Python 3.12 PC/SIL'을 지정한다. 이 프로젝트는 CLAUDE.md '소프트웨어 개발 정보'에 따라 Python 3.14로 개발한다. 3.12를 최소 지원 버전(baseline)으로 해석하고, 3.14가 이를 상위 호환으로 충족하는 것으로 간주한다(가정). 확인 필요: OEM-A가 실제로 상한 버전 제약이나 3.14 비호환 API 사용 금지를 요구하는지는 OEM 원문에 명시되어 있지 않다.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(b) 대한민국 법규 후보 미확정: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OEM-SWR-001 §7은 자동차관리법·자동차규칙 별표 14/14의2 등 법규 후보를 제시하지만, 대상 차종/GVW/문 형식/트림이 OEM-A에 의해 확정되기 전까지 적용성이 미확정 상태이다. 본 Phase 1(및 이 프로젝트 전체)의 요구사항에는 반영하지 않는다. 확인 필요: OEM-A 인증 담당의 차종/GVW/문형식/트림 확정 결과와 적용 별표 승인 입력(OEM-SWR-001 §7 '후속 확인' 표).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(c) OEM-FR-004 / OEM-IF-006 부분 구현: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본 Phase 1은 OEM-FR-004와 OEM-IF-006을 기본 골격(state, input_validity)만 구현한다. priority_reason과 reason_code 필드, 그리고 이에 의존하는 OEM-FR-007의 'ignition_off 이유코드 제공' 수용기준 부분은 이번 단계의 구현·검증 대상에서 제외하고 후속 단계에서 REQ-ECL-004를 확장하여 완성한다(§4.1 REQ-ECL-003/004 비고 참조).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(d) Phase 1 범위 제외 항목(후속 별도 에이전트 실행 대상):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OEM-SR-001~OEM-SR-004(ASIL B — 충돌 우선 해제, 접근위험 억제, 입력 유효성/freshness/DEGRADED 처리, sensor_fault 유지), OEM-FR-003(접근위험 override), OEM-FR-005(화재/과온/성인탑승 강제해제), OEM-FR-006(ISOFIX 강제잠금), OEM-NFR-001(결정론), OEM-NFR-002(이력보존), OEM-IF-002/003/007/008, OEM-IF-009의 sensor_fault. 이 항목들은 본 문서에 요구사항으로 반영하지 않았다.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(e) freshness 판정 의존성: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source_timestamp_s(OEM-IF-001)의 freshness 판정 로직(OEM-SR-003)이 Phase 1 범위 밖이므로, REQ-ECL-002는 이미 유효한 최신 vehicle_speed_kph 값이 주어졌다고 가정하고 자동 잠금 임계값 판단만 다룬다.</w:t>
      </w:r>
    </w:p>
    <w:p>
      <w:pPr>
        <w:pStyle w:val="Heading1"/>
      </w:pPr>
      <w:r>
        <w:t>9. 하향 할당 및 검증 계획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설계 할당은 SWE.2 아키텍처 설계 단계에서 확정되므로 본 문서 작성 시점에는 모두 '미정'으로 표기한다. 검증 수준은 OEM-SWR-001 §5 '검증 수준' 열의 원문 표기를 인용한다.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2500"/>
        <w:gridCol w:w="1700"/>
        <w:gridCol w:w="2200"/>
        <w:gridCol w:w="1850"/>
      </w:tblGrid>
      <w:tr>
        <w:trPr>
          <w:tblHeader/>
        </w:trPr>
        <w:tc>
          <w:tcPr>
            <w:tcW w:type="dxa" w:w="11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REQ ID</w:t>
            </w:r>
          </w:p>
        </w:tc>
        <w:tc>
          <w:tcPr>
            <w:tcW w:type="dxa" w:w="25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설계 할당 대상(예정)</w:t>
            </w:r>
          </w:p>
        </w:tc>
        <w:tc>
          <w:tcPr>
            <w:tcW w:type="dxa" w:w="17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검증 수준(OEM 원문)</w:t>
            </w:r>
          </w:p>
        </w:tc>
        <w:tc>
          <w:tcPr>
            <w:tcW w:type="dxa" w:w="220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검증 방법</w:t>
            </w:r>
          </w:p>
        </w:tc>
        <w:tc>
          <w:tcPr>
            <w:tcW w:type="dxa" w:w="1850"/>
            <w:shd w:fill="D9EAF7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000000"/>
                <w:sz w:val="19"/>
              </w:rPr>
              <w:t xml:space="preserve">계획된 증거</w:t>
            </w:r>
          </w:p>
        </w:tc>
      </w:tr>
      <w:tr>
        <w:tc>
          <w:tcPr>
            <w:tcW w:type="dxa" w:w="11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REQ-ECL-001</w:t>
            </w:r>
          </w:p>
        </w:tc>
        <w:tc>
          <w:tcPr>
            <w:tcW w:type="dxa" w:w="2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 — SWE.2 아키텍처 설계 단계(architecture-designer 에이전트)에서 컴포넌트/인터페이스에 할당 예정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PC/SIL/Web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요구 기반 시험 — SWE.6(sw-system-tester 에이전트)에서 테스트 케이스 작성 예정</w:t>
            </w:r>
          </w:p>
        </w:tc>
        <w:tc>
          <w:tcPr>
            <w:tcW w:type="dxa" w:w="18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ENG-SWE6-*(SW 시스템/검증 테스트 케이스 및 결과, 예정), ENG-TRC-001 갱신</w:t>
            </w:r>
          </w:p>
        </w:tc>
      </w:tr>
      <w:tr>
        <w:tc>
          <w:tcPr>
            <w:tcW w:type="dxa" w:w="11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REQ-ECL-002</w:t>
            </w:r>
          </w:p>
        </w:tc>
        <w:tc>
          <w:tcPr>
            <w:tcW w:type="dxa" w:w="2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 — SWE.2 아키텍처 설계 단계(architecture-designer 에이전트)에서 컴포넌트/인터페이스에 할당 예정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요구 기반 시험 — SWE.6(sw-system-tester 에이전트)에서 테스트 케이스 작성 예정</w:t>
            </w:r>
          </w:p>
        </w:tc>
        <w:tc>
          <w:tcPr>
            <w:tcW w:type="dxa" w:w="18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ENG-SWE6-*(SW 시스템/검증 테스트 케이스 및 결과, 예정), ENG-TRC-001 갱신</w:t>
            </w:r>
          </w:p>
        </w:tc>
      </w:tr>
      <w:tr>
        <w:tc>
          <w:tcPr>
            <w:tcW w:type="dxa" w:w="11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REQ-ECL-003</w:t>
            </w:r>
          </w:p>
        </w:tc>
        <w:tc>
          <w:tcPr>
            <w:tcW w:type="dxa" w:w="2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 — SWE.2 아키텍처 설계 단계(architecture-designer 에이전트)에서 컴포넌트/인터페이스에 할당 예정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PC/SIL/Web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요구 기반 시험 — SWE.6(sw-system-tester 에이전트)에서 테스트 케이스 작성 예정</w:t>
            </w:r>
          </w:p>
        </w:tc>
        <w:tc>
          <w:tcPr>
            <w:tcW w:type="dxa" w:w="18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ENG-SWE6-*(SW 시스템/검증 테스트 케이스 및 결과, 예정), ENG-TRC-001 갱신</w:t>
            </w:r>
          </w:p>
        </w:tc>
      </w:tr>
      <w:tr>
        <w:tc>
          <w:tcPr>
            <w:tcW w:type="dxa" w:w="11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REQ-ECL-004</w:t>
            </w:r>
          </w:p>
        </w:tc>
        <w:tc>
          <w:tcPr>
            <w:tcW w:type="dxa" w:w="2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 — SWE.2 아키텍처 설계 단계(architecture-designer 에이전트)에서 컴포넌트/인터페이스에 할당 예정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통합 및 Web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(부분 구현 범위에 한정)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요구 기반 시험 — SWE.6(sw-system-tester 에이전트)에서 테스트 케이스 작성 예정</w:t>
            </w:r>
          </w:p>
        </w:tc>
        <w:tc>
          <w:tcPr>
            <w:tcW w:type="dxa" w:w="18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ENG-SWE6-*(SW 시스템/검증 테스트 케이스 및 결과, 예정), ENG-TRC-001 갱신</w:t>
            </w:r>
          </w:p>
        </w:tc>
      </w:tr>
      <w:tr>
        <w:tc>
          <w:tcPr>
            <w:tcW w:type="dxa" w:w="11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REQ-ECL-005</w:t>
            </w:r>
          </w:p>
        </w:tc>
        <w:tc>
          <w:tcPr>
            <w:tcW w:type="dxa" w:w="25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미정 — SWE.2 아키텍처 설계 단계(architecture-designer 에이전트)에서 컴포넌트/인터페이스에 할당 예정</w:t>
            </w:r>
          </w:p>
        </w:tc>
        <w:tc>
          <w:tcPr>
            <w:tcW w:type="dxa" w:w="17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PC/SIL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(OEM 원문에 명시 없음 — OEM-IF-004 오류처리에서 도출)</w:t>
            </w:r>
          </w:p>
        </w:tc>
        <w:tc>
          <w:tcPr>
            <w:tcW w:type="dxa" w:w="220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요구 기반 시험 — SWE.6(sw-system-tester 에이전트)에서 테스트 케이스 작성 예정</w:t>
            </w:r>
          </w:p>
        </w:tc>
        <w:tc>
          <w:tcPr>
            <w:tcW w:type="dxa" w:w="1850"/>
            <w:vAlign w:val="center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000000"/>
                <w:sz w:val="19"/>
              </w:rPr>
              <w:t xml:space="preserve">ENG-SWE6-*(SW 시스템/검증 테스트 케이스 및 결과, 예정), ENG-TRC-001 갱신</w:t>
            </w:r>
          </w:p>
        </w:tc>
      </w:tr>
    </w:tbl>
    <w:p>
      <w:pPr>
        <w:pStyle w:val="Heading1"/>
      </w:pPr>
      <w:r>
        <w:t>10. 범위 밖 주장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문서와 이 프로젝트(VJ-ECL-2026)의 산출물/증거는 PC/SIL 및 Web 시뮬레이터 범위로 제한된다. 이 문서만으로는 다음을 주장할 수 없다.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HIL(Hardware-in-the-Loop) 시험 결과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실차 시험 결과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시스템 수준(SYS) 시험 또는 SYS.5 시스템 시험 결과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공식 Automotive SPICE 능력수준(CL) 심사 결과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ISO 26262 준수 또는 인증, ASIL B(또는 임의 ASIL) 달성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OEM-A의 실제 승인/수락(§문서통제의 '실제 상태'는 모두 미서명·미실시임)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문서에 참고로 인용된 2026 Grandeur GN7 전자식 차일드락, Tesla Model Y 어린이 보호 잠금 등의 사례는 OEM-SWR-001 §2/§4/§10에 명시된 대로 공개 사용자 매뉴얼의 관찰 내용이며, 실제 제작사(현대자동차, Tesla 등)의 내부 SW 요구사항·사양·타이밍을 나타내지 않는다.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산출물은 SW 품질교육 목적의 가상 프로젝트(VJ-ECL-2026) 산출물이며, `WP_Templates/Engineering/README.md`와 `WP_Templates/PRC-TPL-001_표준 산출물 양식 등록부.xlsx`에 명시된 교육용 경계를 따른다(CLAUDE.md '교육용 자료 안내').</w:t>
      </w:r>
    </w:p>
    <w:p>
      <w:pPr>
        <w:pStyle w:val="Heading1"/>
      </w:pPr>
      <w:r>
        <w:t>11. 추적성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모든 REQ-ECL-ID는 출처 OEM-FR-ID와 함께 `ENG-TRC-001_양방향 요구사항 추적 매트릭스`(Upper Req=OEM-FR-ID, SW Req=REQ-ECL-ID)에 10행부터 등록한다. Architecture/Detailed Design/Code/SWE.4/SWE.5/SWE.6/Coverage 열은 해당 산출물이 만들어지는 시점(아키텍처 설계, 상세설계, 구현, 통합시험, 검증)에 후속 단계에서 갱신한다.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본 Phase 1에서는 REQ-ECL-001~005의 Upper Req/SW Req 열만 채웠다. 대응 관계는 다음과 같다: REQ-ECL-001↔OEM-FR-001, REQ-ECL-002↔OEM-FR-002, REQ-ECL-003↔OEM-FR-007, REQ-ECL-004↔OEM-FR-004(부분), REQ-ECL-005↔OEM-FR-001(OEM-IF-004 오류처리 파생).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`ENG-SWE1-002_Use Case 명세서`의 각 Use Case(UC-ECL-001~003)는 §3 Use Case 목록에서 관련 REQ-ECL-ID를 명시해 본 문서와 상호 참조한다.</w:t>
      </w:r>
    </w:p>
    <w:p>
      <w:pPr>
        <w:pStyle w:val="Heading1"/>
      </w:pPr>
      <w:r>
        <w:t>12. 참고자료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OEM-SWR-001_OEM SW 요구사항 사양서, Rev 1.0, BL-OEM-1.0 (OEM-A 공급자 입력, `OEM_Sample/OEM-SWR-001_OEM SW 요구사항 사양서.docx`) — 본 문서 §4~§6의 1차 근거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CLAUDE.md (이 저장소의 프로젝트 개발/요구사항 작성 정책)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`requirements-analysis` 스킬 (`.claude/skills/requirements-analysis/SKILL.md`) — 템플릿 구조, EARS 구문, ISO 25010 분류, 추적성 규칙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`WP_Templates/Engineering/SoftwareRequirementsAnalysis/TPL-SWE1-001`, `TPL-SWE1-002`, `TPL-SWE1-003`, `WP_Templates/Engineering/Traceability/TPL-TRC-001` (산출물 템플릿)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ISO 26262-6:2018 — OEM-SWR-001이 인용하는 범위 내에서만 참고(§1.3 참조, 전체 준수 주장 금지)</w:t>
      </w:r>
    </w:p>
    <w:p>
      <w:r>
        <w:rPr>
          <w:rFonts w:ascii="맑은 고딕" w:hAnsi="맑은 고딕" w:eastAsia="맑은 고딕"/>
          <w:b w:val="0"/>
          <w:i w:val="0"/>
          <w:color w:val="000000"/>
          <w:sz w:val="20"/>
        </w:rPr>
        <w:t xml:space="preserve">- Automotive SPICE 4.1 PAM — SWE.1 프로세스 참조</w:t>
      </w:r>
    </w:p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 w:eastAsia="맑은 고딕"/>
        <w:b w:val="0"/>
        <w:i w:val="0"/>
        <w:color w:val="666666"/>
        <w:sz w:val="16"/>
      </w:rPr>
      <w:t>교육용 샘플 | © 2026 Synetics | 과정 밖 이용은 사전 서면 승인 필요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맑은 고딕" w:hAnsi="맑은 고딕" w:eastAsia="맑은 고딕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 w:before="0"/>
      <w:contextualSpacing/>
    </w:pPr>
    <w:rPr>
      <w:rFonts w:asciiTheme="majorHAnsi" w:eastAsiaTheme="majorEastAsia" w:hAnsiTheme="majorHAnsi" w:cstheme="majorBidi" w:ascii="맑은 고딕" w:hAnsi="맑은 고딕" w:eastAsia="맑은 고딕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pyright">
    <vt:lpwstr>본 자료는 SW 품질교육을 위한 교육용 샘플이며, 저작권은 Synetics에 있습니다. 교육 과정 안에서 열람, 복제 및 실습 사용을 허용합니다. 과정 밖 배포, 공개 또는 상업적 이용은 Synetics의 사전 서면 승인을 받아야 합니다. © 2026 Synetics. All rights reserved.</vt:lpwstr>
  </property>
</Properties>
</file>