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288"/>
        <w:jc w:val="center"/>
      </w:pPr>
      <w:r>
        <w:rPr>
          <w:rFonts w:ascii="Times New Roman" w:cs="Times New Roman" w:eastAsia="Times New Roman" w:hAnsi="Times New Roman"/>
          <w:b/>
          <w:bCs/>
          <w:color w:val="1a3a9c"/>
          <w:sz w:val="34"/>
          <w:szCs w:val="34"/>
        </w:rPr>
        <w:t xml:space="preserve">SimEPR: An Open-Source Python Application for General</w:t>
      </w:r>
    </w:p>
    <w:p>
      <w:pPr>
        <w:spacing w:after="11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a9c"/>
          <w:sz w:val="34"/>
          <w:szCs w:val="34"/>
        </w:rPr>
        <w:t xml:space="preserve">Continuous-Wave EPR Simulation — Isotropic and Anisotropic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a9c"/>
          <w:sz w:val="34"/>
          <w:szCs w:val="34"/>
        </w:rPr>
        <w:t xml:space="preserve">Spin Systems, Mixture Fitting, and Publication-Ready Analysis</w:t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color w:val="2c3e50"/>
          <w:sz w:val="26"/>
          <w:szCs w:val="26"/>
        </w:rPr>
        <w:t xml:space="preserve">Md Sakib Hasan Khan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22"/>
          <w:szCs w:val="22"/>
        </w:rPr>
        <w:t xml:space="preserve">The Australian National University, Canberra, ACT 2601, Australia</w:t>
      </w:r>
    </w:p>
    <w:p>
      <w:pPr>
        <w:spacing w:after="50"/>
        <w:jc w:val="center"/>
      </w:pPr>
      <w:hyperlink w:history="1" r:id="rId0ws7h2_gtkqspvhiem6r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u7929894@anu.edu.au</w:t>
        </w:r>
      </w:hyperlink>
    </w:p>
    <w:p>
      <w:pPr>
        <w:spacing w:after="280" w:before="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2c3e50"/>
          <w:sz w:val="20"/>
          <w:szCs w:val="20"/>
        </w:rPr>
        <w:t xml:space="preserve">Web Application (public): </w:t>
      </w:r>
      <w:hyperlink w:history="1" r:id="rIdohkfyroz5al68qfc917s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https://simepr.streamlit.app</w:t>
        </w:r>
      </w:hyperlink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2c3e50"/>
          <w:sz w:val="20"/>
          <w:szCs w:val="20"/>
        </w:rPr>
        <w:t xml:space="preserve">Source Code (by request): </w:t>
      </w:r>
      <w:hyperlink w:history="1" r:id="rId34ji2nmf-6ww2eqzppzb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https://github.com/qleapai/SimEPR</w:t>
        </w:r>
      </w:hyperlink>
    </w:p>
    <w:p>
      <w:pPr>
        <w:spacing w:after="320" w:before="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a3a9c" w:sz="12"/>
        </w:pBdr>
        <w:spacing w:after="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3a9c"/>
          <w:sz w:val="24"/>
          <w:szCs w:val="24"/>
        </w:rPr>
        <w:t xml:space="preserve">Abstract</w:t>
      </w:r>
    </w:p>
    <w:p>
      <w:pPr>
        <w:shd w:fill="F0F4F8" w:val="clear"/>
        <w:spacing w:after="150" w:line="276" w:lineRule="auto"/>
        <w:ind w:left="360" w:right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We present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SimEPR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a free, open-source application for the simulation, multi-component fitting, and publication-ready analysis of continuous-wave (cw) electron paramagnetic resonance (EPR) spectra across a broad range of chemistries. SimEPR couples two engines behind a single graphical interface: a fast analytical engine for isotropic, fast-tumbling radicals, and a general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spin-Hamiltonian diagonalisation engine with powder orientation averaging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for anisotropic and high-spin systems. The general engine treats anisotropic g- and hyperfine-A-tensors, electron spin S &gt; 1/2, and zero-field splitting (D, E), and is multifrequency-aware (X-, Q-, W-band). Resonance fields are obtained by diagonalising the field-dependent Hamiltonian at each orientation and locating microwave-allowed transitions, weighted by orientation-dependent transition probabilities. Multi-component mixtures are fitted by bounded Levenberg–Marquardt least squares with goodness-of-fit assessed via R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²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normalised RMSE, AIC, and BIC. The engine is validated against analytical limits (isotropic resonance fields, axial and rhombic g-tensors, hyperfine multiplets, and zero-field-split high-spin patterns) and reproduces textbook powder patterns for rigid-limit nitroxides, axial Cu(II), vanadyl VO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²⁺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and S = 1 triplets. SimEPR is publicly usable at </w:t>
      </w:r>
      <w:hyperlink w:history="1" r:id="rIdr8nhxiyo8iojanjsbb3-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https://simepr.streamlit.app</w:t>
        </w:r>
      </w:hyperlink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; source code is available on request at </w:t>
      </w:r>
      <w:hyperlink w:history="1" r:id="rId1t7ap3xapmwdd9-zea-z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https://github.com/qleapai/SimEPR</w:t>
        </w:r>
      </w:hyperlink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2c3e50"/>
          <w:sz w:val="22"/>
          <w:szCs w:val="22"/>
        </w:rPr>
        <w:t xml:space="preserve">EPR spectroscopy, ESR, spin Hamiltonian, powder averaging, g-tensor, hyperfine, zero-field splitting, high-spin, multifrequency, open-source software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1. Introduction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Electron paramagnetic resonance (EPR) spectroscopy is a direct, element-specific probe of paramagnetic species — organic radicals, transition-metal ions, high-spin centres, triplet states, and point defects. Quantitative interpretation requires simulating the resonance lineshape from a spin Hamiltonian and fitting it to the experimental spectrum to extract the g-tensor, hyperfine couplings, zero-field splitting, and relative concentrations of coexisting species.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Several mature EPR simulation environments already exist.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EasySpin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provides comprehensive MATLAB-based simulation and fitting for many cw and pulsed EPR scenarios, including tensor-resolved spin Hamiltonians and powder averaging [10]. XSophe–Sophe–XeprView and vendor tools also support established simulation workflows [11]. These packages are appropriate for anisotropic spectra, powder patterns, high-spin systems, zero-field splitting, exchange interactions, multifrequency analysis, and advanced pulse experiments. They are, however, typically tied to a MATLAB licence or proprietary software and require scripting expertise, which limits accessibility for many experimentalists and students.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SimEPR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is designed to make rigorous cw-EPR simulation and fitting freely and immediately accessible through a browser, while remaining scientifically faithful to the underlying spin physics. It implements the general electron–nuclear spin Hamiltonian with anisotropic g and A tensors, arbitrary electron spin, and zero-field splitting, solved by matrix diagonalisation and powder averaging, and exposes the full workflow — import, preprocessing, model building, fitting, model comparison, and publication-ready export — through a graphical interface requiring no installation or coding. SimEPR is intended to complement, not replace, established packages: EasySpin and related tools remain the reference for pulsed EPR, orientation-selective and multifrequency global fitting, and the most demanding anisotropic analyses.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2. Theory: The General Spin Hamiltonian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SimEPR builds the spin Hamiltonian in frequency units (MHz) in the coupled product basis of one electron spin S and an arbitrary set of nuclei {I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}: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H/h = (μ_B/h) B · g · S  +  Σ_k S · A_k · I_k  +  S · D · S      (Eq. 1)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three terms are the electron Zeeman interaction, the hyperfine couplings, and the zero-field splitting (ZFS). Here μ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/h = 13996.2418 MHz T⁻¹,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is the static field vector,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are the g- and hyperfine tensors specified by their principal values, and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is the ZFS tensor.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2.1 Electron Zeeman Interaction (anisotropic g-tensor)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For a field of magnitude B along the unit direction (l, m, n) in the g principal-axis frame, the Zeeman term is: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H_Z/h = (μ_B/h) B ( l g_x S_x + m g_y S_y + n g_z S_z )      (Eq. 2)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isotropic limit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=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=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= g recovers the familiar resonance field 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= hν / (g μ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). Axial (g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∥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≠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⊥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and rhombic (g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≠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≠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tensors generate the characteristic powder lineshapes of frozen solutions and solids.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2.2 Hyperfine Interaction (anisotropic A-tensor)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Each nucleus contributes S · 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· I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. SimEPR accepts isotropic 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iso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or full principal values (A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), with an optional set of Euler angles rotating the A frame relative to the g frame for non-collinear systems. Hyperfine couplings entered in field units (mT) are converted to frequency units via A[MHz] = (μ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/h) g A[mT].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2.3 Zero-Field Splitting (high-spin systems)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For S &gt; 1/2 the ZFS term lifts the degeneracy of the m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manifold even at zero field: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H_ZFS/h = D ( S_z² − S(S+1)/3 )  +  E ( S_x² − S_y² )      (Eq. 3)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D and E (MHz) are the axial and rhombic ZFS parameters (|E/D| ≤ 1/3). This term governs the spectra of triplet states (S = 1), and high-spin transition-metal ions such as Mn(II), Fe(III), and Cr(III).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2.4 Resonance Fields by Diagonalisation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At each orientation the field-dependent Hamiltonian H(B) = H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+ B·H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is diagonalised on a coarse field grid. A transition between eigenstates i &lt; j is microwave-allowed where the eigenvalue gap matches the quantum hν: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E_j(B_res) − E_i(B_res) = h ν      (Eq. 4)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Each sign change of [E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− E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− hν] brackets a resonance field, refined to sub-µT precision by vectorised bisection. The transition probability is evaluated from the eigenvectors and the microwave magnetic field perpendicular to 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I_ij ∝ |⟨i| g·S_⊥1 |j⟩|² + |⟨i| g·S_⊥2 |j⟩|²      (Eq. 5)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where ⊥1, ⊥2 span the plane perpendicular to 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giving the powder-averaged microwave response.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2.5 Powder Averaging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Orientations are sampled on a near-uniform Fibonacci (golden-angle) spherical grid over a hemisphere; equal-area sampling makes the orientation weights uniform, absorbing the sin θ factor of the spherical integral. EPR spectra are centrosymmetric in field direction, so a hemisphere suffices. Resonance sticks (B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res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, I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ij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from all orientations are deposited on the field axis and convolved with a pseudo-Voigt broadening kernel; the absorption envelope is differentiated to give the first-derivative cw spectrum: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S(B) = Σ_orient Σ_ij  w_orient I_ij  L(B − B_res; ΔB_pp, η)   →   dS/dB      (Eq. 6)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2.6 Lineshape and Multifrequency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broadening is pseudo-Voigt, S = η·Lorentzian + (1−η)·Gaussian, with η ∈ [0,1]. Because the engine diagonalises the field-dependent Hamiltonian explicitly, anisotropic patterns scale correctly with the microwave frequency, enabling X-band (≈9.5 GHz), Q-band (≈34 GHz), and W-band (≈94 GHz) multifrequency simulation (Figure 7).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2.7 Multi-Component Mixtures and Fitting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total spectrum is the weighted sum of component spectra plus a polynomial baseline. SimEPR minimises the residual sum of squares by bounded Levenberg–Marquardt least squares (scipy.optimize.least_squares) [8], with physical bounds on all parameters. Fit quality is reported through four metrics:</w:t>
      </w:r>
    </w:p>
    <w:p>
      <w:pPr>
        <w:shd w:fill="F0F4F8" w:val="clear"/>
        <w:spacing w:after="110" w:before="11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R² = 1 − RSS/TSS ;  NRMSE = RMSE / (max−min) ;  AIC = N ln(RSS/N)+2k ;  BIC = N ln(RSS/N)+k ln N   (Eq. 7)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Anisotropic components are simulated on a reduced orientation grid during the iterative fit and a full grid for the final evaluation, balancing speed and accuracy. Model selection follows the Kass–Raftery ΔBIC scale [9].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3. Implementation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SimEPR is written in Python 3.11 (NumPy, SciPy, pandas) with a Streamlit graphical interface and Plotly/Matplotlib visualisation. The spin-Hamiltonian engine builds spin operators for arbitrary S and I by the ladder-operator construction and embeds them in the product space by Kronecker products. Constant operators are cached once per simulation and reused across all orientations; the coarse-grid diagonalisation and bisection refinement are vectorised with batched eigensolvers (numpy.linalg.eigvalsh / eigh). A typical anisotropic powder simulation (1000–2000 orientations) completes in 1–5 s, suitable for interactive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 radicals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Analytical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Fast first-derivative pseudo-Voigt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 g (axial/rhombic)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Diagonalisation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Powder pattern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 hyperfine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Diagonalisation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Collinear or Euler-rotated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High spin S &gt; 1/2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Diagonalisation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Full m_S manifold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Zero-field splitting D, 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Diagonalisation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Triplets, Mn(II), Fe(III), Cr(III)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Multifrequency X/Q/W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Diagonalisation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Field-swept resonances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Multi-component mixtures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Weighted superposition + fit</w:t>
            </w:r>
          </w:p>
        </w:tc>
      </w:tr>
    </w:tbl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Table 1. SimEPR simulation capabilities and the engine used for each.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4. Validation and Representative Spectra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4.1 Isotropic Benchmarks</w:t>
      </w:r>
    </w:p>
    <w:p>
      <w:pPr>
        <w:spacing w:after="30" w:before="150"/>
        <w:jc w:val="center"/>
      </w:pPr>
      <w:r>
        <w:drawing>
          <wp:inline distT="0" distB="0" distL="0" distR="0">
            <wp:extent cx="13201650" cy="10687050"/>
            <wp:effectExtent t="0" r="0" b="0" l="0"/>
            <wp:docPr id="1" name="fig1_benchmarks.png" descr="fig1_benchmarks.png" title="fig1_benchma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1. Isotropic benchmark spectra: (A) organic radical singlet, (B) ¹⁴N nitroxide triplet, (C) Cu(II) quartet, (D) Mn(II) sextet. Grey: synthetic data with noise; colour: SimEPR simulation.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4.2 Multi-Component Mixture Fit</w:t>
      </w:r>
    </w:p>
    <w:p>
      <w:pPr>
        <w:spacing w:after="30" w:before="150"/>
        <w:jc w:val="center"/>
      </w:pPr>
      <w:r>
        <w:drawing>
          <wp:inline distT="0" distB="0" distL="0" distR="0">
            <wp:extent cx="13201650" cy="11315700"/>
            <wp:effectExtent t="0" r="0" b="0" l="0"/>
            <wp:docPr id="1" name="fig2_mixture_fit.png" descr="fig2_mixture_fit.png" title="fig2_mixture_f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0" cy="1131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2. Two-component fit (¹⁴N nitroxide 80% + organic radical 20%) with residual. R² &gt; 0.998.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4.3 Statistical Model Selection</w:t>
      </w:r>
    </w:p>
    <w:p>
      <w:pPr>
        <w:spacing w:after="30" w:before="150"/>
        <w:jc w:val="center"/>
      </w:pPr>
      <w:r>
        <w:drawing>
          <wp:inline distT="0" distB="0" distL="0" distR="0">
            <wp:extent cx="12258675" cy="7229475"/>
            <wp:effectExtent t="0" r="0" b="0" l="0"/>
            <wp:docPr id="1" name="fig3_bic.png" descr="fig3_bic.png" title="fig3_b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6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3. BIC-based model comparison; the correct two-component model is selected with ΔBIC = 147 against the single-component model.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4.4 Field-Axis Alignment</w:t>
      </w:r>
    </w:p>
    <w:p>
      <w:pPr>
        <w:spacing w:after="30" w:before="150"/>
        <w:jc w:val="center"/>
      </w:pPr>
      <w:r>
        <w:drawing>
          <wp:inline distT="0" distB="0" distL="0" distR="0">
            <wp:extent cx="13201650" cy="7162800"/>
            <wp:effectExtent t="0" r="0" b="0" l="0"/>
            <wp:docPr id="1" name="fig4_alignment.png" descr="fig4_alignment.png" title="fig4_align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4. Automated field-axis calibration alignment correcting a 0.80 mT offset by peak matching and cross-correlation.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4.5 Analysis Workflow</w:t>
      </w:r>
    </w:p>
    <w:p>
      <w:pPr>
        <w:spacing w:after="30" w:before="150"/>
        <w:jc w:val="center"/>
      </w:pPr>
      <w:r>
        <w:drawing>
          <wp:inline distT="0" distB="0" distL="0" distR="0">
            <wp:extent cx="13201650" cy="6410325"/>
            <wp:effectExtent t="0" r="0" b="0" l="0"/>
            <wp:docPr id="1" name="fig5_workflow.png" descr="fig5_workflow.png" title="fig5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5. SimEPR seven-step workflow from import to publication-ready export.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4.6 Anisotropic and High-Spin Powder Patterns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general engine reproduces textbook powder lineshapes (Figure 6). The rigid-limit nitroxide shows the rhombic g-region and the resolved parallel ¹⁴N (A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splitting; axial Cu(II) shows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∥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&gt; 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⊥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with parallel ⁶³Cu hyperfine; vanadyl VO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²⁺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shows the anisotropic ⁵¹V octet; and the S = 1 organic triplet shows the dipolar zero-field-split pattern.</w:t>
      </w:r>
    </w:p>
    <w:p>
      <w:pPr>
        <w:spacing w:after="30" w:before="150"/>
        <w:jc w:val="center"/>
      </w:pPr>
      <w:r>
        <w:drawing>
          <wp:inline distT="0" distB="0" distL="0" distR="0">
            <wp:extent cx="13201650" cy="9810750"/>
            <wp:effectExtent t="0" r="0" b="0" l="0"/>
            <wp:docPr id="1" name="fig6_anisotropic.png" descr="fig6_anisotropic.png" title="fig6_anisotrop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0" cy="98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6. Anisotropic and high-spin powder patterns from full spin-Hamiltonian diagonalisation (4000 orientations): (A) rigid-limit nitroxide, (B) axial Cu(II), (C) vanadyl VO²⁺, (D) S = 1 organic triplet with zero-field splitting.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2980b9"/>
          <w:sz w:val="24"/>
          <w:szCs w:val="24"/>
        </w:rPr>
        <w:t xml:space="preserve">4.7 Multifrequency EPR</w:t>
      </w:r>
    </w:p>
    <w:p>
      <w:pPr>
        <w:spacing w:after="30" w:before="150"/>
        <w:jc w:val="center"/>
      </w:pPr>
      <w:r>
        <w:drawing>
          <wp:inline distT="0" distB="0" distL="0" distR="0">
            <wp:extent cx="13582650" cy="5467350"/>
            <wp:effectExtent t="0" r="0" b="0" l="0"/>
            <wp:docPr id="1" name="fig7_multifreq.png" descr="fig7_multifreq.png" title="fig7_multifr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Figure 7. A rhombic-g radical (gₓ=2.002, g_y=2.006, g_z=2.023) simulated at X-, Q-, and W-band. g-anisotropy resolution increases with microwave frequency, as expected.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5. Quantitative Validation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engine reproduces analytical resonance fields exactly. For axial g = (2.00, 2.00, 2.30) at ν = 9.5 GHz, the canonical orientations give B(g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= 295.11 mT and B(g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⊥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= 339.38 mT, matching hν/(gμ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) to better than 0.01 mT (Table 2). A ¹⁴N triplet reproduces the 1.5 mT line spacing exactly, and an S = 1 triplet with D = 500 MHz produces the expected ±17.9 mT splitting about the centre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900"/>
        <w:gridCol w:w="1900"/>
        <w:gridCol w:w="18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Analytical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SimEPR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 g=2.00, single line (mT)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339.38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339.38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0.01 mT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Axial g_z=2.30 resonance (mT)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295.11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295.11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0.01 mT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Axial g_⊥=2.00 resonance (mT)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339.38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339.38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0.01 mT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¹⁴N triplet line spacing (mT)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1.500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0.001 mT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S=1 triplet ZFS splitting (±mT)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17.86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17.86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0.02 mT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Mixture fraction recovery (%)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80.0/20.0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79.9/20.1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&lt; 0.5 %</w:t>
            </w:r>
          </w:p>
        </w:tc>
      </w:tr>
    </w:tbl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Table 2. Quantitative validation against analytical limits and known synthetic mixtures.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6. Supported Chemistries and Component Library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SimEPR ships with a curated library spanning organic radicals, nitroxide spin labels, transition-metal ions, high-spin centres, triplets, and spin-trapping adducts, in both isotropic and tensor-resolved forms (Table 3). Users may also define fully custom components with arbitrary g-tensors, nuclei, spin, and zero-field splitting.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100"/>
        <w:gridCol w:w="1500"/>
        <w:gridCol w:w="4210"/>
      </w:tblGrid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Component 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Spin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Example systems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Organic radicals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C-centred, semiquinone, phenoxyl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Nitroxide / spin label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TEMPO, MTSL (solution and rigid limit)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Trityl / TAM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Narrow-line spin probes, oximetry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Cu(II)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Square-planar / tetragonal complexes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VO²⁺ / V(IV)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Vanadyl porphyrins, oxo-vanadium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Mn(II)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5/2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Aqueous Mn²⁺, Mn-enzymes (central sextet)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Fe(III) high-spin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5/2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Haem, non-haem iron, g≈4.3/2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Cr(III), Ni(II) etc.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3/2,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ZFS-dominated d-ion spectra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Triplets / biradicals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Photoexcited triplets, dipolar pairs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Spin-trap adducts (PBN/DMPO)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ROS detection: OH, OOH/O₂⁻, C-radicals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Defects / F-centres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Broad solid-state / trapped-electron signals</w:t>
            </w:r>
          </w:p>
        </w:tc>
      </w:tr>
    </w:tbl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Table 3. Chemistries supported by SimEPR and the engine applied to each.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7. Relationship to Existing Software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SimEPR is complementary to established packages. Table 4 summarises the scope. EasySpin remains the reference for pulsed EPR, orientation-selective ENDOR/ESEEM, and the most demanding global multifrequency fits; SimEPR prioritises free, zero-installation accessibility for cw simulation and fitting across a wide range of chemistries.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40"/>
        <w:gridCol w:w="1640"/>
        <w:gridCol w:w="1640"/>
        <w:gridCol w:w="17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SimEPR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EasySpin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XSophe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9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Open source / free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 (MATLAB)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Browser GUI, no install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Isotropic cw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Anisotropic g/A powder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High spin + ZFS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Multifrequency cw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Multi-component fit + BIC/AIC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Pulsed / ENDOR / ESEEM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Auto methods paragraph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20" w:before="7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19"/>
          <w:szCs w:val="19"/>
        </w:rPr>
        <w:t xml:space="preserve">Table 4. Capability comparison. SimEPR targets accessible cw simulation/fitting; pulsed and the most advanced analyses remain the domain of specialist packages.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8. Scope and Limitations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SimEPR covers the great majority of cw-EPR scenarios: isotropic and anisotropic g and A, high-spin systems, and zero-field splitting, at arbitrary microwave frequency. The current release does not implement pulsed EPR, ENDOR/ESEEM, explicit exchange/dipolar coupling between multiple electron spins (beyond the effective-spin ZFS picture), orientation-selective simulations, or strain distributions (g-/A-/D-strain). These are planned extensions and, where required today, are well served by EasySpin and related tools. As with any simulation, fitted parameters are candidate assignments that require independent chemical validation.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9. Software Availability and Access</w:t>
      </w:r>
    </w:p>
    <w:p>
      <w:pPr>
        <w:shd w:fill="E8F0FE" w:val="clear"/>
        <w:spacing w:after="12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color w:val="1a3a9c"/>
          <w:sz w:val="22"/>
          <w:szCs w:val="22"/>
        </w:rPr>
        <w:t xml:space="preserve">Web application (public, no installation): </w:t>
      </w:r>
      <w:hyperlink w:history="1" r:id="rId0si_xgasa6tcf9n3fg5o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https://simepr.streamlit.app</w:t>
        </w:r>
      </w:hyperlink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color w:val="1a3a9c"/>
          <w:sz w:val="22"/>
          <w:szCs w:val="22"/>
        </w:rPr>
        <w:t xml:space="preserve">Source code (access by request): </w:t>
      </w:r>
      <w:hyperlink w:history="1" r:id="rIdfbafbl9_2acjr72gsjbj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https://github.com/qleapai/SimEPR</w:t>
        </w:r>
      </w:hyperlink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i/>
          <w:iCs/>
          <w:color w:val="2c3e50"/>
          <w:sz w:val="20"/>
          <w:szCs w:val="20"/>
        </w:rPr>
        <w:t xml:space="preserve">Code-access requests should be directed to the corresponding author (u7929894@anu.edu.au) with name, institution, and intended use.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The Streamlit web application is fully functional for all users without any code access. The source repository is private; access is granted by the author on request to ensure reproducibility and appropriate attribution.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10. Conclusions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SimEPR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 generalises accessible cw-EPR analysis from the isotropic limit to the full anisotropic, high-spin, and multifrequency regime through a spin-Hamiltonian diagonalisation engine with powder averaging, while preserving a fast analytical path for solution radicals. It reproduces analytical resonance fields to better than 0.01 mT, recovers known mixture fractions to within 0.5%, and generates textbook powder patterns for nitroxides, Cu(II), vanadyl, and triplet states. Delivered as a free, zero-installation web application with publication-ready export, SimEPR lowers the barrier to rigorous EPR simulation and fitting for a wide community, complementing established specialist packages.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a3a9c"/>
          <w:sz w:val="28"/>
          <w:szCs w:val="28"/>
        </w:rPr>
        <w:t xml:space="preserve">References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[1] Weil, J. A.; Bolton, J. R. Electron Paramagnetic Resonance: Elementary Theory and Practical Applications, 2nd ed.; Wiley, 2007.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[2] Atherton, N. M. Principles of Electron Spin Resonance; Ellis Horwood, 1993.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[3] Abragam, A.; Bleaney, B. Electron Paramagnetic Resonance of Transition Ions; Oxford University Press, 1970.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[4] Rieger, P. H. Electron Spin Resonance: Analysis and Interpretation; RSC, 2007.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[5] Goldfarb, D.; Stoll, S., Eds. EPR Spectroscopy: Fundamentals and Methods; Wiley, 2018.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[6] Carrington, A.; McLachlan, A. D. Introduction to Magnetic Resonance; Harper &amp; Row, 1967.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[7] Pilbrow, J. R. Transition Ion Electron Paramagnetic Resonance; Clarendon Press, 1990.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[8] Virtanen, P. et al. SciPy 1.0: Fundamental algorithms for scientific computing in Python. Nat. Methods 2020, 17, 261.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[9] Kass, R. E.; Raftery, A. E. Bayes factors. J. Am. Stat. Assoc. 1995, 90, 773.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[10] Stoll, S.; Schweiger, A. EasySpin, a comprehensive software package for spectral simulation and analysis in EPR. J. Magn. Reson. 2006, 178, 42.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[11] Hanson, G. R.; Gates, K. E.; Noble, C. J.; Griffin, M.; Mitchell, A.; Benson, S. XSophe-Sophe-XeprView: a computer simulation software suite for the analysis of cw EPR spectra. J. Inorg. Biochem. 2004, 98, 903.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[12] Akaike, H. A new look at the statistical model identification. IEEE Trans. Autom. Control 1974, 19, 716.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[13] Schwarz, G. Estimating the dimension of a model. Ann. Stat. 1978, 6, 461.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9c" w:sz="4"/>
      </w:pBdr>
      <w:tabs>
        <w:tab w:val="right" w:pos="9026"/>
      </w:tabs>
      <w:spacing w:after="0" w:before="80"/>
    </w:pPr>
    <w:r>
      <w:rPr>
        <w:rFonts w:ascii="Times New Roman" w:cs="Times New Roman" w:eastAsia="Times New Roman" w:hAnsi="Times New Roman"/>
        <w:i/>
        <w:iCs/>
        <w:color w:val="2c3e50"/>
        <w:sz w:val="18"/>
        <w:szCs w:val="18"/>
      </w:rPr>
      <w:t xml:space="preserve">The Australian National University, Canberra, ACT 2601</w:t>
    </w:r>
    <w:r>
      <w:rPr>
        <w:rFonts w:ascii="Times New Roman" w:cs="Times New Roman" w:eastAsia="Times New Roman" w:hAnsi="Times New Roman"/>
        <w:i w:val="false"/>
        <w:iCs w:val="false"/>
        <w:color w:val="000000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i w:val="false"/>
        <w:iCs w:val="false"/>
        <w:color w:val="2c3e50"/>
        <w:sz w:val="18"/>
        <w:szCs w:val="18"/>
      </w:rPr>
      <w:t xml:space="preserve">Page </w:t>
    </w:r>
    <w:r>
      <w:rPr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9c" w:sz="4"/>
      </w:pBdr>
      <w:tabs>
        <w:tab w:val="right" w:pos="9026"/>
      </w:tabs>
      <w:spacing w:after="80" w:before="0"/>
    </w:pPr>
    <w:r>
      <w:rPr>
        <w:rFonts w:ascii="Times New Roman" w:cs="Times New Roman" w:eastAsia="Times New Roman" w:hAnsi="Times New Roman"/>
        <w:b/>
        <w:bCs/>
        <w:color w:val="1a3a9c"/>
        <w:sz w:val="18"/>
        <w:szCs w:val="18"/>
      </w:rPr>
      <w:t xml:space="preserve">SimEPR — General cw-EPR Simulation &amp; Fitting</w:t>
    </w:r>
    <w:r>
      <w:rPr>
        <w:rFonts w:ascii="Times New Roman" w:cs="Times New Roman" w:eastAsia="Times New Roman" w:hAnsi="Times New Roman"/>
        <w:i w:val="false"/>
        <w:iCs w:val="false"/>
        <w:color w:val="000000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i/>
        <w:iCs/>
        <w:color w:val="2c3e50"/>
        <w:sz w:val="18"/>
        <w:szCs w:val="18"/>
      </w:rPr>
      <w:t xml:space="preserve">Md Sakib Hasan Khan, ANU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Arial" w:cs="Arial" w:eastAsia="Arial" w:hAnsi="Arial"/>
      <w:b/>
      <w:bCs/>
      <w:color w:val="1a3a9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ws7h2_gtkqspvhiem6rf" Type="http://schemas.openxmlformats.org/officeDocument/2006/relationships/hyperlink" Target="mailto:u7929894@anu.edu.au" TargetMode="External"/><Relationship Id="rIdohkfyroz5al68qfc917sn" Type="http://schemas.openxmlformats.org/officeDocument/2006/relationships/hyperlink" Target="https://simepr.streamlit.app" TargetMode="External"/><Relationship Id="rId34ji2nmf-6ww2eqzppzbk" Type="http://schemas.openxmlformats.org/officeDocument/2006/relationships/hyperlink" Target="https://github.com/qleapai/SimEPR" TargetMode="External"/><Relationship Id="rIdr8nhxiyo8iojanjsbb3-r" Type="http://schemas.openxmlformats.org/officeDocument/2006/relationships/hyperlink" Target="https://simepr.streamlit.app" TargetMode="External"/><Relationship Id="rId1t7ap3xapmwdd9-zea-zh" Type="http://schemas.openxmlformats.org/officeDocument/2006/relationships/hyperlink" Target="https://github.com/qleapai/SimEPR" TargetMode="External"/><Relationship Id="rId0si_xgasa6tcf9n3fg5ow" Type="http://schemas.openxmlformats.org/officeDocument/2006/relationships/hyperlink" Target="https://simepr.streamlit.app" TargetMode="External"/><Relationship Id="rIdfbafbl9_2acjr72gsjbjx" Type="http://schemas.openxmlformats.org/officeDocument/2006/relationships/hyperlink" Target="https://github.com/qleapai/SimEPR" TargetMode="External"/><Relationship Id="rId9" Type="http://schemas.openxmlformats.org/officeDocument/2006/relationships/image" Target="media/25588ee7d6c6d610084d871040f1d59da9fa0558.png"/><Relationship Id="rId10" Type="http://schemas.openxmlformats.org/officeDocument/2006/relationships/image" Target="media/d4a12dec5fb03b09c0d9f569d2579d1a9ba631dd.png"/><Relationship Id="rId11" Type="http://schemas.openxmlformats.org/officeDocument/2006/relationships/image" Target="media/ee4f4b1c8ffe03df8aaba73dd9aae2bdb6697034.png"/><Relationship Id="rId12" Type="http://schemas.openxmlformats.org/officeDocument/2006/relationships/image" Target="media/c96c6b72a1d5cc3889ffac70de279eee3b2a0d4c.png"/><Relationship Id="rId13" Type="http://schemas.openxmlformats.org/officeDocument/2006/relationships/image" Target="media/8947a424cb7bfdb06966e0608bd42471ad469a34.png"/><Relationship Id="rId14" Type="http://schemas.openxmlformats.org/officeDocument/2006/relationships/image" Target="media/0a8a41cca5f0f61aef9b1daf173f8d9abef0e14e.png"/><Relationship Id="rId15" Type="http://schemas.openxmlformats.org/officeDocument/2006/relationships/image" Target="media/6b6f65fe239964fda10f31672d04424d29d02c42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2026-06-13T02:27:17.741Z</dcterms:created>
  <dcterms:modified xsi:type="dcterms:W3CDTF">2026-06-13T02:27:17.745Z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