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旅游业行业能力测评数据来源及判断标准</w:t>
      </w:r>
    </w:p>
    <w:p>
      <w:pPr>
        <w:jc w:val="center"/>
      </w:pPr>
      <w:r>
        <w:rPr>
          <w:i/>
        </w:rPr>
        <w:t>配套说明文档  |  2026-09-16</w:t>
      </w:r>
    </w:p>
    <w:p>
      <w:pPr>
        <w:pStyle w:val="Heading1"/>
      </w:pPr>
      <w:r>
        <w:t>一 说明范围</w:t>
      </w:r>
    </w:p>
    <w:p>
      <w:r>
        <w:t>本说明文档解释《旅游业行业能力测评报告》的数据来源、统计口径、判断规则和使用边界。报告的测评对象是旅游业行业侧能力结构，不是某所院校的教学质量评分。</w:t>
      </w:r>
    </w:p>
    <w:p>
      <w:r>
        <w:t>报告框架来自《报告核心框架与数据可视化建议.docx》，能力统计来自项目入口 panorama.html 中内嵌的旅游业能力图谱数据。两类材料的用途不同：前者规定报告结构和可视化表达，后者提供可计算的行业能力事实。</w:t>
      </w:r>
    </w:p>
    <w:p>
      <w:pPr>
        <w:pStyle w:val="Heading1"/>
      </w:pPr>
      <w:r>
        <w:t>二 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用于报告的内容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限制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报告核心框架与数据可视化建议.docx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报告章节结构、岗位群观察角度、三维能力模型和图表建议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其中学历、经验、薪酬等宏观数字未附原始数据，本报告不将其作为量化结论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panorama.html 内嵌能力图谱数据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行业、子行业、岗位、能力项、能力等级、权重、核心标识、证据等级和趋势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当前是项目原型内嵌示例，正式上线应替换为正式发布版本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四层能力图谱构建规则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四层结构、L1/L2/L3 等级、证据分级、核心能力和前置关系的解释依据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规则本身不是岗位数量或薪酬数据来源</w:t>
            </w:r>
          </w:p>
        </w:tc>
      </w:tr>
    </w:tbl>
    <w:p/>
    <w:p>
      <w:pPr>
        <w:pStyle w:val="Heading1"/>
      </w:pPr>
      <w:r>
        <w:t>三 数据规模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子行业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4 个（其中 3 个已建）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未建子行业不参与能力统计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代表岗位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9 个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四层图谱第三层节点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能力项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28 条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去重后的第四层能力节点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岗位能力关系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103 条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岗位对能力项提出要求的关系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核心能力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12 条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由图谱 core 字段标记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跨子行业能力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24 条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被全部已建子行业覆盖的能力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来源证据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50 条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图谱 evidence 字段汇总</w:t>
            </w:r>
          </w:p>
        </w:tc>
      </w:tr>
    </w:tbl>
    <w:p/>
    <w:p>
      <w:pPr>
        <w:pStyle w:val="Heading1"/>
      </w:pPr>
      <w:r>
        <w:t>四 判断标准</w:t>
      </w:r>
    </w:p>
    <w:p>
      <w:pPr>
        <w:pStyle w:val="Heading2"/>
      </w:pPr>
      <w:r>
        <w:t>1 能力等级</w:t>
      </w:r>
    </w:p>
    <w:p>
      <w:r>
        <w:t>L1 为认知或辅助级，L2 为独立操作级，L3 为综合应用级。岗位能力关系中的 required level 表示该岗位对该能力的最高要求等级。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报告中的用途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L1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认知 / 辅助级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识别基础知识和辅助任务要求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L2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独立操作级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识别能够独立完成常规任务的要求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L3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综合应用级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识别复杂情境、跨环节协同和综合判断要求</w:t>
            </w:r>
          </w:p>
        </w:tc>
      </w:tr>
    </w:tbl>
    <w:p/>
    <w:p>
      <w:pPr>
        <w:pStyle w:val="Heading2"/>
      </w:pPr>
      <w:r>
        <w:t>2 核心能力</w:t>
      </w:r>
    </w:p>
    <w:p>
      <w:r>
        <w:t>本报告沿用图谱的 core 字段，不在报告运行时重新发明核心能力。图谱规则通常综合岗位覆盖面和国家级来源判断；报告只展示 core 标识、岗位数量和来源证据，不把核心能力解释为薪酬高低或岗位价值评分。</w:t>
      </w:r>
    </w:p>
    <w:p>
      <w:pPr>
        <w:pStyle w:val="Heading2"/>
      </w:pPr>
      <w:r>
        <w:t>3 能力缺口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未提供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没有本校能力现状输入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不推断为已覆盖或未覆盖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内容缺口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本校达成等级为 0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目标岗位要求的能力尚未覆盖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等级缺口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本校达成等级大于 0 且低于岗位要求等级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已有基础，但未达到目标等级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已达标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本校达成等级大于或等于岗位要求等级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达到该岗位对该能力的要求</w:t>
            </w:r>
          </w:p>
        </w:tc>
      </w:tr>
    </w:tbl>
    <w:p/>
    <w:p>
      <w:pPr>
        <w:pStyle w:val="Heading2"/>
      </w:pPr>
      <w:r>
        <w:t>4 缺口优先级</w:t>
      </w:r>
    </w:p>
    <w:p>
      <w:r>
        <w:t>优先级依次参考：核心能力、高等级要求、被多个岗位共同要求、前置关系和岗位专项。该排序用于帮助用户先核对重要能力，不代表系统已经生成课程、学时、设备或实训方案。</w:t>
      </w:r>
    </w:p>
    <w:p>
      <w:pPr>
        <w:pStyle w:val="Heading2"/>
      </w:pPr>
      <w:r>
        <w:t>5 新兴能力和证据风险</w:t>
      </w:r>
    </w:p>
    <w:p>
      <w:r>
        <w:t>带有市场侧来源、推断或无直接文献依据标记的能力项，属于趋势线索。它们可以进入观察清单，但不能替代国家标准、行业标准或正式岗位要求。产业趋势文本同样用于方向提示，不作为硬性能力判定依据。</w:t>
      </w:r>
    </w:p>
    <w:p>
      <w:pPr>
        <w:pStyle w:val="Heading1"/>
      </w:pPr>
      <w:r>
        <w:t>五 图表与指标解释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图表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计算方式</w:t>
            </w:r>
          </w:p>
        </w:tc>
        <w:tc>
          <w:tcPr>
            <w:tcW w:type="dxa" w:w="3360"/>
            <w:vAlign w:val="center"/>
            <w:shd w:fill="0F766E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/>
                <w:color w:val="FFFFFF"/>
                <w:sz w:val="19"/>
              </w:rPr>
              <w:t>不能解释为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岗位能力项数量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统计岗位关联的能力项关系数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岗位价值、就业人数或薪酬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L1/L2/L3 环形图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统计全部岗位能力关系中各要求等级的数量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个人能力水平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岗位能力雷达图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按能力领域统计岗位关系后归一化展示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岗位评分或人才排名</w:t>
            </w:r>
          </w:p>
        </w:tc>
      </w:tr>
      <w:tr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核心能力列表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按 core 标识、岗位覆盖面和最高要求等级排序</w:t>
            </w:r>
          </w:p>
        </w:tc>
        <w:tc>
          <w:tcPr>
            <w:tcW w:type="dxa" w:w="3360"/>
            <w:vAlign w:val="center"/>
            <w:shd w:fill="F2F8F6"/>
          </w:tcPr>
          <w:p>
            <w:pPr>
              <w:spacing w:after="40"/>
            </w:pPr>
            <w:r/>
            <w:r>
              <w:rPr>
                <w:rFonts w:ascii="Hiragino Sans GB W3" w:hAnsi="Hiragino Sans GB W3" w:eastAsia="Hiragino Sans GB W3"/>
                <w:b w:val="0"/>
                <w:sz w:val="19"/>
              </w:rPr>
              <w:t>唯一的培养优先级</w:t>
            </w:r>
          </w:p>
        </w:tc>
      </w:tr>
    </w:tbl>
    <w:p/>
    <w:p>
      <w:pPr>
        <w:pStyle w:val="Heading1"/>
      </w:pPr>
      <w:r>
        <w:t>六 使用边界</w:t>
      </w:r>
    </w:p>
    <w:p>
      <w:pPr>
        <w:pStyle w:val="ListBullet"/>
      </w:pPr>
      <w:r>
        <w:t>本报告不包含某所院校的真实填报，因此不能得出“某校覆盖率”“培养质量”或“课程缺口”的结论。</w:t>
      </w:r>
    </w:p>
    <w:p>
      <w:pPr>
        <w:pStyle w:val="ListBullet"/>
      </w:pPr>
      <w:r>
        <w:t>报告框架中提到的学历、经验、薪酬和企业招聘案例，需要补充独立的原始数据后才能进入正式量化报告。</w:t>
      </w:r>
    </w:p>
    <w:p>
      <w:pPr>
        <w:pStyle w:val="ListBullet"/>
      </w:pPr>
      <w:r>
        <w:t>课程、知识点、任务、实训室和专业教学标准的自动诊断属于能力测评2.0，不属于本报告。</w:t>
      </w:r>
    </w:p>
    <w:p>
      <w:pPr>
        <w:pStyle w:val="ListBullet"/>
      </w:pPr>
      <w:r>
        <w:t>正式交付时应将原型内嵌示例替换为有版本号、发布时间和证据链的正式发布图谱。</w:t>
      </w:r>
    </w:p>
    <w:p>
      <w:pPr>
        <w:pStyle w:val="Heading1"/>
      </w:pPr>
      <w:r>
        <w:t>七 数据版本记录</w:t>
      </w:r>
    </w:p>
    <w:p>
      <w:r>
        <w:t>行业：旅游业；图谱版本：v1.3；构建时间：2026-09-09；生成日期：2026-09-16。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 W3" w:hAnsi="Hiragino Sans GB W3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 W3" w:hAnsi="Hiragino Sans GB W3" w:eastAsia="Hiragino Sans GB W3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 W3" w:hAnsi="Hiragino Sans GB W3" w:eastAsia="Hiragino Sans GB W3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 W3" w:hAnsi="Hiragino Sans GB W3" w:eastAsia="Hiragino Sans GB W3"/>
      <w:color w:val="0F7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