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C4" w:rsidRPr="00C2312F" w:rsidRDefault="00C2312F" w:rsidP="00D13420">
      <w:pPr>
        <w:rPr>
          <w:rFonts w:cstheme="minorHAnsi"/>
          <w:b/>
          <w:sz w:val="32"/>
          <w:szCs w:val="16"/>
        </w:rPr>
      </w:pPr>
      <w:r w:rsidRPr="00C2312F">
        <w:rPr>
          <w:rFonts w:cstheme="minorHAnsi"/>
          <w:b/>
          <w:sz w:val="32"/>
          <w:szCs w:val="16"/>
        </w:rPr>
        <w:t>Dollarama Inc.</w:t>
      </w:r>
    </w:p>
    <w:p w:rsidR="00442250" w:rsidRDefault="00C2312F" w:rsidP="00442250">
      <w:pPr>
        <w:rPr>
          <w:rFonts w:cstheme="minorHAnsi"/>
          <w:sz w:val="16"/>
          <w:szCs w:val="16"/>
        </w:rPr>
      </w:pPr>
      <w:r w:rsidRPr="00C2312F">
        <w:rPr>
          <w:rFonts w:cstheme="minorHAnsi"/>
          <w:sz w:val="16"/>
          <w:szCs w:val="16"/>
        </w:rPr>
        <w:t>Candice Wang | 416.871.1589 | wyuan90@gmail.com</w:t>
      </w:r>
    </w:p>
    <w:p w:rsidR="00E4722E" w:rsidRPr="00442250" w:rsidRDefault="00E4722E" w:rsidP="00442250">
      <w:pPr>
        <w:rPr>
          <w:rFonts w:cstheme="minorHAnsi"/>
          <w:sz w:val="16"/>
          <w:szCs w:val="16"/>
        </w:rPr>
      </w:pPr>
    </w:p>
    <w:p w:rsidR="00215B9A" w:rsidRPr="003A1592" w:rsidRDefault="00215B9A" w:rsidP="00442250">
      <w:pPr>
        <w:jc w:val="both"/>
        <w:rPr>
          <w:rFonts w:cstheme="minorHAnsi"/>
          <w:b/>
          <w:sz w:val="20"/>
          <w:szCs w:val="16"/>
        </w:rPr>
      </w:pPr>
      <w:r w:rsidRPr="003A1592">
        <w:rPr>
          <w:rFonts w:cstheme="minorHAnsi"/>
          <w:b/>
          <w:sz w:val="20"/>
          <w:szCs w:val="16"/>
        </w:rPr>
        <w:t>Investment Thesis</w:t>
      </w: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Dollarama continues to grow rapidly and profitably in Canada, driven by its industry-leading position, strong same-store growth and ambitious expansion plan.</w:t>
      </w:r>
      <w:r w:rsidRPr="009167F8">
        <w:rPr>
          <w:rFonts w:cstheme="minorHAnsi"/>
          <w:sz w:val="16"/>
          <w:szCs w:val="16"/>
        </w:rPr>
        <w:t xml:space="preserve"> Dollarama is the industry’s largest player as measured by its revenue. According to the report of </w:t>
      </w:r>
      <w:proofErr w:type="spellStart"/>
      <w:r w:rsidRPr="009167F8">
        <w:rPr>
          <w:rFonts w:cstheme="minorHAnsi"/>
          <w:sz w:val="16"/>
          <w:szCs w:val="16"/>
        </w:rPr>
        <w:t>IBISWord</w:t>
      </w:r>
      <w:proofErr w:type="spellEnd"/>
      <w:r w:rsidRPr="009167F8">
        <w:rPr>
          <w:rFonts w:cstheme="minorHAnsi"/>
          <w:sz w:val="16"/>
          <w:szCs w:val="16"/>
        </w:rPr>
        <w:t xml:space="preserve"> (2016), Dollarama’s annual revenue accounts for approximately 56.4% of total industry revenue, ahead of 5.2% market share gained by the second-largest player Dollar Tree. The sales momentum of Dollarama continues to exceed expectations. The company reported the highest same-store growth in 3Q 2017 among its peers in the US and Canada. In addition, Dollarama opened 18 new stores during the same period, indicating that the company remains on track to open its targeted 60 to 70 news stores at the end of FY2017. </w:t>
      </w:r>
      <w:r w:rsidR="000830A5">
        <w:rPr>
          <w:rFonts w:cstheme="minorHAnsi"/>
          <w:sz w:val="16"/>
          <w:szCs w:val="16"/>
        </w:rPr>
        <w:t>Management of Dollarama believes that the Canadian dollar store is still underpenetrated and reaffirmed the 1,400-store mark in the</w:t>
      </w:r>
      <w:r w:rsidR="00C070DE">
        <w:rPr>
          <w:rFonts w:cstheme="minorHAnsi"/>
          <w:sz w:val="16"/>
          <w:szCs w:val="16"/>
        </w:rPr>
        <w:t xml:space="preserve"> Annual Report</w:t>
      </w:r>
      <w:r w:rsidR="000830A5">
        <w:rPr>
          <w:rFonts w:cstheme="minorHAnsi"/>
          <w:sz w:val="16"/>
          <w:szCs w:val="16"/>
        </w:rPr>
        <w:t xml:space="preserve"> of FY2016. </w:t>
      </w:r>
    </w:p>
    <w:tbl>
      <w:tblPr>
        <w:tblW w:w="7517" w:type="dxa"/>
        <w:tblLook w:val="04A0" w:firstRow="1" w:lastRow="0" w:firstColumn="1" w:lastColumn="0" w:noHBand="0" w:noVBand="1"/>
      </w:tblPr>
      <w:tblGrid>
        <w:gridCol w:w="267"/>
        <w:gridCol w:w="1348"/>
        <w:gridCol w:w="900"/>
        <w:gridCol w:w="1710"/>
        <w:gridCol w:w="900"/>
        <w:gridCol w:w="1080"/>
        <w:gridCol w:w="1312"/>
      </w:tblGrid>
      <w:tr w:rsidR="00215B9A" w:rsidRPr="009167F8" w:rsidTr="009D3544">
        <w:trPr>
          <w:trHeight w:val="258"/>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5938" w:type="dxa"/>
            <w:gridSpan w:val="5"/>
            <w:tcBorders>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b/>
                <w:bCs/>
                <w:color w:val="000000"/>
                <w:sz w:val="16"/>
                <w:szCs w:val="16"/>
              </w:rPr>
            </w:pPr>
            <w:r w:rsidRPr="009167F8">
              <w:rPr>
                <w:rFonts w:eastAsia="Times New Roman" w:cstheme="minorHAnsi"/>
                <w:b/>
                <w:bCs/>
                <w:color w:val="000000"/>
                <w:sz w:val="16"/>
                <w:szCs w:val="16"/>
              </w:rPr>
              <w:t>Dollarama is posting the highest same-store sales growth among its peers</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493"/>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shd w:val="clear" w:color="auto" w:fill="auto"/>
            <w:noWrap/>
            <w:vAlign w:val="bottom"/>
            <w:hideMark/>
          </w:tcPr>
          <w:p w:rsidR="00215B9A" w:rsidRPr="009167F8" w:rsidRDefault="00215B9A" w:rsidP="00646AC4">
            <w:pPr>
              <w:spacing w:after="0" w:line="240" w:lineRule="auto"/>
              <w:rPr>
                <w:rFonts w:eastAsia="Times New Roman" w:cstheme="minorHAnsi"/>
                <w:b/>
                <w:bCs/>
                <w:color w:val="000000"/>
                <w:sz w:val="16"/>
                <w:szCs w:val="16"/>
              </w:rPr>
            </w:pPr>
            <w:r w:rsidRPr="009167F8">
              <w:rPr>
                <w:rFonts w:eastAsia="Times New Roman" w:cstheme="minorHAnsi"/>
                <w:b/>
                <w:bCs/>
                <w:color w:val="000000"/>
                <w:sz w:val="16"/>
                <w:szCs w:val="16"/>
              </w:rPr>
              <w:t> </w:t>
            </w:r>
          </w:p>
        </w:tc>
        <w:tc>
          <w:tcPr>
            <w:tcW w:w="90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Fiscal year end</w:t>
            </w:r>
          </w:p>
        </w:tc>
        <w:tc>
          <w:tcPr>
            <w:tcW w:w="171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Most recent reporting period</w:t>
            </w:r>
          </w:p>
        </w:tc>
        <w:tc>
          <w:tcPr>
            <w:tcW w:w="90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SSSG            (%)</w:t>
            </w:r>
          </w:p>
        </w:tc>
        <w:tc>
          <w:tcPr>
            <w:tcW w:w="108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Sales growth                      (%)</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Dollarama Inc.</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Jan-31</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Oct-30-2016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5.1%</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11.2%</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 General</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Jan-29</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Oct-28-2016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(0.1%)</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5.0%</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 Tree</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Jan-30</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Oct-29-2016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1.7%</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1.1%</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Five Below</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Jan-30</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Oct-29-2016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(0.2%)</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17.6%</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bl>
    <w:p w:rsidR="00215B9A" w:rsidRPr="00215B9A" w:rsidRDefault="00215B9A" w:rsidP="00215B9A">
      <w:pPr>
        <w:pStyle w:val="ListParagraph"/>
        <w:rPr>
          <w:rFonts w:cstheme="minorHAnsi"/>
          <w:sz w:val="16"/>
          <w:szCs w:val="16"/>
        </w:rPr>
      </w:pP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 xml:space="preserve">Dollarama integrates defensive business with cyclical business to offers a productive business model which enables the company to maintain stable sales and earnings during both economic upturns and downturns. </w:t>
      </w:r>
      <w:r w:rsidRPr="009167F8">
        <w:rPr>
          <w:rFonts w:cstheme="minorHAnsi"/>
          <w:sz w:val="16"/>
          <w:szCs w:val="16"/>
        </w:rPr>
        <w:t xml:space="preserve">Grocery retail stores industry and dollar stores industry are two type of industries that are able to benefit from plummeting consumer sentiment and contracting incomes. Dollarama is an combination of both industry criteria by offering an assortment of general merchandise and consumable products priced at no more than $4.00. Dollarama also offers a selection of seasonable products specifically themed for seasonal holidays such as Thanksgiving, Halloween, Valentine’s Day and Christmas. Revenue generated from seasonable products has driven by the increasing demand of low cost and disposable holiday-themed goods and decorations. </w:t>
      </w: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Dollarama is able to generate solid free cash flow to allow it to increase cash distributions to shareholders through dividends and share buybacks.</w:t>
      </w:r>
      <w:r w:rsidRPr="009167F8">
        <w:rPr>
          <w:rFonts w:cstheme="minorHAnsi"/>
          <w:sz w:val="16"/>
          <w:szCs w:val="16"/>
        </w:rPr>
        <w:t xml:space="preserve"> The company’s current Normal Course Issuer Bid (NBIC) allows for the repurchase of approximate 5.87 million common shares, representing 5.0% of the common shares issued and outstanding on June 7, 2016.  During Q3 2017, Dollarama repurchased 1.57 million common shares for total consideration of $157.8 million. The consistent NCIB execution has boosted the EPS CAGR approaching 14.11% as of FY 2016. </w:t>
      </w:r>
    </w:p>
    <w:p w:rsidR="00442250" w:rsidRPr="00442250" w:rsidRDefault="00442250" w:rsidP="00442250">
      <w:pPr>
        <w:jc w:val="both"/>
        <w:rPr>
          <w:b/>
          <w:sz w:val="20"/>
          <w:szCs w:val="16"/>
        </w:rPr>
      </w:pPr>
      <w:r w:rsidRPr="00442250">
        <w:rPr>
          <w:b/>
          <w:sz w:val="20"/>
          <w:szCs w:val="16"/>
        </w:rPr>
        <w:t>Investment Risk</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Management of Dollarama did not revise upwards its guidance for full year of FY2017 despite the strong Q3 2017 performance, indicating that SSSG and gross margin could weaken in the last quarter of the fiscal year. </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Increase in square footage growth and new stores could result in cannibalization of existing stores. Cost of sales and SG&amp;A associated with new stores could have short-term negative impact on earnings. </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Dollarama purchases a majority of its imported products from China using US dollars. </w:t>
      </w:r>
      <w:r w:rsidR="00E4722E" w:rsidRPr="009167F8">
        <w:rPr>
          <w:rFonts w:cstheme="minorHAnsi"/>
          <w:sz w:val="16"/>
          <w:szCs w:val="16"/>
        </w:rPr>
        <w:t xml:space="preserve">Dollarama does not hedge its exposure to fluctuations in the value of the Chinese renminbi against the US dollar. </w:t>
      </w:r>
      <w:r w:rsidRPr="009167F8">
        <w:rPr>
          <w:rFonts w:cstheme="minorHAnsi"/>
          <w:sz w:val="16"/>
          <w:szCs w:val="16"/>
        </w:rPr>
        <w:t xml:space="preserve">Therefore, the company’s cost of sales is affected by fluctuation of foreign currencies against the Canadian dollar. </w:t>
      </w:r>
    </w:p>
    <w:p w:rsidR="00215B9A" w:rsidRDefault="00215B9A" w:rsidP="00D13420">
      <w:pPr>
        <w:rPr>
          <w:rFonts w:cstheme="minorHAnsi"/>
          <w:sz w:val="16"/>
          <w:szCs w:val="16"/>
        </w:rPr>
      </w:pPr>
    </w:p>
    <w:p w:rsidR="00C2312F" w:rsidRDefault="00C2312F" w:rsidP="00D13420">
      <w:pPr>
        <w:rPr>
          <w:rFonts w:cstheme="minorHAnsi"/>
          <w:sz w:val="16"/>
          <w:szCs w:val="16"/>
        </w:rPr>
      </w:pPr>
    </w:p>
    <w:p w:rsidR="00442250" w:rsidRDefault="00442250" w:rsidP="00D13420">
      <w:pPr>
        <w:rPr>
          <w:rFonts w:cstheme="minorHAnsi"/>
          <w:sz w:val="16"/>
          <w:szCs w:val="16"/>
        </w:rPr>
      </w:pPr>
    </w:p>
    <w:p w:rsidR="00442250" w:rsidRDefault="00442250" w:rsidP="00D13420">
      <w:pPr>
        <w:rPr>
          <w:rFonts w:cstheme="minorHAnsi"/>
          <w:sz w:val="16"/>
          <w:szCs w:val="16"/>
        </w:rPr>
      </w:pPr>
    </w:p>
    <w:p w:rsidR="00E4722E" w:rsidRDefault="00E4722E" w:rsidP="00D13420">
      <w:pPr>
        <w:rPr>
          <w:rFonts w:cstheme="minorHAnsi"/>
          <w:sz w:val="16"/>
          <w:szCs w:val="16"/>
        </w:rPr>
      </w:pPr>
    </w:p>
    <w:p w:rsidR="00E4722E" w:rsidRDefault="00E4722E" w:rsidP="00D13420">
      <w:pPr>
        <w:rPr>
          <w:rFonts w:cstheme="minorHAnsi"/>
          <w:sz w:val="16"/>
          <w:szCs w:val="16"/>
        </w:rPr>
      </w:pPr>
    </w:p>
    <w:tbl>
      <w:tblPr>
        <w:tblW w:w="3870" w:type="dxa"/>
        <w:tblLook w:val="04A0" w:firstRow="1" w:lastRow="0" w:firstColumn="1" w:lastColumn="0" w:noHBand="0" w:noVBand="1"/>
      </w:tblPr>
      <w:tblGrid>
        <w:gridCol w:w="1800"/>
        <w:gridCol w:w="2070"/>
      </w:tblGrid>
      <w:tr w:rsidR="00C2312F" w:rsidRPr="00F96E35" w:rsidTr="00442250">
        <w:trPr>
          <w:trHeight w:val="300"/>
        </w:trPr>
        <w:tc>
          <w:tcPr>
            <w:tcW w:w="1800" w:type="dxa"/>
            <w:tcBorders>
              <w:top w:val="single" w:sz="4" w:space="0" w:color="auto"/>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Rating</w:t>
            </w:r>
          </w:p>
        </w:tc>
        <w:tc>
          <w:tcPr>
            <w:tcW w:w="2070" w:type="dxa"/>
            <w:tcBorders>
              <w:top w:val="single" w:sz="4" w:space="0" w:color="auto"/>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Buy</w:t>
            </w:r>
          </w:p>
        </w:tc>
      </w:tr>
      <w:tr w:rsidR="00C2312F" w:rsidRPr="00F96E35" w:rsidTr="00442250">
        <w:trPr>
          <w:trHeight w:val="300"/>
        </w:trPr>
        <w:tc>
          <w:tcPr>
            <w:tcW w:w="1800" w:type="dxa"/>
            <w:tcBorders>
              <w:top w:val="nil"/>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Risk</w:t>
            </w:r>
          </w:p>
        </w:tc>
        <w:tc>
          <w:tcPr>
            <w:tcW w:w="2070" w:type="dxa"/>
            <w:tcBorders>
              <w:top w:val="nil"/>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Average</w:t>
            </w:r>
          </w:p>
        </w:tc>
      </w:tr>
      <w:tr w:rsidR="00C2312F" w:rsidRPr="00F96E35" w:rsidTr="00442250">
        <w:trPr>
          <w:trHeight w:val="300"/>
        </w:trPr>
        <w:tc>
          <w:tcPr>
            <w:tcW w:w="1800" w:type="dxa"/>
            <w:tcBorders>
              <w:top w:val="nil"/>
              <w:left w:val="nil"/>
              <w:bottom w:val="nil"/>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12-month target</w:t>
            </w:r>
          </w:p>
        </w:tc>
        <w:tc>
          <w:tcPr>
            <w:tcW w:w="2070" w:type="dxa"/>
            <w:tcBorders>
              <w:top w:val="nil"/>
              <w:left w:val="nil"/>
              <w:bottom w:val="nil"/>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C$107.34</w:t>
            </w:r>
          </w:p>
        </w:tc>
      </w:tr>
    </w:tbl>
    <w:p w:rsidR="00C2312F" w:rsidRDefault="00C2312F" w:rsidP="00D13420">
      <w:pPr>
        <w:rPr>
          <w:rFonts w:cstheme="minorHAnsi"/>
          <w:b/>
          <w:sz w:val="20"/>
          <w:szCs w:val="16"/>
        </w:rPr>
      </w:pPr>
    </w:p>
    <w:tbl>
      <w:tblPr>
        <w:tblW w:w="5000" w:type="pct"/>
        <w:tblLook w:val="04A0" w:firstRow="1" w:lastRow="0" w:firstColumn="1" w:lastColumn="0" w:noHBand="0" w:noVBand="1"/>
      </w:tblPr>
      <w:tblGrid>
        <w:gridCol w:w="2010"/>
        <w:gridCol w:w="903"/>
        <w:gridCol w:w="903"/>
      </w:tblGrid>
      <w:tr w:rsidR="00C2312F" w:rsidRPr="00F7114C" w:rsidTr="00442250">
        <w:trPr>
          <w:trHeight w:val="300"/>
        </w:trPr>
        <w:tc>
          <w:tcPr>
            <w:tcW w:w="26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Symbol</w:t>
            </w:r>
          </w:p>
        </w:tc>
        <w:tc>
          <w:tcPr>
            <w:tcW w:w="2366" w:type="pct"/>
            <w:gridSpan w:val="2"/>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DOL, TSX</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Sector</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 xml:space="preserve">Consumer Discretionary </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Closing price</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C$101.32</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52-week range</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C$70.29 - C$104.94</w:t>
            </w:r>
          </w:p>
        </w:tc>
      </w:tr>
      <w:tr w:rsidR="00C2312F" w:rsidRPr="00F7114C" w:rsidTr="00442250">
        <w:trPr>
          <w:trHeight w:val="300"/>
        </w:trPr>
        <w:tc>
          <w:tcPr>
            <w:tcW w:w="3817"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ind w:right="400"/>
              <w:rPr>
                <w:rFonts w:ascii="Calibri" w:eastAsia="Times New Roman" w:hAnsi="Calibri" w:cs="Calibri"/>
                <w:color w:val="000000"/>
                <w:sz w:val="16"/>
                <w:szCs w:val="16"/>
              </w:rPr>
            </w:pPr>
            <w:r w:rsidRPr="00F7114C">
              <w:rPr>
                <w:rFonts w:ascii="Calibri" w:eastAsia="Times New Roman" w:hAnsi="Calibri" w:cs="Calibri"/>
                <w:color w:val="000000"/>
                <w:sz w:val="16"/>
                <w:szCs w:val="16"/>
              </w:rPr>
              <w:t>Avg. daily value traded ($MM)</w:t>
            </w:r>
          </w:p>
        </w:tc>
        <w:tc>
          <w:tcPr>
            <w:tcW w:w="1183" w:type="pct"/>
            <w:tcBorders>
              <w:top w:val="single" w:sz="4" w:space="0" w:color="auto"/>
              <w:left w:val="nil"/>
              <w:bottom w:val="single" w:sz="4" w:space="0" w:color="auto"/>
              <w:right w:val="nil"/>
            </w:tcBorders>
            <w:shd w:val="clear" w:color="auto" w:fill="auto"/>
            <w:vAlign w:val="bottom"/>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C$30.58</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Shares O/S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118.56</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Market cap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C$11,960</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Net debt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C$1,084</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EV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C$13,160</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Dividend yield (%)</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0.4</w:t>
            </w:r>
          </w:p>
        </w:tc>
      </w:tr>
      <w:tr w:rsidR="00C2312F" w:rsidRPr="00F7114C" w:rsidTr="00442250">
        <w:trPr>
          <w:trHeight w:val="300"/>
        </w:trPr>
        <w:tc>
          <w:tcPr>
            <w:tcW w:w="2634" w:type="pct"/>
            <w:tcBorders>
              <w:top w:val="single" w:sz="4" w:space="0" w:color="auto"/>
              <w:left w:val="nil"/>
              <w:bottom w:val="nil"/>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Year-end</w:t>
            </w:r>
          </w:p>
        </w:tc>
        <w:tc>
          <w:tcPr>
            <w:tcW w:w="2366" w:type="pct"/>
            <w:gridSpan w:val="2"/>
            <w:tcBorders>
              <w:top w:val="single" w:sz="4" w:space="0" w:color="auto"/>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Jan-31</w:t>
            </w:r>
          </w:p>
        </w:tc>
      </w:tr>
    </w:tbl>
    <w:p w:rsidR="00C2312F" w:rsidRDefault="00C2312F" w:rsidP="00D13420">
      <w:pPr>
        <w:rPr>
          <w:rFonts w:cstheme="minorHAnsi"/>
          <w:b/>
          <w:sz w:val="20"/>
          <w:szCs w:val="16"/>
        </w:rPr>
      </w:pPr>
    </w:p>
    <w:tbl>
      <w:tblPr>
        <w:tblW w:w="5000" w:type="pct"/>
        <w:tblLook w:val="04A0" w:firstRow="1" w:lastRow="0" w:firstColumn="1" w:lastColumn="0" w:noHBand="0" w:noVBand="1"/>
      </w:tblPr>
      <w:tblGrid>
        <w:gridCol w:w="1416"/>
        <w:gridCol w:w="581"/>
        <w:gridCol w:w="581"/>
        <w:gridCol w:w="619"/>
        <w:gridCol w:w="619"/>
      </w:tblGrid>
      <w:tr w:rsidR="00C2312F" w:rsidRPr="00F7114C" w:rsidTr="00CA1896">
        <w:trPr>
          <w:trHeight w:val="300"/>
        </w:trPr>
        <w:tc>
          <w:tcPr>
            <w:tcW w:w="5000" w:type="pct"/>
            <w:gridSpan w:val="5"/>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Financial Estimates</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Annual</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2015</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2016</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2017E</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2018E</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EPS (C$)</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2.21</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3.00</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3.40</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3.89</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P/E (x)</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45.94</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33.78</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29.81</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26.05</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EBITDA (C$MM)</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423</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549</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621</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686</w:t>
            </w:r>
          </w:p>
        </w:tc>
      </w:tr>
      <w:tr w:rsidR="00C2312F" w:rsidRPr="00F7114C" w:rsidTr="00CA1896">
        <w:trPr>
          <w:trHeight w:val="20"/>
        </w:trPr>
        <w:tc>
          <w:tcPr>
            <w:tcW w:w="2034"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EV/EBITDA (x)</w:t>
            </w:r>
          </w:p>
        </w:tc>
        <w:tc>
          <w:tcPr>
            <w:tcW w:w="672"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31.14</w:t>
            </w:r>
          </w:p>
        </w:tc>
        <w:tc>
          <w:tcPr>
            <w:tcW w:w="726"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23.95</w:t>
            </w:r>
          </w:p>
        </w:tc>
        <w:tc>
          <w:tcPr>
            <w:tcW w:w="784"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21.18</w:t>
            </w:r>
          </w:p>
        </w:tc>
        <w:tc>
          <w:tcPr>
            <w:tcW w:w="785"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19.18</w:t>
            </w:r>
          </w:p>
        </w:tc>
      </w:tr>
    </w:tbl>
    <w:p w:rsidR="00C2312F" w:rsidRDefault="00C2312F" w:rsidP="00D13420">
      <w:pPr>
        <w:rPr>
          <w:rFonts w:cstheme="minorHAnsi"/>
          <w:b/>
          <w:sz w:val="20"/>
          <w:szCs w:val="16"/>
        </w:rPr>
      </w:pPr>
    </w:p>
    <w:p w:rsidR="00C2312F" w:rsidRDefault="00C2312F">
      <w:pPr>
        <w:rPr>
          <w:b/>
          <w:sz w:val="20"/>
          <w:szCs w:val="16"/>
        </w:rPr>
        <w:sectPr w:rsidR="00C2312F" w:rsidSect="00442250">
          <w:headerReference w:type="default" r:id="rId9"/>
          <w:footerReference w:type="default" r:id="rId10"/>
          <w:pgSz w:w="12240" w:h="15840"/>
          <w:pgMar w:top="1152" w:right="864" w:bottom="1152" w:left="864" w:header="706" w:footer="706" w:gutter="0"/>
          <w:cols w:num="2" w:space="360" w:equalWidth="0">
            <w:col w:w="6336" w:space="360"/>
            <w:col w:w="3816"/>
          </w:cols>
          <w:docGrid w:linePitch="360"/>
        </w:sectPr>
      </w:pPr>
      <w:r>
        <w:rPr>
          <w:b/>
          <w:sz w:val="20"/>
          <w:szCs w:val="16"/>
        </w:rPr>
        <w:br w:type="page"/>
      </w:r>
    </w:p>
    <w:p w:rsidR="00327BE6" w:rsidRPr="00327BE6" w:rsidRDefault="00327BE6" w:rsidP="00327BE6">
      <w:pPr>
        <w:rPr>
          <w:b/>
          <w:sz w:val="20"/>
          <w:szCs w:val="16"/>
        </w:rPr>
      </w:pPr>
      <w:r w:rsidRPr="00327BE6">
        <w:rPr>
          <w:b/>
          <w:sz w:val="20"/>
          <w:szCs w:val="16"/>
        </w:rPr>
        <w:lastRenderedPageBreak/>
        <w:t>Valuation</w:t>
      </w:r>
    </w:p>
    <w:p w:rsidR="00327BE6" w:rsidRDefault="00327BE6" w:rsidP="00327BE6">
      <w:pPr>
        <w:rPr>
          <w:sz w:val="16"/>
          <w:szCs w:val="16"/>
        </w:rPr>
      </w:pPr>
      <w:r>
        <w:t xml:space="preserve"> </w:t>
      </w:r>
      <w:r>
        <w:rPr>
          <w:sz w:val="16"/>
          <w:szCs w:val="16"/>
        </w:rPr>
        <w:t>The $107.34 price target is based on 27.6x F2018E EPS and 13.5x F2018E EBITDA.</w:t>
      </w:r>
    </w:p>
    <w:tbl>
      <w:tblPr>
        <w:tblW w:w="6161" w:type="dxa"/>
        <w:tblLook w:val="04A0" w:firstRow="1" w:lastRow="0" w:firstColumn="1" w:lastColumn="0" w:noHBand="0" w:noVBand="1"/>
      </w:tblPr>
      <w:tblGrid>
        <w:gridCol w:w="689"/>
        <w:gridCol w:w="616"/>
        <w:gridCol w:w="1336"/>
        <w:gridCol w:w="880"/>
        <w:gridCol w:w="880"/>
        <w:gridCol w:w="880"/>
        <w:gridCol w:w="880"/>
      </w:tblGrid>
      <w:tr w:rsidR="00327BE6" w:rsidRPr="00C75509" w:rsidTr="00CA1896">
        <w:trPr>
          <w:trHeight w:val="222"/>
        </w:trPr>
        <w:tc>
          <w:tcPr>
            <w:tcW w:w="2641" w:type="dxa"/>
            <w:gridSpan w:val="3"/>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P/E Based Sensitivity Table</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4856" w:type="dxa"/>
            <w:gridSpan w:val="5"/>
            <w:tcBorders>
              <w:top w:val="single" w:sz="4" w:space="0" w:color="auto"/>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r w:rsidRPr="00C75509">
              <w:rPr>
                <w:rFonts w:eastAsia="Times New Roman" w:cstheme="minorHAnsi"/>
                <w:b/>
                <w:bCs/>
                <w:sz w:val="16"/>
                <w:szCs w:val="16"/>
              </w:rPr>
              <w:t>Terminal Year EBITDA Multiple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13.5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14.5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15.5 x</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4.9%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107.9</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124.1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132.2</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5.9%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111.6</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119.3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127.1</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WACC</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6.9%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92.4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color w:val="FF0000"/>
                <w:sz w:val="16"/>
                <w:szCs w:val="16"/>
              </w:rPr>
              <w:t>107.3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114.8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122.3</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7.9%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88.9</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96.1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110.5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117.7</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8.9%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85.5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92.5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113.4</w:t>
            </w:r>
          </w:p>
        </w:tc>
      </w:tr>
      <w:tr w:rsidR="00327BE6" w:rsidRPr="00C75509" w:rsidTr="00CA1896">
        <w:trPr>
          <w:trHeight w:val="222"/>
        </w:trPr>
        <w:tc>
          <w:tcPr>
            <w:tcW w:w="689"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61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133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r>
      <w:tr w:rsidR="00327BE6" w:rsidRPr="00C75509" w:rsidTr="00CA1896">
        <w:trPr>
          <w:trHeight w:val="222"/>
        </w:trPr>
        <w:tc>
          <w:tcPr>
            <w:tcW w:w="6161" w:type="dxa"/>
            <w:gridSpan w:val="7"/>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EV Based Sensitivity Table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4856" w:type="dxa"/>
            <w:gridSpan w:val="5"/>
            <w:tcBorders>
              <w:top w:val="single" w:sz="4" w:space="0" w:color="auto"/>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r w:rsidRPr="00C75509">
              <w:rPr>
                <w:rFonts w:eastAsia="Times New Roman" w:cstheme="minorHAnsi"/>
                <w:b/>
                <w:bCs/>
                <w:sz w:val="16"/>
                <w:szCs w:val="16"/>
              </w:rPr>
              <w:t>P/E Multiple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25.6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26.6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27.6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28.6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29.6 x</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$3.80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97.0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100.8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104.6</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108.4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112.2</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$3.85</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98.3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102.1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113.7</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EPS</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$3.90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sz w:val="16"/>
                <w:szCs w:val="16"/>
              </w:rPr>
            </w:pPr>
            <w:r w:rsidRPr="00C75509">
              <w:rPr>
                <w:rFonts w:eastAsia="Times New Roman" w:cstheme="minorHAnsi"/>
                <w:b/>
                <w:color w:val="FF0000"/>
                <w:sz w:val="16"/>
                <w:szCs w:val="16"/>
              </w:rPr>
              <w:t>107.3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111.2</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115.1</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$3.95</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100.8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104.8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108.7</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112.7</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116.6</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$4.00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102.1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110.1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114.1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118.1</w:t>
            </w:r>
          </w:p>
        </w:tc>
      </w:tr>
      <w:tr w:rsidR="00327BE6" w:rsidRPr="00C75509" w:rsidTr="00CA1896">
        <w:trPr>
          <w:trHeight w:val="222"/>
        </w:trPr>
        <w:tc>
          <w:tcPr>
            <w:tcW w:w="689"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61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133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bl>
    <w:p w:rsidR="00327BE6" w:rsidRDefault="00327BE6" w:rsidP="00C2312F">
      <w:pPr>
        <w:rPr>
          <w:rFonts w:cstheme="minorHAnsi"/>
          <w:b/>
          <w:sz w:val="20"/>
          <w:szCs w:val="16"/>
        </w:rPr>
      </w:pPr>
    </w:p>
    <w:p w:rsidR="00C2312F" w:rsidRPr="003A1592" w:rsidRDefault="00C2312F" w:rsidP="00C2312F">
      <w:pPr>
        <w:rPr>
          <w:rFonts w:cstheme="minorHAnsi"/>
          <w:b/>
          <w:sz w:val="20"/>
          <w:szCs w:val="16"/>
        </w:rPr>
      </w:pPr>
      <w:r w:rsidRPr="003A1592">
        <w:rPr>
          <w:rFonts w:cstheme="minorHAnsi"/>
          <w:b/>
          <w:sz w:val="20"/>
          <w:szCs w:val="16"/>
        </w:rPr>
        <w:t>Market Overview</w:t>
      </w:r>
    </w:p>
    <w:p w:rsidR="00C2312F" w:rsidRPr="006B4BBE" w:rsidRDefault="00C2312F" w:rsidP="00C2312F">
      <w:pPr>
        <w:rPr>
          <w:rFonts w:cstheme="minorHAnsi"/>
          <w:sz w:val="16"/>
          <w:szCs w:val="16"/>
        </w:rPr>
      </w:pPr>
      <w:r w:rsidRPr="006B4BBE">
        <w:rPr>
          <w:rFonts w:cstheme="minorHAnsi"/>
          <w:sz w:val="16"/>
          <w:szCs w:val="16"/>
        </w:rPr>
        <w:t>The Dollar and Variety Stores industry in Canada is currently in the growth phase of its life cycle. As one of the fastest growing industries in the retail store, the industry revenue is anticipated to grow at an annualized rate of 2.0% to 5.5 billion over the five years to 2012, according to IBISWorld. As the economic recession and volatility resulted in contracting incomes, an increasing number of consumers restored to spending their dollars more carefully. Therefore, shopping at dollar stores that offer smaller quantities items sold at lower prices became a viable option.</w:t>
      </w:r>
    </w:p>
    <w:p w:rsidR="00C2312F" w:rsidRPr="006B4BBE" w:rsidRDefault="00C2312F" w:rsidP="00C2312F">
      <w:pPr>
        <w:rPr>
          <w:rFonts w:cstheme="minorHAnsi"/>
          <w:sz w:val="16"/>
          <w:szCs w:val="16"/>
        </w:rPr>
      </w:pPr>
      <w:r w:rsidRPr="006B4BBE">
        <w:rPr>
          <w:rFonts w:cstheme="minorHAnsi"/>
          <w:sz w:val="16"/>
          <w:szCs w:val="16"/>
        </w:rPr>
        <w:t>Due to improving economic conditions, the disposable income level and consumer sentiment are expected to return to its pre-recessionary level. Therefore, the next five years to 2021 are likely to be challenging for operators in the industry to hold on to the customers they acquired during the recession. However, there is still a growth opportunity in the Canadian dollar store market. As at January 31, 2016, there were approximately 24,000 people per dollar store in the Canadian dollar store market, compared to 12,000 people per dollar store in the US market</w:t>
      </w:r>
      <w:r w:rsidRPr="006B4BBE">
        <w:rPr>
          <w:rStyle w:val="FootnoteReference"/>
          <w:rFonts w:cstheme="minorHAnsi"/>
          <w:sz w:val="16"/>
          <w:szCs w:val="16"/>
        </w:rPr>
        <w:footnoteReference w:id="1"/>
      </w:r>
      <w:r w:rsidRPr="006B4BBE">
        <w:rPr>
          <w:rFonts w:cstheme="minorHAnsi"/>
          <w:sz w:val="16"/>
          <w:szCs w:val="16"/>
        </w:rPr>
        <w:t xml:space="preserve">. The review of dollar stores’ penetration rates support the confidence that there are untapped market shares in Canada. </w:t>
      </w:r>
    </w:p>
    <w:p w:rsidR="00C2312F" w:rsidRPr="006B4BBE" w:rsidRDefault="00C2312F" w:rsidP="00C2312F">
      <w:pPr>
        <w:rPr>
          <w:rFonts w:cstheme="minorHAnsi"/>
          <w:sz w:val="16"/>
          <w:szCs w:val="16"/>
        </w:rPr>
      </w:pPr>
    </w:p>
    <w:p w:rsidR="00E5593A" w:rsidRPr="003A1592" w:rsidRDefault="00C2312F">
      <w:pPr>
        <w:rPr>
          <w:b/>
          <w:sz w:val="20"/>
          <w:szCs w:val="16"/>
        </w:rPr>
      </w:pPr>
      <w:r w:rsidRPr="003A1592">
        <w:rPr>
          <w:b/>
          <w:sz w:val="20"/>
          <w:szCs w:val="16"/>
        </w:rPr>
        <w:t>Company Description</w:t>
      </w:r>
    </w:p>
    <w:p w:rsidR="002B78AB" w:rsidRPr="006B4BBE" w:rsidRDefault="002B78AB">
      <w:pPr>
        <w:rPr>
          <w:sz w:val="16"/>
          <w:szCs w:val="16"/>
          <w:u w:val="single"/>
        </w:rPr>
      </w:pPr>
      <w:r w:rsidRPr="006B4BBE">
        <w:rPr>
          <w:sz w:val="16"/>
          <w:szCs w:val="16"/>
          <w:u w:val="single"/>
        </w:rPr>
        <w:t>History</w:t>
      </w:r>
    </w:p>
    <w:p w:rsidR="00C17F64" w:rsidRPr="006B4BBE" w:rsidRDefault="00C17F64">
      <w:pPr>
        <w:rPr>
          <w:sz w:val="16"/>
          <w:szCs w:val="16"/>
        </w:rPr>
      </w:pPr>
      <w:r w:rsidRPr="006B4BBE">
        <w:rPr>
          <w:sz w:val="16"/>
          <w:szCs w:val="16"/>
        </w:rPr>
        <w:t xml:space="preserve">Dollarama Inc. was founded by Larry </w:t>
      </w:r>
      <w:proofErr w:type="spellStart"/>
      <w:r w:rsidRPr="006B4BBE">
        <w:rPr>
          <w:sz w:val="16"/>
          <w:szCs w:val="16"/>
        </w:rPr>
        <w:t>Rossy</w:t>
      </w:r>
      <w:proofErr w:type="spellEnd"/>
      <w:r w:rsidRPr="006B4BBE">
        <w:rPr>
          <w:sz w:val="16"/>
          <w:szCs w:val="16"/>
        </w:rPr>
        <w:t xml:space="preserve"> in 1992 and </w:t>
      </w:r>
      <w:r w:rsidR="00101E0C" w:rsidRPr="006B4BBE">
        <w:rPr>
          <w:sz w:val="16"/>
          <w:szCs w:val="16"/>
        </w:rPr>
        <w:t xml:space="preserve">is </w:t>
      </w:r>
      <w:r w:rsidRPr="006B4BBE">
        <w:rPr>
          <w:sz w:val="16"/>
          <w:szCs w:val="16"/>
        </w:rPr>
        <w:t xml:space="preserve">headquartered in Montreal, Quebec. In October 2009, Dollarama completes its initial public offering and its shares start trading on the Toronto Stock Exchange under the ticker “DOL”. </w:t>
      </w:r>
    </w:p>
    <w:p w:rsidR="00101E0C" w:rsidRPr="006B4BBE" w:rsidRDefault="006C767D">
      <w:pPr>
        <w:rPr>
          <w:rFonts w:cstheme="minorHAnsi"/>
          <w:sz w:val="16"/>
          <w:szCs w:val="16"/>
        </w:rPr>
      </w:pPr>
      <w:r w:rsidRPr="006B4BBE">
        <w:rPr>
          <w:sz w:val="16"/>
          <w:szCs w:val="16"/>
        </w:rPr>
        <w:t xml:space="preserve">Today Dollarama is the </w:t>
      </w:r>
      <w:r w:rsidR="00101E0C" w:rsidRPr="006B4BBE">
        <w:rPr>
          <w:rFonts w:cstheme="minorHAnsi"/>
          <w:sz w:val="16"/>
          <w:szCs w:val="16"/>
        </w:rPr>
        <w:t>is the largest chain of dollar stores in Canada with 1,069 s</w:t>
      </w:r>
      <w:r w:rsidR="00251A03" w:rsidRPr="006B4BBE">
        <w:rPr>
          <w:rFonts w:cstheme="minorHAnsi"/>
          <w:sz w:val="16"/>
          <w:szCs w:val="16"/>
        </w:rPr>
        <w:t>tores as at October 30</w:t>
      </w:r>
      <w:r w:rsidR="00912CB5" w:rsidRPr="006B4BBE">
        <w:rPr>
          <w:rFonts w:cstheme="minorHAnsi"/>
          <w:sz w:val="16"/>
          <w:szCs w:val="16"/>
        </w:rPr>
        <w:t>, 2</w:t>
      </w:r>
      <w:r w:rsidR="00101E0C" w:rsidRPr="006B4BBE">
        <w:rPr>
          <w:rFonts w:cstheme="minorHAnsi"/>
          <w:sz w:val="16"/>
          <w:szCs w:val="16"/>
        </w:rPr>
        <w:t xml:space="preserve">016. </w:t>
      </w:r>
      <w:r w:rsidRPr="006B4BBE">
        <w:rPr>
          <w:rFonts w:cstheme="minorHAnsi"/>
          <w:sz w:val="16"/>
          <w:szCs w:val="16"/>
        </w:rPr>
        <w:t xml:space="preserve">The </w:t>
      </w:r>
      <w:r w:rsidR="00101E0C" w:rsidRPr="006B4BBE">
        <w:rPr>
          <w:rFonts w:cstheme="minorHAnsi"/>
          <w:sz w:val="16"/>
          <w:szCs w:val="16"/>
        </w:rPr>
        <w:t xml:space="preserve">company has more stores than its five largest competitors combined. </w:t>
      </w:r>
      <w:r w:rsidRPr="006B4BBE">
        <w:rPr>
          <w:rFonts w:cstheme="minorHAnsi"/>
          <w:sz w:val="16"/>
          <w:szCs w:val="16"/>
        </w:rPr>
        <w:t>Its core markets are in Ontario and Quebec, and has a similar presence to its com</w:t>
      </w:r>
      <w:r w:rsidR="007B33DB" w:rsidRPr="006B4BBE">
        <w:rPr>
          <w:rFonts w:cstheme="minorHAnsi"/>
          <w:sz w:val="16"/>
          <w:szCs w:val="16"/>
        </w:rPr>
        <w:t xml:space="preserve">petitors in other provinces. </w:t>
      </w:r>
      <w:r w:rsidR="00F675B0" w:rsidRPr="006B4BBE">
        <w:rPr>
          <w:rFonts w:cstheme="minorHAnsi"/>
          <w:sz w:val="16"/>
          <w:szCs w:val="16"/>
        </w:rPr>
        <w:t>Dollarama is expecting to co</w:t>
      </w:r>
      <w:r w:rsidR="00B84A18" w:rsidRPr="006B4BBE">
        <w:rPr>
          <w:rFonts w:cstheme="minorHAnsi"/>
          <w:sz w:val="16"/>
          <w:szCs w:val="16"/>
        </w:rPr>
        <w:t xml:space="preserve">ntinue increasing its footprint across </w:t>
      </w:r>
      <w:r w:rsidR="007B33DB" w:rsidRPr="006B4BBE">
        <w:rPr>
          <w:rFonts w:cstheme="minorHAnsi"/>
          <w:sz w:val="16"/>
          <w:szCs w:val="16"/>
        </w:rPr>
        <w:t xml:space="preserve">Canada. </w:t>
      </w:r>
    </w:p>
    <w:p w:rsidR="00FE1BF6" w:rsidRPr="006B4BBE" w:rsidRDefault="00FE1BF6">
      <w:pPr>
        <w:rPr>
          <w:rFonts w:cstheme="minorHAnsi"/>
          <w:sz w:val="16"/>
          <w:szCs w:val="16"/>
        </w:rPr>
      </w:pPr>
      <w:r w:rsidRPr="006B4BBE">
        <w:rPr>
          <w:rFonts w:cstheme="minorHAnsi"/>
          <w:sz w:val="16"/>
          <w:szCs w:val="16"/>
        </w:rPr>
        <w:t xml:space="preserve">The company is operated under a nonfranchise business model which all stores are corporate-owned and operated. Each store offers a broad spectrum of consumer products, general merchandise and seasonal items that are sold at fixed price points up to $4.00. </w:t>
      </w:r>
      <w:r w:rsidR="00685860" w:rsidRPr="006B4BBE">
        <w:rPr>
          <w:rFonts w:cstheme="minorHAnsi"/>
          <w:sz w:val="16"/>
          <w:szCs w:val="16"/>
        </w:rPr>
        <w:t xml:space="preserve">Adoption of </w:t>
      </w:r>
      <w:r w:rsidR="00F17014" w:rsidRPr="006B4BBE">
        <w:rPr>
          <w:rFonts w:cstheme="minorHAnsi"/>
          <w:sz w:val="16"/>
          <w:szCs w:val="16"/>
        </w:rPr>
        <w:t xml:space="preserve">the </w:t>
      </w:r>
      <w:r w:rsidR="003D6E92">
        <w:rPr>
          <w:rFonts w:cstheme="minorHAnsi"/>
          <w:sz w:val="16"/>
          <w:szCs w:val="16"/>
        </w:rPr>
        <w:t xml:space="preserve">multi-price </w:t>
      </w:r>
      <w:r w:rsidR="00F17014" w:rsidRPr="006B4BBE">
        <w:rPr>
          <w:rFonts w:cstheme="minorHAnsi"/>
          <w:sz w:val="16"/>
          <w:szCs w:val="16"/>
        </w:rPr>
        <w:t xml:space="preserve">point strategy </w:t>
      </w:r>
      <w:r w:rsidR="00685860" w:rsidRPr="006B4BBE">
        <w:rPr>
          <w:rFonts w:cstheme="minorHAnsi"/>
          <w:sz w:val="16"/>
          <w:szCs w:val="16"/>
        </w:rPr>
        <w:t xml:space="preserve">enable Dollarama to tap into a broader market segment. </w:t>
      </w:r>
    </w:p>
    <w:p w:rsidR="002B78AB" w:rsidRPr="00AD17AD" w:rsidRDefault="002B78AB">
      <w:pPr>
        <w:rPr>
          <w:rFonts w:cstheme="minorHAnsi"/>
          <w:sz w:val="16"/>
          <w:szCs w:val="16"/>
          <w:u w:val="single"/>
        </w:rPr>
      </w:pPr>
      <w:r w:rsidRPr="00AD17AD">
        <w:rPr>
          <w:rFonts w:cstheme="minorHAnsi"/>
          <w:sz w:val="16"/>
          <w:szCs w:val="16"/>
          <w:u w:val="single"/>
        </w:rPr>
        <w:t>Ownership &amp; Corporate Structure</w:t>
      </w:r>
    </w:p>
    <w:p w:rsidR="009B693C" w:rsidRPr="006B4BBE" w:rsidRDefault="00442250">
      <w:pPr>
        <w:rPr>
          <w:rFonts w:cstheme="minorHAnsi"/>
          <w:sz w:val="16"/>
          <w:szCs w:val="16"/>
        </w:rPr>
      </w:pPr>
      <w:r>
        <w:rPr>
          <w:rFonts w:cstheme="minorHAnsi"/>
          <w:noProof/>
          <w:sz w:val="16"/>
          <w:szCs w:val="16"/>
        </w:rPr>
        <w:lastRenderedPageBreak/>
        <w:drawing>
          <wp:anchor distT="0" distB="0" distL="114300" distR="114300" simplePos="0" relativeHeight="251658240" behindDoc="1" locked="0" layoutInCell="1" allowOverlap="1">
            <wp:simplePos x="0" y="0"/>
            <wp:positionH relativeFrom="column">
              <wp:posOffset>1866900</wp:posOffset>
            </wp:positionH>
            <wp:positionV relativeFrom="paragraph">
              <wp:posOffset>30480</wp:posOffset>
            </wp:positionV>
            <wp:extent cx="3108960" cy="1485900"/>
            <wp:effectExtent l="0" t="0" r="1524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2B78AB" w:rsidRPr="006B4BBE">
        <w:rPr>
          <w:rFonts w:cstheme="minorHAnsi"/>
          <w:sz w:val="16"/>
          <w:szCs w:val="16"/>
        </w:rPr>
        <w:t>Dollarama, Inc., a Canada incorporated public company, owns two material subsidiari</w:t>
      </w:r>
      <w:r w:rsidR="001A040C">
        <w:rPr>
          <w:rFonts w:cstheme="minorHAnsi"/>
          <w:sz w:val="16"/>
          <w:szCs w:val="16"/>
        </w:rPr>
        <w:t>es as shown below</w:t>
      </w:r>
      <w:r w:rsidR="002B78AB" w:rsidRPr="006B4BBE">
        <w:rPr>
          <w:rFonts w:cstheme="minorHAnsi"/>
          <w:sz w:val="16"/>
          <w:szCs w:val="16"/>
        </w:rPr>
        <w:t xml:space="preserve">. </w:t>
      </w:r>
      <w:r w:rsidR="00BA375A" w:rsidRPr="006B4BBE">
        <w:rPr>
          <w:rFonts w:cstheme="minorHAnsi"/>
          <w:sz w:val="16"/>
          <w:szCs w:val="16"/>
        </w:rPr>
        <w:t xml:space="preserve">operates the Dollarama business while Dollarama International Inc. exports and sells products to Dollar City, a Central American dollar store chain. </w:t>
      </w:r>
    </w:p>
    <w:p w:rsidR="006B4BBE" w:rsidRPr="006B4BBE" w:rsidRDefault="006B4BBE" w:rsidP="00442250">
      <w:pPr>
        <w:jc w:val="center"/>
        <w:rPr>
          <w:rFonts w:cstheme="minorHAnsi"/>
          <w:sz w:val="16"/>
          <w:szCs w:val="16"/>
        </w:rPr>
      </w:pPr>
    </w:p>
    <w:p w:rsidR="005B6931" w:rsidRPr="006B4BBE" w:rsidRDefault="005B6931" w:rsidP="00CD318D">
      <w:pPr>
        <w:jc w:val="center"/>
        <w:rPr>
          <w:rFonts w:cstheme="minorHAnsi"/>
          <w:sz w:val="16"/>
          <w:szCs w:val="16"/>
        </w:rPr>
      </w:pPr>
    </w:p>
    <w:p w:rsidR="008A6D36" w:rsidRDefault="008A6D36">
      <w:pPr>
        <w:rPr>
          <w:rFonts w:cstheme="minorHAnsi"/>
          <w:sz w:val="16"/>
          <w:szCs w:val="16"/>
        </w:rPr>
      </w:pPr>
    </w:p>
    <w:p w:rsidR="008A6D36" w:rsidRDefault="008A6D36">
      <w:pPr>
        <w:rPr>
          <w:sz w:val="16"/>
          <w:szCs w:val="16"/>
          <w:u w:val="single"/>
        </w:rPr>
      </w:pPr>
    </w:p>
    <w:p w:rsidR="009703B1" w:rsidRPr="00BA6C0B" w:rsidRDefault="00BE32EA">
      <w:pPr>
        <w:rPr>
          <w:sz w:val="16"/>
          <w:szCs w:val="16"/>
          <w:u w:val="single"/>
        </w:rPr>
      </w:pPr>
      <w:r w:rsidRPr="00BA6C0B">
        <w:rPr>
          <w:sz w:val="16"/>
          <w:szCs w:val="16"/>
          <w:u w:val="single"/>
        </w:rPr>
        <w:t>Products and Pricing</w:t>
      </w:r>
    </w:p>
    <w:p w:rsidR="00F702EE" w:rsidRDefault="00393342">
      <w:pPr>
        <w:rPr>
          <w:sz w:val="16"/>
          <w:szCs w:val="16"/>
        </w:rPr>
      </w:pPr>
      <w:r>
        <w:rPr>
          <w:sz w:val="16"/>
          <w:szCs w:val="16"/>
        </w:rPr>
        <w:t>Dollarama offers</w:t>
      </w:r>
      <w:r w:rsidR="0029748F">
        <w:rPr>
          <w:sz w:val="16"/>
          <w:szCs w:val="16"/>
        </w:rPr>
        <w:t xml:space="preserve"> </w:t>
      </w:r>
      <w:r w:rsidR="003D6E92">
        <w:rPr>
          <w:sz w:val="16"/>
          <w:szCs w:val="16"/>
        </w:rPr>
        <w:t xml:space="preserve">a mix of </w:t>
      </w:r>
      <w:r w:rsidR="0029748F">
        <w:rPr>
          <w:sz w:val="16"/>
          <w:szCs w:val="16"/>
        </w:rPr>
        <w:t xml:space="preserve">national-label and private-label everyday consumer products, general merchandise and seasonal items. </w:t>
      </w:r>
      <w:r w:rsidR="00C070DE">
        <w:rPr>
          <w:sz w:val="16"/>
          <w:szCs w:val="16"/>
        </w:rPr>
        <w:t xml:space="preserve">Unlike other dollar stores who offer somewhat more of a treasure hunt of items, Dollarama aims to provide consistently available everyday products, seeking to </w:t>
      </w:r>
      <w:r w:rsidR="002675B0">
        <w:rPr>
          <w:sz w:val="16"/>
          <w:szCs w:val="16"/>
        </w:rPr>
        <w:t xml:space="preserve">drive more returned visits and acquire more new customers. </w:t>
      </w:r>
    </w:p>
    <w:p w:rsidR="00BE32EA" w:rsidRDefault="00B271B2" w:rsidP="008922CF">
      <w:pPr>
        <w:jc w:val="center"/>
        <w:rPr>
          <w:sz w:val="16"/>
          <w:szCs w:val="16"/>
        </w:rPr>
      </w:pPr>
      <w:r>
        <w:rPr>
          <w:rFonts w:hint="eastAsia"/>
          <w:noProof/>
          <w:sz w:val="16"/>
          <w:szCs w:val="16"/>
        </w:rPr>
        <w:drawing>
          <wp:inline distT="0" distB="0" distL="0" distR="0">
            <wp:extent cx="4000500" cy="18288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6E92" w:rsidRDefault="003D6E92" w:rsidP="003D6E92">
      <w:pPr>
        <w:rPr>
          <w:sz w:val="16"/>
          <w:szCs w:val="16"/>
        </w:rPr>
      </w:pPr>
      <w:r>
        <w:rPr>
          <w:sz w:val="16"/>
          <w:szCs w:val="16"/>
        </w:rPr>
        <w:t>Dollarama adopts a multi-price p</w:t>
      </w:r>
      <w:r w:rsidR="003775D4">
        <w:rPr>
          <w:sz w:val="16"/>
          <w:szCs w:val="16"/>
        </w:rPr>
        <w:t>oint strategy, offering products sold at fixed price points ranging from $0.77 to $4.00.</w:t>
      </w:r>
      <w:r w:rsidR="00FF0DC9">
        <w:rPr>
          <w:sz w:val="16"/>
          <w:szCs w:val="16"/>
        </w:rPr>
        <w:t xml:space="preserve"> The proportion of products priced above $1.00 has been increasing over recent years. Sel</w:t>
      </w:r>
      <w:r w:rsidR="00E13F81">
        <w:rPr>
          <w:sz w:val="16"/>
          <w:szCs w:val="16"/>
        </w:rPr>
        <w:t>ling items over $1.00 helps</w:t>
      </w:r>
      <w:r w:rsidR="00FF0DC9">
        <w:rPr>
          <w:sz w:val="16"/>
          <w:szCs w:val="16"/>
        </w:rPr>
        <w:t xml:space="preserve"> Dollarama boost revenue and improve profit margins. </w:t>
      </w:r>
      <w:r w:rsidR="00A15E08">
        <w:rPr>
          <w:sz w:val="16"/>
          <w:szCs w:val="16"/>
        </w:rPr>
        <w:t xml:space="preserve"> </w:t>
      </w:r>
    </w:p>
    <w:p w:rsidR="00E43D09" w:rsidRDefault="00103AA7" w:rsidP="00E43D09">
      <w:pPr>
        <w:jc w:val="center"/>
        <w:rPr>
          <w:sz w:val="16"/>
          <w:szCs w:val="16"/>
        </w:rPr>
      </w:pPr>
      <w:r>
        <w:rPr>
          <w:noProof/>
        </w:rPr>
        <mc:AlternateContent>
          <mc:Choice Requires="wps">
            <w:drawing>
              <wp:anchor distT="0" distB="0" distL="114300" distR="114300" simplePos="0" relativeHeight="251659264" behindDoc="0" locked="0" layoutInCell="1" allowOverlap="1">
                <wp:simplePos x="0" y="0"/>
                <wp:positionH relativeFrom="column">
                  <wp:posOffset>1323975</wp:posOffset>
                </wp:positionH>
                <wp:positionV relativeFrom="paragraph">
                  <wp:posOffset>1694815</wp:posOffset>
                </wp:positionV>
                <wp:extent cx="2200275"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00275" cy="247650"/>
                        </a:xfrm>
                        <a:prstGeom prst="rect">
                          <a:avLst/>
                        </a:prstGeom>
                        <a:noFill/>
                        <a:ln w="6350">
                          <a:noFill/>
                        </a:ln>
                      </wps:spPr>
                      <wps:txbx>
                        <w:txbxContent>
                          <w:p w:rsidR="00646AC4" w:rsidRPr="00103AA7" w:rsidRDefault="00646AC4">
                            <w:pPr>
                              <w:rPr>
                                <w:sz w:val="16"/>
                              </w:rPr>
                            </w:pPr>
                            <w:r>
                              <w:rPr>
                                <w:sz w:val="16"/>
                              </w:rPr>
                              <w:t>Source: Company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4.25pt;margin-top:133.45pt;width:173.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" filled="f" stroked="f" strokeweight=".5pt">
                <v:textbox>
                  <w:txbxContent>
                    <w:p w:rsidR="00646AC4" w:rsidRPr="00103AA7" w:rsidRDefault="00646AC4">
                      <w:pPr>
                        <w:rPr>
                          <w:sz w:val="16"/>
                        </w:rPr>
                      </w:pPr>
                      <w:r>
                        <w:rPr>
                          <w:sz w:val="16"/>
                        </w:rPr>
                        <w:t>Source: Company reports</w:t>
                      </w:r>
                    </w:p>
                  </w:txbxContent>
                </v:textbox>
              </v:shape>
            </w:pict>
          </mc:Fallback>
        </mc:AlternateContent>
      </w:r>
      <w:r>
        <w:rPr>
          <w:noProof/>
        </w:rPr>
        <w:drawing>
          <wp:inline distT="0" distB="0" distL="0" distR="0" wp14:anchorId="10329241" wp14:editId="40E6A543">
            <wp:extent cx="4005072" cy="1920240"/>
            <wp:effectExtent l="0" t="0" r="14605" b="3810"/>
            <wp:docPr id="1" name="Chart 1">
              <a:extLst xmlns:a="http://schemas.openxmlformats.org/drawingml/2006/main">
                <a:ext uri="{FF2B5EF4-FFF2-40B4-BE49-F238E27FC236}">
                  <a16:creationId xmlns:a16="http://schemas.microsoft.com/office/drawing/2014/main" id="{AA8638C9-104D-4B82-AFC1-C2B69C383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6D36" w:rsidRPr="00C42DED" w:rsidRDefault="008A6D36" w:rsidP="008A6D36">
      <w:pPr>
        <w:rPr>
          <w:sz w:val="16"/>
          <w:szCs w:val="16"/>
          <w:u w:val="single"/>
        </w:rPr>
      </w:pPr>
      <w:r w:rsidRPr="00C42DED">
        <w:rPr>
          <w:sz w:val="16"/>
          <w:szCs w:val="16"/>
          <w:u w:val="single"/>
        </w:rPr>
        <w:t>Stores</w:t>
      </w:r>
      <w:r w:rsidR="007F395B">
        <w:rPr>
          <w:sz w:val="16"/>
          <w:szCs w:val="16"/>
          <w:u w:val="single"/>
        </w:rPr>
        <w:t xml:space="preserve"> and Warehouses</w:t>
      </w:r>
    </w:p>
    <w:p w:rsidR="00C42DED" w:rsidRDefault="008A6D36" w:rsidP="00E91EBA">
      <w:pPr>
        <w:rPr>
          <w:sz w:val="16"/>
          <w:szCs w:val="16"/>
        </w:rPr>
      </w:pPr>
      <w:r>
        <w:rPr>
          <w:sz w:val="16"/>
          <w:szCs w:val="16"/>
        </w:rPr>
        <w:t>As at October 31, 2016, Dollarama operated 1,069 stores in all Canadian provinces. Over 69.0% of total stores is</w:t>
      </w:r>
      <w:r w:rsidR="00583332">
        <w:rPr>
          <w:sz w:val="16"/>
          <w:szCs w:val="16"/>
        </w:rPr>
        <w:t xml:space="preserve"> located in Ontario and Quebec. Management of the company is expecting to continue to deploy expansion strategy and reiterates the 1,400-store mark in the annual report of FY2016. The average store size has increased from 5,272 square feet in 1998 to $9,942 square feet in 2016. </w:t>
      </w:r>
      <w:r w:rsidR="00B0466E">
        <w:rPr>
          <w:sz w:val="16"/>
          <w:szCs w:val="16"/>
        </w:rPr>
        <w:t>Opening new stores and expanding store size assisted Dollarama in driving customer loyalty and trip frequency, while further requirement of capital expenditure would dampen profit margins and the impact of cannibalization is expected to increase. (Pleasure consult Investment Risks for further details)</w:t>
      </w:r>
      <w:r w:rsidR="00D865A9">
        <w:rPr>
          <w:sz w:val="16"/>
          <w:szCs w:val="16"/>
        </w:rPr>
        <w:t>.</w:t>
      </w:r>
    </w:p>
    <w:p w:rsidR="007F395B" w:rsidRDefault="00877A0A" w:rsidP="00E91EBA">
      <w:pPr>
        <w:rPr>
          <w:sz w:val="16"/>
          <w:szCs w:val="16"/>
        </w:rPr>
      </w:pPr>
      <w:r>
        <w:rPr>
          <w:sz w:val="16"/>
          <w:szCs w:val="16"/>
        </w:rPr>
        <w:t>Dollarama primary uses warehouses to store goods directly imported from overseas. The company</w:t>
      </w:r>
      <w:r w:rsidR="005D2D92">
        <w:rPr>
          <w:sz w:val="16"/>
          <w:szCs w:val="16"/>
        </w:rPr>
        <w:t xml:space="preserve"> recently</w:t>
      </w:r>
      <w:r w:rsidR="007F395B">
        <w:rPr>
          <w:sz w:val="16"/>
          <w:szCs w:val="16"/>
        </w:rPr>
        <w:t xml:space="preserve"> invests in a new warehouse of 500,000 square feet in Montreal, Quebec. It is expected to be available for use before the end of FY2017. The new facility will accommodate the warehousing requirements as Dollarama contin</w:t>
      </w:r>
      <w:r w:rsidR="005B3588">
        <w:rPr>
          <w:sz w:val="16"/>
          <w:szCs w:val="16"/>
        </w:rPr>
        <w:t>ues to expand its store network</w:t>
      </w:r>
      <w:r w:rsidR="006730C0">
        <w:rPr>
          <w:rFonts w:hint="eastAsia"/>
          <w:sz w:val="16"/>
          <w:szCs w:val="16"/>
        </w:rPr>
        <w:t xml:space="preserve">, </w:t>
      </w:r>
      <w:r w:rsidR="006730C0">
        <w:rPr>
          <w:sz w:val="16"/>
          <w:szCs w:val="16"/>
        </w:rPr>
        <w:t xml:space="preserve">but </w:t>
      </w:r>
      <w:r w:rsidR="006730C0">
        <w:rPr>
          <w:rFonts w:hint="eastAsia"/>
          <w:sz w:val="16"/>
          <w:szCs w:val="16"/>
        </w:rPr>
        <w:t>a</w:t>
      </w:r>
      <w:r w:rsidR="006730C0">
        <w:rPr>
          <w:sz w:val="16"/>
          <w:szCs w:val="16"/>
        </w:rPr>
        <w:t xml:space="preserve"> </w:t>
      </w:r>
      <w:r w:rsidR="006730C0">
        <w:rPr>
          <w:rFonts w:hint="eastAsia"/>
          <w:sz w:val="16"/>
          <w:szCs w:val="16"/>
        </w:rPr>
        <w:t>modest</w:t>
      </w:r>
      <w:r w:rsidR="006730C0">
        <w:rPr>
          <w:sz w:val="16"/>
          <w:szCs w:val="16"/>
        </w:rPr>
        <w:t xml:space="preserve"> </w:t>
      </w:r>
      <w:r w:rsidR="006730C0">
        <w:rPr>
          <w:rFonts w:hint="eastAsia"/>
          <w:sz w:val="16"/>
          <w:szCs w:val="16"/>
        </w:rPr>
        <w:t>negative</w:t>
      </w:r>
      <w:r w:rsidR="006730C0">
        <w:rPr>
          <w:sz w:val="16"/>
          <w:szCs w:val="16"/>
        </w:rPr>
        <w:t xml:space="preserve"> effect on profit m</w:t>
      </w:r>
      <w:r w:rsidR="005B3DE7">
        <w:rPr>
          <w:sz w:val="16"/>
          <w:szCs w:val="16"/>
        </w:rPr>
        <w:t>argins should be expected as</w:t>
      </w:r>
      <w:r w:rsidR="006730C0">
        <w:rPr>
          <w:sz w:val="16"/>
          <w:szCs w:val="16"/>
        </w:rPr>
        <w:t xml:space="preserve"> the investment in new warehouse. </w:t>
      </w:r>
      <w:r w:rsidR="007F395B">
        <w:rPr>
          <w:sz w:val="16"/>
          <w:szCs w:val="16"/>
        </w:rPr>
        <w:t>A</w:t>
      </w:r>
      <w:r>
        <w:rPr>
          <w:sz w:val="16"/>
          <w:szCs w:val="16"/>
        </w:rPr>
        <w:t xml:space="preserve">s of October 2016, </w:t>
      </w:r>
      <w:r w:rsidR="000C7F58">
        <w:rPr>
          <w:sz w:val="16"/>
          <w:szCs w:val="16"/>
        </w:rPr>
        <w:t xml:space="preserve">Dollarama owns one distribution centre which distributes approximately 91% of its products to stores across Canada. </w:t>
      </w:r>
      <w:r w:rsidR="00A63B02">
        <w:rPr>
          <w:sz w:val="16"/>
          <w:szCs w:val="16"/>
        </w:rPr>
        <w:t>The sole locat</w:t>
      </w:r>
      <w:r>
        <w:rPr>
          <w:sz w:val="16"/>
          <w:szCs w:val="16"/>
        </w:rPr>
        <w:t>ion</w:t>
      </w:r>
      <w:r w:rsidR="000C7F58">
        <w:rPr>
          <w:sz w:val="16"/>
          <w:szCs w:val="16"/>
        </w:rPr>
        <w:t xml:space="preserve"> of distribution centre</w:t>
      </w:r>
      <w:r>
        <w:rPr>
          <w:sz w:val="16"/>
          <w:szCs w:val="16"/>
        </w:rPr>
        <w:t xml:space="preserve"> would cause </w:t>
      </w:r>
      <w:r w:rsidR="005676B4">
        <w:rPr>
          <w:sz w:val="16"/>
          <w:szCs w:val="16"/>
        </w:rPr>
        <w:t>higher</w:t>
      </w:r>
      <w:r w:rsidR="00A63B02">
        <w:rPr>
          <w:sz w:val="16"/>
          <w:szCs w:val="16"/>
        </w:rPr>
        <w:t xml:space="preserve"> transportation costs as distributing product</w:t>
      </w:r>
      <w:r w:rsidR="005D2D92">
        <w:rPr>
          <w:sz w:val="16"/>
          <w:szCs w:val="16"/>
        </w:rPr>
        <w:t>s to reg</w:t>
      </w:r>
      <w:r w:rsidR="005676B4">
        <w:rPr>
          <w:sz w:val="16"/>
          <w:szCs w:val="16"/>
        </w:rPr>
        <w:t>ions which are far from Quebec, but management has not men</w:t>
      </w:r>
      <w:r w:rsidR="00B0730E">
        <w:rPr>
          <w:sz w:val="16"/>
          <w:szCs w:val="16"/>
        </w:rPr>
        <w:t xml:space="preserve">tioned any plan to invest in new distribution centres </w:t>
      </w:r>
      <w:r w:rsidR="005676B4">
        <w:rPr>
          <w:sz w:val="16"/>
          <w:szCs w:val="16"/>
        </w:rPr>
        <w:t xml:space="preserve">outside of Quebec. </w:t>
      </w:r>
    </w:p>
    <w:p w:rsidR="007F395B" w:rsidRPr="005438C4" w:rsidRDefault="007F395B" w:rsidP="00E91EBA">
      <w:pPr>
        <w:rPr>
          <w:sz w:val="16"/>
          <w:szCs w:val="16"/>
          <w:u w:val="single"/>
        </w:rPr>
      </w:pPr>
      <w:r w:rsidRPr="005438C4">
        <w:rPr>
          <w:sz w:val="16"/>
          <w:szCs w:val="16"/>
          <w:u w:val="single"/>
        </w:rPr>
        <w:lastRenderedPageBreak/>
        <w:t>Suppliers</w:t>
      </w:r>
    </w:p>
    <w:p w:rsidR="00D35816" w:rsidRDefault="00D35816" w:rsidP="00E91EBA">
      <w:pPr>
        <w:rPr>
          <w:sz w:val="16"/>
          <w:szCs w:val="16"/>
        </w:rPr>
      </w:pPr>
      <w:r>
        <w:rPr>
          <w:sz w:val="16"/>
          <w:szCs w:val="16"/>
        </w:rPr>
        <w:t xml:space="preserve">Dollarama has a </w:t>
      </w:r>
      <w:r w:rsidR="00AD266F">
        <w:rPr>
          <w:sz w:val="16"/>
          <w:szCs w:val="16"/>
        </w:rPr>
        <w:t>well-</w:t>
      </w:r>
      <w:r>
        <w:rPr>
          <w:sz w:val="16"/>
          <w:szCs w:val="16"/>
        </w:rPr>
        <w:t xml:space="preserve">diversified supplier base, </w:t>
      </w:r>
      <w:r w:rsidR="003D5CCF">
        <w:rPr>
          <w:sz w:val="16"/>
          <w:szCs w:val="16"/>
        </w:rPr>
        <w:t>none of them</w:t>
      </w:r>
      <w:r>
        <w:rPr>
          <w:sz w:val="16"/>
          <w:szCs w:val="16"/>
        </w:rPr>
        <w:t xml:space="preserve"> accounts for over 3% of Dollarama’s </w:t>
      </w:r>
      <w:r w:rsidR="00877A0A">
        <w:rPr>
          <w:sz w:val="16"/>
          <w:szCs w:val="16"/>
        </w:rPr>
        <w:t>total purchases.</w:t>
      </w:r>
      <w:r w:rsidR="00AD266F">
        <w:rPr>
          <w:sz w:val="16"/>
          <w:szCs w:val="16"/>
        </w:rPr>
        <w:t xml:space="preserve"> </w:t>
      </w:r>
      <w:r w:rsidR="005B3DE7">
        <w:rPr>
          <w:sz w:val="16"/>
          <w:szCs w:val="16"/>
        </w:rPr>
        <w:t>Approximate 44% of total imported merchandise is sourced from North American suppliers and 56%</w:t>
      </w:r>
      <w:r w:rsidR="0034199C">
        <w:rPr>
          <w:sz w:val="16"/>
          <w:szCs w:val="16"/>
        </w:rPr>
        <w:t xml:space="preserve"> of total imported merchandise</w:t>
      </w:r>
      <w:r w:rsidR="005B3DE7">
        <w:rPr>
          <w:sz w:val="16"/>
          <w:szCs w:val="16"/>
        </w:rPr>
        <w:t xml:space="preserve"> com</w:t>
      </w:r>
      <w:r w:rsidR="0034199C">
        <w:rPr>
          <w:sz w:val="16"/>
          <w:szCs w:val="16"/>
        </w:rPr>
        <w:t xml:space="preserve">es from other 30 countries. Since the </w:t>
      </w:r>
      <w:r w:rsidR="00877A0A">
        <w:rPr>
          <w:sz w:val="16"/>
          <w:szCs w:val="16"/>
        </w:rPr>
        <w:t xml:space="preserve">majority of merchandise is imported from China </w:t>
      </w:r>
      <w:r w:rsidR="0034199C">
        <w:rPr>
          <w:sz w:val="16"/>
          <w:szCs w:val="16"/>
        </w:rPr>
        <w:t>using US dollar, t</w:t>
      </w:r>
      <w:r w:rsidR="00AD266F">
        <w:rPr>
          <w:sz w:val="16"/>
          <w:szCs w:val="16"/>
        </w:rPr>
        <w:t>he company’s cost of sales is affected by fluctuation</w:t>
      </w:r>
      <w:r w:rsidR="003F7D63">
        <w:rPr>
          <w:sz w:val="16"/>
          <w:szCs w:val="16"/>
        </w:rPr>
        <w:t xml:space="preserve"> of foreign currencies against the Canadian dollar. </w:t>
      </w:r>
      <w:r w:rsidR="00D865A9">
        <w:rPr>
          <w:sz w:val="16"/>
          <w:szCs w:val="16"/>
        </w:rPr>
        <w:t>(</w:t>
      </w:r>
      <w:r w:rsidR="003F7D63">
        <w:rPr>
          <w:sz w:val="16"/>
          <w:szCs w:val="16"/>
        </w:rPr>
        <w:t>See Investment Risks for more information</w:t>
      </w:r>
      <w:r w:rsidR="00D865A9">
        <w:rPr>
          <w:sz w:val="16"/>
          <w:szCs w:val="16"/>
        </w:rPr>
        <w:t>)</w:t>
      </w:r>
      <w:r w:rsidR="003F7D63">
        <w:rPr>
          <w:sz w:val="16"/>
          <w:szCs w:val="16"/>
        </w:rPr>
        <w:t xml:space="preserve">. </w:t>
      </w:r>
    </w:p>
    <w:p w:rsidR="00D35816" w:rsidRPr="00DC0006" w:rsidRDefault="00D35816" w:rsidP="00E91EBA">
      <w:pPr>
        <w:rPr>
          <w:sz w:val="16"/>
          <w:szCs w:val="16"/>
          <w:u w:val="single"/>
        </w:rPr>
      </w:pPr>
      <w:r w:rsidRPr="00DC0006">
        <w:rPr>
          <w:sz w:val="16"/>
          <w:szCs w:val="16"/>
          <w:u w:val="single"/>
        </w:rPr>
        <w:t>Competition and Market Position</w:t>
      </w:r>
    </w:p>
    <w:p w:rsidR="008B1D22" w:rsidRDefault="008B1D22" w:rsidP="00E91EBA">
      <w:pPr>
        <w:rPr>
          <w:sz w:val="16"/>
          <w:szCs w:val="16"/>
        </w:rPr>
      </w:pPr>
      <w:r>
        <w:rPr>
          <w:sz w:val="16"/>
          <w:szCs w:val="16"/>
        </w:rPr>
        <w:t>Dollarama has a commanding lead over other dollar stores in terms of its footprint. The chart below s</w:t>
      </w:r>
      <w:r w:rsidR="004D457B">
        <w:rPr>
          <w:sz w:val="16"/>
          <w:szCs w:val="16"/>
        </w:rPr>
        <w:t xml:space="preserve">ummarized the growth of the five </w:t>
      </w:r>
      <w:r>
        <w:rPr>
          <w:sz w:val="16"/>
          <w:szCs w:val="16"/>
        </w:rPr>
        <w:t>largest dollar store chains in Canada since 2012.</w:t>
      </w:r>
      <w:r w:rsidR="004D457B">
        <w:rPr>
          <w:sz w:val="16"/>
          <w:szCs w:val="16"/>
        </w:rPr>
        <w:t xml:space="preserve"> </w:t>
      </w:r>
      <w:r w:rsidR="0084529B">
        <w:rPr>
          <w:sz w:val="16"/>
          <w:szCs w:val="16"/>
        </w:rPr>
        <w:t xml:space="preserve">The smaller dollar store chains may see their market share shrink as Dollarama and Dollar Tree continues to expand. </w:t>
      </w:r>
    </w:p>
    <w:p w:rsidR="008B1D22" w:rsidRDefault="00291B05" w:rsidP="00291B05">
      <w:pPr>
        <w:jc w:val="center"/>
        <w:rPr>
          <w:sz w:val="16"/>
          <w:szCs w:val="16"/>
        </w:rPr>
      </w:pPr>
      <w:r>
        <w:rPr>
          <w:noProof/>
        </w:rPr>
        <w:drawing>
          <wp:inline distT="0" distB="0" distL="0" distR="0" wp14:anchorId="0C55A535" wp14:editId="4B95809F">
            <wp:extent cx="4638675" cy="2286000"/>
            <wp:effectExtent l="0" t="0" r="9525" b="0"/>
            <wp:docPr id="3" name="Chart 3">
              <a:extLst xmlns:a="http://schemas.openxmlformats.org/drawingml/2006/main">
                <a:ext uri="{FF2B5EF4-FFF2-40B4-BE49-F238E27FC236}">
                  <a16:creationId xmlns:a16="http://schemas.microsoft.com/office/drawing/2014/main" id="{E93F5511-C1B8-43EE-9866-8978BFF16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94D" w:rsidRDefault="009A194D" w:rsidP="00E91EBA">
      <w:pPr>
        <w:rPr>
          <w:sz w:val="16"/>
          <w:szCs w:val="16"/>
        </w:rPr>
      </w:pPr>
      <w:r>
        <w:rPr>
          <w:sz w:val="16"/>
          <w:szCs w:val="16"/>
        </w:rPr>
        <w:t>Dollar Tree is Dollarama’</w:t>
      </w:r>
      <w:r w:rsidR="00234CB7">
        <w:rPr>
          <w:sz w:val="16"/>
          <w:szCs w:val="16"/>
        </w:rPr>
        <w:t>s most comparable competitor</w:t>
      </w:r>
      <w:r>
        <w:rPr>
          <w:sz w:val="16"/>
          <w:szCs w:val="16"/>
        </w:rPr>
        <w:t xml:space="preserve">, but there are notably differences in market size, merchandise and price points between them. </w:t>
      </w:r>
    </w:p>
    <w:p w:rsidR="00234CB7" w:rsidRDefault="00234CB7" w:rsidP="00234CB7">
      <w:pPr>
        <w:pStyle w:val="ListParagraph"/>
        <w:numPr>
          <w:ilvl w:val="0"/>
          <w:numId w:val="3"/>
        </w:numPr>
        <w:rPr>
          <w:sz w:val="16"/>
          <w:szCs w:val="16"/>
        </w:rPr>
      </w:pPr>
      <w:r>
        <w:rPr>
          <w:sz w:val="16"/>
          <w:szCs w:val="16"/>
        </w:rPr>
        <w:t>IBISWorld reports that Dollarama accounts for approximately 56.4% of total industry revenue, compared to 5.2% of total industry revenue acquired by Dollar Tree. Within Canada, Dollarama is generating most of the growth of the total dollar store segment, w</w:t>
      </w:r>
      <w:r w:rsidR="007B79DA">
        <w:rPr>
          <w:sz w:val="16"/>
          <w:szCs w:val="16"/>
        </w:rPr>
        <w:t>hile Dollar Tree shows</w:t>
      </w:r>
      <w:r>
        <w:rPr>
          <w:sz w:val="16"/>
          <w:szCs w:val="16"/>
        </w:rPr>
        <w:t xml:space="preserve"> mo</w:t>
      </w:r>
      <w:r w:rsidR="007B79DA">
        <w:rPr>
          <w:sz w:val="16"/>
          <w:szCs w:val="16"/>
        </w:rPr>
        <w:t xml:space="preserve">dest store network growth. </w:t>
      </w:r>
    </w:p>
    <w:p w:rsidR="004A0EC2" w:rsidRDefault="00AE7437" w:rsidP="00234CB7">
      <w:pPr>
        <w:pStyle w:val="ListParagraph"/>
        <w:numPr>
          <w:ilvl w:val="0"/>
          <w:numId w:val="3"/>
        </w:numPr>
        <w:rPr>
          <w:sz w:val="16"/>
          <w:szCs w:val="16"/>
        </w:rPr>
      </w:pPr>
      <w:r>
        <w:rPr>
          <w:sz w:val="16"/>
          <w:szCs w:val="16"/>
        </w:rPr>
        <w:t xml:space="preserve">Dollarama offers multi-price points up to $4.00 since adding $3.50 and $4.00 price points in August 2016. </w:t>
      </w:r>
      <w:r w:rsidR="008B2209">
        <w:rPr>
          <w:sz w:val="16"/>
          <w:szCs w:val="16"/>
        </w:rPr>
        <w:t xml:space="preserve">Dollar Tree </w:t>
      </w:r>
      <w:r w:rsidR="00061D67">
        <w:rPr>
          <w:sz w:val="16"/>
          <w:szCs w:val="16"/>
        </w:rPr>
        <w:t>price</w:t>
      </w:r>
      <w:r w:rsidR="00B4033C">
        <w:rPr>
          <w:sz w:val="16"/>
          <w:szCs w:val="16"/>
        </w:rPr>
        <w:t>s</w:t>
      </w:r>
      <w:r w:rsidR="00061D67">
        <w:rPr>
          <w:sz w:val="16"/>
          <w:szCs w:val="16"/>
        </w:rPr>
        <w:t xml:space="preserve"> all</w:t>
      </w:r>
      <w:r w:rsidR="005C642E">
        <w:rPr>
          <w:sz w:val="16"/>
          <w:szCs w:val="16"/>
        </w:rPr>
        <w:t xml:space="preserve"> products at $1.25. The single point price strategy may</w:t>
      </w:r>
      <w:r w:rsidR="00730D7D">
        <w:rPr>
          <w:sz w:val="16"/>
          <w:szCs w:val="16"/>
        </w:rPr>
        <w:t xml:space="preserve"> limit the company’s ability to adjust to a decline in the Canadian dollar by increasing prices of products but to absorb the cost of currency decline within its gross margin. </w:t>
      </w:r>
    </w:p>
    <w:p w:rsidR="007562DF" w:rsidRDefault="007562DF" w:rsidP="007562DF">
      <w:pPr>
        <w:pStyle w:val="ListParagraph"/>
        <w:numPr>
          <w:ilvl w:val="0"/>
          <w:numId w:val="3"/>
        </w:numPr>
        <w:rPr>
          <w:sz w:val="16"/>
          <w:szCs w:val="16"/>
        </w:rPr>
      </w:pPr>
      <w:r>
        <w:rPr>
          <w:sz w:val="16"/>
          <w:szCs w:val="16"/>
        </w:rPr>
        <w:t xml:space="preserve">Dollarama believes that offering consistently available everyday products helps drive more visits. In contract, Dollar Tree offers consumers a treasure hunt shopping experience. </w:t>
      </w:r>
    </w:p>
    <w:p w:rsidR="00583B35" w:rsidRPr="007562DF" w:rsidRDefault="00583B35" w:rsidP="00583B35">
      <w:pPr>
        <w:pStyle w:val="ListParagraph"/>
        <w:rPr>
          <w:sz w:val="16"/>
          <w:szCs w:val="16"/>
        </w:rPr>
      </w:pPr>
    </w:p>
    <w:p w:rsidR="00201A95" w:rsidRPr="00583B35" w:rsidRDefault="00B25685" w:rsidP="00E91EBA">
      <w:pPr>
        <w:rPr>
          <w:b/>
          <w:sz w:val="20"/>
          <w:szCs w:val="16"/>
        </w:rPr>
      </w:pPr>
      <w:r w:rsidRPr="00583B35">
        <w:rPr>
          <w:b/>
          <w:sz w:val="20"/>
          <w:szCs w:val="16"/>
        </w:rPr>
        <w:t>Financial Information</w:t>
      </w:r>
    </w:p>
    <w:p w:rsidR="00EF60BC" w:rsidRPr="003F0552" w:rsidRDefault="00EF60BC" w:rsidP="00E91EBA">
      <w:pPr>
        <w:rPr>
          <w:sz w:val="16"/>
          <w:szCs w:val="16"/>
          <w:u w:val="single"/>
        </w:rPr>
      </w:pPr>
      <w:r w:rsidRPr="003F0552">
        <w:rPr>
          <w:sz w:val="16"/>
          <w:szCs w:val="16"/>
          <w:u w:val="single"/>
        </w:rPr>
        <w:t>Sales</w:t>
      </w:r>
    </w:p>
    <w:p w:rsidR="00EF60BC" w:rsidRDefault="00EF60BC" w:rsidP="00E91EBA">
      <w:pPr>
        <w:rPr>
          <w:sz w:val="16"/>
          <w:szCs w:val="16"/>
        </w:rPr>
      </w:pPr>
      <w:r>
        <w:rPr>
          <w:sz w:val="16"/>
          <w:szCs w:val="16"/>
        </w:rPr>
        <w:t xml:space="preserve">Dollarama’s sales have grown at a five-year CAGR of </w:t>
      </w:r>
      <w:r w:rsidR="00A57F95">
        <w:rPr>
          <w:sz w:val="16"/>
          <w:szCs w:val="16"/>
        </w:rPr>
        <w:t>13.3</w:t>
      </w:r>
      <w:r>
        <w:rPr>
          <w:sz w:val="16"/>
          <w:szCs w:val="16"/>
        </w:rPr>
        <w:t xml:space="preserve">% </w:t>
      </w:r>
      <w:r>
        <w:rPr>
          <w:rFonts w:hint="eastAsia"/>
          <w:sz w:val="16"/>
          <w:szCs w:val="16"/>
        </w:rPr>
        <w:t xml:space="preserve">from FY2012 to FY2016. </w:t>
      </w:r>
      <w:r w:rsidR="00A5778C">
        <w:rPr>
          <w:sz w:val="16"/>
          <w:szCs w:val="16"/>
        </w:rPr>
        <w:t xml:space="preserve">The company reported 11.2% growth in sales to $738.7 million in Q3 2017 from $664.5 million in Q3 2016. </w:t>
      </w:r>
      <w:r w:rsidR="00A57F95">
        <w:rPr>
          <w:sz w:val="16"/>
          <w:szCs w:val="16"/>
        </w:rPr>
        <w:t xml:space="preserve">The stronger-than-expected sales growth was driven by an impressive 5.1% SSS increase </w:t>
      </w:r>
      <w:r w:rsidR="00DF69B8">
        <w:rPr>
          <w:sz w:val="16"/>
          <w:szCs w:val="16"/>
        </w:rPr>
        <w:t xml:space="preserve">as consumers continue to seek value in the context of week macro dynamics. </w:t>
      </w:r>
    </w:p>
    <w:p w:rsidR="00EF60BC" w:rsidRPr="003F0552" w:rsidRDefault="00EF60BC" w:rsidP="00E91EBA">
      <w:pPr>
        <w:rPr>
          <w:sz w:val="16"/>
          <w:szCs w:val="16"/>
          <w:u w:val="single"/>
        </w:rPr>
      </w:pPr>
      <w:r w:rsidRPr="003F0552">
        <w:rPr>
          <w:sz w:val="16"/>
          <w:szCs w:val="16"/>
          <w:u w:val="single"/>
        </w:rPr>
        <w:t>Gross Profit</w:t>
      </w:r>
    </w:p>
    <w:p w:rsidR="00EF60BC" w:rsidRDefault="00F93F38" w:rsidP="00E91EBA">
      <w:pPr>
        <w:rPr>
          <w:sz w:val="16"/>
          <w:szCs w:val="16"/>
        </w:rPr>
      </w:pPr>
      <w:r>
        <w:rPr>
          <w:sz w:val="16"/>
          <w:szCs w:val="16"/>
        </w:rPr>
        <w:t>Gross margin has been consistently</w:t>
      </w:r>
      <w:r w:rsidR="00D54221">
        <w:rPr>
          <w:sz w:val="16"/>
          <w:szCs w:val="16"/>
        </w:rPr>
        <w:t xml:space="preserve"> increased from 37.5% in FY2012 to 39.0% in FY2016.</w:t>
      </w:r>
      <w:r w:rsidR="00F13C63">
        <w:rPr>
          <w:sz w:val="16"/>
          <w:szCs w:val="16"/>
        </w:rPr>
        <w:t xml:space="preserve"> </w:t>
      </w:r>
      <w:r w:rsidR="00D54221">
        <w:rPr>
          <w:sz w:val="16"/>
          <w:szCs w:val="16"/>
        </w:rPr>
        <w:t>In Q3 2017, gross margin essentially remained</w:t>
      </w:r>
      <w:r w:rsidR="00F13C63">
        <w:rPr>
          <w:sz w:val="16"/>
          <w:szCs w:val="16"/>
        </w:rPr>
        <w:t xml:space="preserve"> flat at 39.5%, compared to 36.9% of sales in Q3 2016. </w:t>
      </w:r>
      <w:r w:rsidR="000E7E73">
        <w:rPr>
          <w:sz w:val="16"/>
          <w:szCs w:val="16"/>
        </w:rPr>
        <w:t>Dollarama continues to remain</w:t>
      </w:r>
      <w:r w:rsidR="003F0552">
        <w:rPr>
          <w:sz w:val="16"/>
          <w:szCs w:val="16"/>
        </w:rPr>
        <w:t xml:space="preserve"> gross margin at</w:t>
      </w:r>
      <w:r w:rsidR="000E7E73">
        <w:rPr>
          <w:sz w:val="16"/>
          <w:szCs w:val="16"/>
        </w:rPr>
        <w:t xml:space="preserve"> high level</w:t>
      </w:r>
      <w:r w:rsidR="001548E1">
        <w:rPr>
          <w:sz w:val="16"/>
          <w:szCs w:val="16"/>
        </w:rPr>
        <w:t>, complying</w:t>
      </w:r>
      <w:r w:rsidR="000E7E73">
        <w:rPr>
          <w:sz w:val="16"/>
          <w:szCs w:val="16"/>
        </w:rPr>
        <w:t xml:space="preserve"> with the annual guidance range of 37% to 38%. </w:t>
      </w:r>
    </w:p>
    <w:p w:rsidR="003F0552" w:rsidRPr="00DA6875" w:rsidRDefault="003F0552" w:rsidP="00E91EBA">
      <w:pPr>
        <w:rPr>
          <w:sz w:val="16"/>
          <w:szCs w:val="16"/>
          <w:u w:val="single"/>
        </w:rPr>
      </w:pPr>
      <w:r w:rsidRPr="00DA6875">
        <w:rPr>
          <w:sz w:val="16"/>
          <w:szCs w:val="16"/>
          <w:u w:val="single"/>
        </w:rPr>
        <w:t>EBITDA</w:t>
      </w:r>
    </w:p>
    <w:p w:rsidR="00A263EC" w:rsidRDefault="00A263EC" w:rsidP="00E91EBA">
      <w:pPr>
        <w:rPr>
          <w:sz w:val="16"/>
          <w:szCs w:val="16"/>
        </w:rPr>
      </w:pPr>
      <w:r>
        <w:rPr>
          <w:sz w:val="16"/>
          <w:szCs w:val="16"/>
        </w:rPr>
        <w:t xml:space="preserve">Strong EBITDA has driven by better-than-expected gross margin and strong SG&amp;A leverage. The improvement in cost of sales and SG&amp;A as a percentage of sales is mainly the result of continued execution on productivity and cost reduction </w:t>
      </w:r>
      <w:r w:rsidR="00DA6875">
        <w:rPr>
          <w:sz w:val="16"/>
          <w:szCs w:val="16"/>
        </w:rPr>
        <w:t>initiatives</w:t>
      </w:r>
      <w:r>
        <w:rPr>
          <w:sz w:val="16"/>
          <w:szCs w:val="16"/>
        </w:rPr>
        <w:t xml:space="preserve">. </w:t>
      </w:r>
    </w:p>
    <w:p w:rsidR="00327BE6" w:rsidRDefault="00327BE6" w:rsidP="00E91EBA">
      <w:pPr>
        <w:rPr>
          <w:sz w:val="16"/>
          <w:szCs w:val="16"/>
        </w:rPr>
      </w:pPr>
    </w:p>
    <w:p w:rsidR="00327BE6" w:rsidRDefault="00327BE6" w:rsidP="00E91EBA">
      <w:pPr>
        <w:rPr>
          <w:sz w:val="16"/>
          <w:szCs w:val="16"/>
        </w:rPr>
      </w:pPr>
    </w:p>
    <w:p w:rsidR="00327BE6" w:rsidRDefault="00327BE6" w:rsidP="00E91EBA">
      <w:pPr>
        <w:rPr>
          <w:sz w:val="16"/>
          <w:szCs w:val="16"/>
        </w:rPr>
      </w:pPr>
    </w:p>
    <w:tbl>
      <w:tblPr>
        <w:tblW w:w="10282" w:type="dxa"/>
        <w:jc w:val="center"/>
        <w:tblLook w:val="04A0" w:firstRow="1" w:lastRow="0" w:firstColumn="1" w:lastColumn="0" w:noHBand="0" w:noVBand="1"/>
      </w:tblPr>
      <w:tblGrid>
        <w:gridCol w:w="253"/>
        <w:gridCol w:w="2140"/>
        <w:gridCol w:w="995"/>
        <w:gridCol w:w="995"/>
        <w:gridCol w:w="995"/>
        <w:gridCol w:w="995"/>
        <w:gridCol w:w="995"/>
        <w:gridCol w:w="887"/>
        <w:gridCol w:w="887"/>
        <w:gridCol w:w="887"/>
        <w:gridCol w:w="253"/>
      </w:tblGrid>
      <w:tr w:rsidR="00561801" w:rsidRPr="00561801" w:rsidTr="00327BE6">
        <w:trPr>
          <w:trHeight w:val="20"/>
          <w:jc w:val="center"/>
        </w:trPr>
        <w:tc>
          <w:tcPr>
            <w:tcW w:w="253" w:type="dxa"/>
            <w:tcBorders>
              <w:top w:val="single" w:sz="4" w:space="0" w:color="auto"/>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53" w:type="dxa"/>
            <w:tcBorders>
              <w:top w:val="single" w:sz="4" w:space="0" w:color="auto"/>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776" w:type="dxa"/>
            <w:gridSpan w:val="9"/>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Dollarama's Financial Results</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(C$ thousands)</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FY2012</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FY2013</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FY2014</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FY2015</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FY2016</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Q1 FY2017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Q2 FY2017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Q3 FY2017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jc w:val="right"/>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single" w:sz="4" w:space="0" w:color="auto"/>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253" w:type="dxa"/>
            <w:tcBorders>
              <w:top w:val="nil"/>
              <w:left w:val="nil"/>
              <w:bottom w:val="nil"/>
              <w:right w:val="single" w:sz="4" w:space="0" w:color="auto"/>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Sales</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1,602,827</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1,858,818</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2,064,676</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2,330,805</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2,650,327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641,012</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728,968</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738,708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Total Sales 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11.1%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12.9%</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Cost of Sales</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(1,002,487)</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(1,163,979)</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(1,299,092)</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(1,471,257)</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(1,617,051)</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(404,149)</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(449,391)</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(447,239)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Gross Profit</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600,340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694,839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765,584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859,548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1,033,276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236,863</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279,577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291,469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36.9%</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39.0%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38.4%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39.5%</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15.7%</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10.2%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12.3%</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4.3%</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SG&amp;A</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(305,121)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(339,662)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(363,182)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(398,678)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(435,816)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(102,946)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(110,942)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(116,972)</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(17.6%)</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(16.1%)</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11.3%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6.9%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9.3%</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7.8%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5.4%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EBITDA</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295,219</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355,177</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402,402</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460,870</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597,460</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133,917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168,635</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174,497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22.5%</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23.1%</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23.6%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26.2%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14.5%</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29.6%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25.9%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3.5%</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Depreciation &amp; Amortization</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(33,336)</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(39,284)</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(47,898)</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(38,309)</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(48,085)</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(13,527)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(14,006)</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(14,666)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EBIT</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261,883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315,893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354,504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422,561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549,375</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120,390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154,629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159,831</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21.2%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21.6%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27.5%</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20.6%</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12.2%</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19.2%</w:t>
            </w:r>
          </w:p>
        </w:tc>
        <w:tc>
          <w:tcPr>
            <w:tcW w:w="995" w:type="dxa"/>
            <w:tcBorders>
              <w:top w:val="nil"/>
              <w:left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30.0%</w:t>
            </w: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28.4%</w:t>
            </w: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Interest Expense - Net</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(16,555)</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(10,839)</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(11,673)</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(19,956)</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(21,395)</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(6,634)</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(7,289)</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(8,517)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EBT</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245,328</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305,054</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342,831</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402,605</w:t>
            </w:r>
          </w:p>
        </w:tc>
        <w:tc>
          <w:tcPr>
            <w:tcW w:w="995" w:type="dxa"/>
            <w:tcBorders>
              <w:top w:val="single" w:sz="4" w:space="0" w:color="auto"/>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527,980</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113,756</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147,340</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151,314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Income Tax Expense</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(71,854)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(84,069)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(92,737)</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(107,195)</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(142,834)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(30,604)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(40,988)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(41,256)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Net Income</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173,474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220,985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250,094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295,410</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385,146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83,152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106,352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110,058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Average Diluted Shares O/S</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75,563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75,190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72,046</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133,956</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128,420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123,152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120,662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119,496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Earnings per Share</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2.3</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2.2</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3.0</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0.9</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53"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bl>
    <w:p w:rsidR="003C65BE" w:rsidRDefault="003C65BE" w:rsidP="00E91EBA">
      <w:pPr>
        <w:rPr>
          <w:sz w:val="16"/>
          <w:szCs w:val="16"/>
        </w:rPr>
      </w:pPr>
    </w:p>
    <w:p w:rsidR="00367DF1" w:rsidRPr="00583B35" w:rsidRDefault="00367DF1" w:rsidP="00E91EBA">
      <w:pPr>
        <w:rPr>
          <w:b/>
          <w:sz w:val="20"/>
          <w:szCs w:val="16"/>
        </w:rPr>
      </w:pPr>
      <w:r w:rsidRPr="00583B35">
        <w:rPr>
          <w:b/>
          <w:sz w:val="20"/>
          <w:szCs w:val="16"/>
        </w:rPr>
        <w:t>Comparable Analysis</w:t>
      </w:r>
    </w:p>
    <w:p w:rsidR="00646AC4" w:rsidRDefault="00646AC4" w:rsidP="00E91EBA">
      <w:pPr>
        <w:rPr>
          <w:sz w:val="16"/>
          <w:szCs w:val="16"/>
        </w:rPr>
      </w:pPr>
      <w:r>
        <w:rPr>
          <w:sz w:val="16"/>
          <w:szCs w:val="16"/>
        </w:rPr>
        <w:t>Looking for data…</w:t>
      </w:r>
    </w:p>
    <w:p w:rsidR="003D5CCF" w:rsidRPr="009167F8" w:rsidRDefault="003D5CCF" w:rsidP="003D5CCF">
      <w:pPr>
        <w:rPr>
          <w:rFonts w:cstheme="minorHAnsi"/>
          <w:sz w:val="18"/>
          <w:szCs w:val="20"/>
        </w:rPr>
      </w:pPr>
      <w:bookmarkStart w:id="0" w:name="_GoBack"/>
      <w:bookmarkEnd w:id="0"/>
    </w:p>
    <w:p w:rsidR="00B25685" w:rsidRDefault="00B25685" w:rsidP="00E91EBA">
      <w:pPr>
        <w:rPr>
          <w:sz w:val="16"/>
          <w:szCs w:val="16"/>
        </w:rPr>
      </w:pPr>
    </w:p>
    <w:p w:rsidR="007F395B" w:rsidRDefault="007F395B" w:rsidP="00E91EBA">
      <w:pPr>
        <w:rPr>
          <w:sz w:val="16"/>
          <w:szCs w:val="16"/>
        </w:rPr>
      </w:pPr>
    </w:p>
    <w:p w:rsidR="007F395B" w:rsidRDefault="007F395B" w:rsidP="00E91EBA">
      <w:pPr>
        <w:rPr>
          <w:sz w:val="16"/>
          <w:szCs w:val="16"/>
        </w:rPr>
      </w:pPr>
    </w:p>
    <w:p w:rsidR="007F395B" w:rsidRDefault="007F395B" w:rsidP="00E91EBA">
      <w:pPr>
        <w:rPr>
          <w:sz w:val="16"/>
          <w:szCs w:val="16"/>
        </w:rPr>
      </w:pPr>
    </w:p>
    <w:p w:rsidR="00A43667" w:rsidRDefault="00B0466E" w:rsidP="00E91EBA">
      <w:pPr>
        <w:rPr>
          <w:sz w:val="16"/>
          <w:szCs w:val="16"/>
        </w:rPr>
      </w:pPr>
      <w:r>
        <w:rPr>
          <w:sz w:val="16"/>
          <w:szCs w:val="16"/>
        </w:rPr>
        <w:t xml:space="preserve"> </w:t>
      </w:r>
    </w:p>
    <w:p w:rsidR="007F395B" w:rsidRDefault="007F395B" w:rsidP="00E91EBA">
      <w:pPr>
        <w:rPr>
          <w:sz w:val="16"/>
          <w:szCs w:val="16"/>
        </w:rPr>
      </w:pPr>
    </w:p>
    <w:p w:rsidR="007F395B" w:rsidRPr="006B4BBE" w:rsidRDefault="007F395B" w:rsidP="00E91EBA">
      <w:pPr>
        <w:rPr>
          <w:sz w:val="16"/>
          <w:szCs w:val="16"/>
        </w:rPr>
      </w:pPr>
    </w:p>
    <w:sectPr w:rsidR="007F395B" w:rsidRPr="006B4BBE" w:rsidSect="00442250">
      <w:pgSz w:w="12240" w:h="15840"/>
      <w:pgMar w:top="1440" w:right="864" w:bottom="1440" w:left="8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896" w:rsidRDefault="008E4896" w:rsidP="00DE459D">
      <w:pPr>
        <w:spacing w:after="0" w:line="240" w:lineRule="auto"/>
      </w:pPr>
      <w:r>
        <w:separator/>
      </w:r>
    </w:p>
  </w:endnote>
  <w:endnote w:type="continuationSeparator" w:id="0">
    <w:p w:rsidR="008E4896" w:rsidRDefault="008E4896" w:rsidP="00D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1910996621"/>
      <w:docPartObj>
        <w:docPartGallery w:val="Page Numbers (Bottom of Page)"/>
        <w:docPartUnique/>
      </w:docPartObj>
    </w:sdtPr>
    <w:sdtEndPr>
      <w:rPr>
        <w:noProof/>
      </w:rPr>
    </w:sdtEndPr>
    <w:sdtContent>
      <w:p w:rsidR="00646AC4" w:rsidRPr="00A43667" w:rsidRDefault="00646AC4" w:rsidP="003A1592">
        <w:pPr>
          <w:pStyle w:val="Footer"/>
          <w:jc w:val="right"/>
          <w:rPr>
            <w:sz w:val="16"/>
          </w:rPr>
        </w:pPr>
        <w:r w:rsidRPr="00A43667">
          <w:rPr>
            <w:sz w:val="16"/>
          </w:rPr>
          <w:fldChar w:fldCharType="begin"/>
        </w:r>
        <w:r w:rsidRPr="00A43667">
          <w:rPr>
            <w:sz w:val="16"/>
          </w:rPr>
          <w:instrText xml:space="preserve"> PAGE   \* MERGEFORMAT </w:instrText>
        </w:r>
        <w:r w:rsidRPr="00A43667">
          <w:rPr>
            <w:sz w:val="16"/>
          </w:rPr>
          <w:fldChar w:fldCharType="separate"/>
        </w:r>
        <w:r w:rsidR="00583B35">
          <w:rPr>
            <w:noProof/>
            <w:sz w:val="16"/>
          </w:rPr>
          <w:t>4</w:t>
        </w:r>
        <w:r w:rsidRPr="00A43667">
          <w:rPr>
            <w:noProof/>
            <w:sz w:val="16"/>
          </w:rPr>
          <w:fldChar w:fldCharType="end"/>
        </w:r>
      </w:p>
    </w:sdtContent>
  </w:sdt>
  <w:p w:rsidR="00646AC4" w:rsidRDefault="0064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896" w:rsidRDefault="008E4896" w:rsidP="00DE459D">
      <w:pPr>
        <w:spacing w:after="0" w:line="240" w:lineRule="auto"/>
      </w:pPr>
      <w:r>
        <w:separator/>
      </w:r>
    </w:p>
  </w:footnote>
  <w:footnote w:type="continuationSeparator" w:id="0">
    <w:p w:rsidR="008E4896" w:rsidRDefault="008E4896" w:rsidP="00DE459D">
      <w:pPr>
        <w:spacing w:after="0" w:line="240" w:lineRule="auto"/>
      </w:pPr>
      <w:r>
        <w:continuationSeparator/>
      </w:r>
    </w:p>
  </w:footnote>
  <w:footnote w:id="1">
    <w:p w:rsidR="00C2312F" w:rsidRPr="007727FC" w:rsidRDefault="00C2312F" w:rsidP="00C2312F">
      <w:pPr>
        <w:pStyle w:val="FootnoteText"/>
        <w:rPr>
          <w:rFonts w:cstheme="minorHAnsi"/>
          <w:sz w:val="16"/>
          <w:szCs w:val="16"/>
        </w:rPr>
      </w:pPr>
      <w:r w:rsidRPr="007727FC">
        <w:rPr>
          <w:rStyle w:val="FootnoteReference"/>
          <w:rFonts w:cstheme="minorHAnsi"/>
          <w:sz w:val="16"/>
          <w:szCs w:val="16"/>
        </w:rPr>
        <w:footnoteRef/>
      </w:r>
      <w:r w:rsidRPr="007727FC">
        <w:rPr>
          <w:rFonts w:cstheme="minorHAnsi"/>
          <w:sz w:val="16"/>
          <w:szCs w:val="16"/>
        </w:rPr>
        <w:t xml:space="preserve"> Dollarama Annual Information Form, Fiscal Year Ended January 31,2016, Page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AC4" w:rsidRDefault="00646AC4">
    <w:pPr>
      <w:pStyle w:val="Header"/>
      <w:rPr>
        <w:sz w:val="24"/>
        <w:szCs w:val="24"/>
      </w:rPr>
    </w:pPr>
    <w:r>
      <w:rPr>
        <w:rFonts w:asciiTheme="majorHAnsi" w:eastAsiaTheme="majorEastAsia" w:hAnsiTheme="majorHAnsi" w:cstheme="majorBidi"/>
        <w:color w:val="5B9BD5" w:themeColor="accent1"/>
        <w:sz w:val="24"/>
        <w:szCs w:val="24"/>
      </w:rPr>
      <w:ptab w:relativeTo="margin" w:alignment="right" w:leader="none"/>
    </w:r>
  </w:p>
  <w:p w:rsidR="00646AC4" w:rsidRPr="00646AC4" w:rsidRDefault="008E4896" w:rsidP="00646AC4">
    <w:pPr>
      <w:pStyle w:val="Header"/>
      <w:pBdr>
        <w:bottom w:val="single" w:sz="12" w:space="1" w:color="auto"/>
      </w:pBdr>
      <w:rPr>
        <w:rFonts w:asciiTheme="majorHAnsi" w:eastAsiaTheme="majorEastAsia" w:hAnsiTheme="majorHAnsi" w:cstheme="majorBidi"/>
        <w:b/>
        <w:color w:val="A8D08D" w:themeColor="accent6" w:themeTint="99"/>
        <w:sz w:val="24"/>
        <w:szCs w:val="24"/>
      </w:rPr>
    </w:pPr>
    <w:sdt>
      <w:sdtPr>
        <w:rPr>
          <w:rFonts w:asciiTheme="majorHAnsi" w:eastAsiaTheme="majorEastAsia" w:hAnsiTheme="majorHAnsi" w:cstheme="majorBidi"/>
          <w:b/>
          <w:color w:val="538135" w:themeColor="accent6" w:themeShade="BF"/>
          <w:sz w:val="24"/>
          <w:szCs w:val="24"/>
        </w:rPr>
        <w:alias w:val="Title"/>
        <w:id w:val="961074664"/>
        <w:placeholder>
          <w:docPart w:val="71574916CB5E48EFAF9C52A497B2584F"/>
        </w:placeholder>
        <w:dataBinding w:prefixMappings="xmlns:ns0='http://schemas.openxmlformats.org/package/2006/metadata/core-properties' xmlns:ns1='http://purl.org/dc/elements/1.1/'" w:xpath="/ns0:coreProperties[1]/ns1:title[1]" w:storeItemID="{6C3C8BC8-F283-45AE-878A-BAB7291924A1}"/>
        <w:text/>
      </w:sdtPr>
      <w:sdtEndPr/>
      <w:sdtContent>
        <w:r w:rsidR="00646AC4" w:rsidRPr="00646AC4">
          <w:rPr>
            <w:rFonts w:asciiTheme="majorHAnsi" w:eastAsiaTheme="majorEastAsia" w:hAnsiTheme="majorHAnsi" w:cstheme="majorBidi"/>
            <w:b/>
            <w:color w:val="538135" w:themeColor="accent6" w:themeShade="BF"/>
            <w:sz w:val="24"/>
            <w:szCs w:val="24"/>
          </w:rPr>
          <w:t>Dollarama Inc.</w:t>
        </w:r>
      </w:sdtContent>
    </w:sdt>
    <w:r w:rsidR="00646AC4" w:rsidRPr="00646AC4">
      <w:rPr>
        <w:rFonts w:asciiTheme="majorHAnsi" w:eastAsiaTheme="majorEastAsia" w:hAnsiTheme="majorHAnsi" w:cstheme="majorBidi"/>
        <w:b/>
        <w:color w:val="A8D08D" w:themeColor="accent6" w:themeTint="99"/>
        <w:sz w:val="24"/>
        <w:szCs w:val="24"/>
      </w:rPr>
      <w:t xml:space="preserve">                                                                                              </w:t>
    </w:r>
    <w:r w:rsidR="00646AC4">
      <w:rPr>
        <w:rFonts w:asciiTheme="majorHAnsi" w:eastAsiaTheme="majorEastAsia" w:hAnsiTheme="majorHAnsi" w:cstheme="majorBidi"/>
        <w:b/>
        <w:color w:val="A8D08D" w:themeColor="accent6" w:themeTint="99"/>
        <w:sz w:val="24"/>
        <w:szCs w:val="24"/>
      </w:rPr>
      <w:t xml:space="preserve">                  </w:t>
    </w:r>
    <w:r w:rsidR="00442250">
      <w:rPr>
        <w:rFonts w:asciiTheme="majorHAnsi" w:eastAsiaTheme="majorEastAsia" w:hAnsiTheme="majorHAnsi" w:cstheme="majorBidi"/>
        <w:b/>
        <w:color w:val="A8D08D" w:themeColor="accent6" w:themeTint="99"/>
        <w:sz w:val="24"/>
        <w:szCs w:val="24"/>
      </w:rPr>
      <w:t xml:space="preserve">                      </w:t>
    </w:r>
    <w:r w:rsidR="00646AC4" w:rsidRPr="00646AC4">
      <w:rPr>
        <w:rFonts w:asciiTheme="majorHAnsi" w:eastAsiaTheme="majorEastAsia" w:hAnsiTheme="majorHAnsi" w:cstheme="majorBidi"/>
        <w:b/>
        <w:color w:val="A8D08D" w:themeColor="accent6" w:themeTint="99"/>
        <w:sz w:val="24"/>
        <w:szCs w:val="24"/>
      </w:rPr>
      <w:t xml:space="preserve"> </w:t>
    </w:r>
    <w:sdt>
      <w:sdtPr>
        <w:rPr>
          <w:rFonts w:asciiTheme="majorHAnsi" w:eastAsiaTheme="majorEastAsia" w:hAnsiTheme="majorHAnsi" w:cstheme="majorBidi"/>
          <w:b/>
          <w:color w:val="538135" w:themeColor="accent6" w:themeShade="BF"/>
          <w:sz w:val="24"/>
          <w:szCs w:val="24"/>
        </w:rPr>
        <w:alias w:val="Date"/>
        <w:id w:val="-2070949440"/>
        <w:placeholder>
          <w:docPart w:val="6A36C458258E4BE5B29CC007170E59EF"/>
        </w:placeholder>
        <w:dataBinding w:prefixMappings="xmlns:ns0='http://schemas.microsoft.com/office/2006/coverPageProps'" w:xpath="/ns0:CoverPageProperties[1]/ns0:PublishDate[1]" w:storeItemID="{55AF091B-3C7A-41E3-B477-F2FDAA23CFDA}"/>
        <w:date w:fullDate="2016-12-07T00:00:00Z">
          <w:dateFormat w:val="MMMM d, yyyy"/>
          <w:lid w:val="en-US"/>
          <w:storeMappedDataAs w:val="dateTime"/>
          <w:calendar w:val="gregorian"/>
        </w:date>
      </w:sdtPr>
      <w:sdtEndPr/>
      <w:sdtContent>
        <w:r w:rsidR="00646AC4" w:rsidRPr="00646AC4">
          <w:rPr>
            <w:rFonts w:asciiTheme="majorHAnsi" w:eastAsiaTheme="majorEastAsia" w:hAnsiTheme="majorHAnsi" w:cstheme="majorBidi"/>
            <w:b/>
            <w:color w:val="538135" w:themeColor="accent6" w:themeShade="BF"/>
            <w:sz w:val="24"/>
            <w:szCs w:val="24"/>
            <w:lang w:val="en-US"/>
          </w:rPr>
          <w:t>December 7,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E7506"/>
    <w:multiLevelType w:val="hybridMultilevel"/>
    <w:tmpl w:val="91CEF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511409"/>
    <w:multiLevelType w:val="hybridMultilevel"/>
    <w:tmpl w:val="95F8F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C202CC"/>
    <w:multiLevelType w:val="hybridMultilevel"/>
    <w:tmpl w:val="06703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9E"/>
    <w:rsid w:val="00061D67"/>
    <w:rsid w:val="00077CAF"/>
    <w:rsid w:val="000830A5"/>
    <w:rsid w:val="000C7F58"/>
    <w:rsid w:val="000E7E73"/>
    <w:rsid w:val="00101E0C"/>
    <w:rsid w:val="00103AA7"/>
    <w:rsid w:val="001548E1"/>
    <w:rsid w:val="001A040C"/>
    <w:rsid w:val="001D7635"/>
    <w:rsid w:val="00201A95"/>
    <w:rsid w:val="00215B9A"/>
    <w:rsid w:val="00225837"/>
    <w:rsid w:val="00234CB7"/>
    <w:rsid w:val="00251A03"/>
    <w:rsid w:val="002675B0"/>
    <w:rsid w:val="00291B05"/>
    <w:rsid w:val="0029748F"/>
    <w:rsid w:val="002B1C30"/>
    <w:rsid w:val="002B78AB"/>
    <w:rsid w:val="002C4836"/>
    <w:rsid w:val="00312FFA"/>
    <w:rsid w:val="00321716"/>
    <w:rsid w:val="00327BE6"/>
    <w:rsid w:val="0034199C"/>
    <w:rsid w:val="00367DF1"/>
    <w:rsid w:val="003775D4"/>
    <w:rsid w:val="00393342"/>
    <w:rsid w:val="003A1592"/>
    <w:rsid w:val="003A700B"/>
    <w:rsid w:val="003C65BE"/>
    <w:rsid w:val="003D5CCF"/>
    <w:rsid w:val="003D6E92"/>
    <w:rsid w:val="003F0552"/>
    <w:rsid w:val="003F7D63"/>
    <w:rsid w:val="00442250"/>
    <w:rsid w:val="00454B73"/>
    <w:rsid w:val="00470211"/>
    <w:rsid w:val="004A0EC2"/>
    <w:rsid w:val="004D457B"/>
    <w:rsid w:val="004F369B"/>
    <w:rsid w:val="00517F77"/>
    <w:rsid w:val="00541D59"/>
    <w:rsid w:val="005438C4"/>
    <w:rsid w:val="00561801"/>
    <w:rsid w:val="005676B4"/>
    <w:rsid w:val="00583332"/>
    <w:rsid w:val="00583B35"/>
    <w:rsid w:val="005B3588"/>
    <w:rsid w:val="005B3DE7"/>
    <w:rsid w:val="005B6931"/>
    <w:rsid w:val="005C642E"/>
    <w:rsid w:val="005D2D92"/>
    <w:rsid w:val="005D521A"/>
    <w:rsid w:val="00615B4E"/>
    <w:rsid w:val="00646AC4"/>
    <w:rsid w:val="006730C0"/>
    <w:rsid w:val="00684F2E"/>
    <w:rsid w:val="00685860"/>
    <w:rsid w:val="0069160D"/>
    <w:rsid w:val="006A67CD"/>
    <w:rsid w:val="006B44B5"/>
    <w:rsid w:val="006B4BBE"/>
    <w:rsid w:val="006C767D"/>
    <w:rsid w:val="00707204"/>
    <w:rsid w:val="007160EA"/>
    <w:rsid w:val="00730D7D"/>
    <w:rsid w:val="00733435"/>
    <w:rsid w:val="007562DF"/>
    <w:rsid w:val="007566E3"/>
    <w:rsid w:val="007727FC"/>
    <w:rsid w:val="00773AE8"/>
    <w:rsid w:val="007B33DB"/>
    <w:rsid w:val="007B79DA"/>
    <w:rsid w:val="007F395B"/>
    <w:rsid w:val="00803F3E"/>
    <w:rsid w:val="0084529B"/>
    <w:rsid w:val="00871146"/>
    <w:rsid w:val="00877A0A"/>
    <w:rsid w:val="008922CF"/>
    <w:rsid w:val="008A6D36"/>
    <w:rsid w:val="008B1D22"/>
    <w:rsid w:val="008B2209"/>
    <w:rsid w:val="008B2614"/>
    <w:rsid w:val="008E4896"/>
    <w:rsid w:val="00912CB5"/>
    <w:rsid w:val="00916E5B"/>
    <w:rsid w:val="00933254"/>
    <w:rsid w:val="009703B1"/>
    <w:rsid w:val="00997584"/>
    <w:rsid w:val="009A194D"/>
    <w:rsid w:val="009A6C4A"/>
    <w:rsid w:val="009B4FD9"/>
    <w:rsid w:val="009B693C"/>
    <w:rsid w:val="009D3544"/>
    <w:rsid w:val="009E67A7"/>
    <w:rsid w:val="009F5E4E"/>
    <w:rsid w:val="00A15E08"/>
    <w:rsid w:val="00A173FC"/>
    <w:rsid w:val="00A263EC"/>
    <w:rsid w:val="00A43667"/>
    <w:rsid w:val="00A5778C"/>
    <w:rsid w:val="00A57F95"/>
    <w:rsid w:val="00A63B02"/>
    <w:rsid w:val="00AD17AD"/>
    <w:rsid w:val="00AD266F"/>
    <w:rsid w:val="00AD3874"/>
    <w:rsid w:val="00AE7437"/>
    <w:rsid w:val="00B0466E"/>
    <w:rsid w:val="00B0730E"/>
    <w:rsid w:val="00B25685"/>
    <w:rsid w:val="00B271B2"/>
    <w:rsid w:val="00B4033C"/>
    <w:rsid w:val="00B54014"/>
    <w:rsid w:val="00B56AB5"/>
    <w:rsid w:val="00B84A18"/>
    <w:rsid w:val="00BA375A"/>
    <w:rsid w:val="00BA6C0B"/>
    <w:rsid w:val="00BE32EA"/>
    <w:rsid w:val="00C070DE"/>
    <w:rsid w:val="00C16635"/>
    <w:rsid w:val="00C17AC2"/>
    <w:rsid w:val="00C17F64"/>
    <w:rsid w:val="00C2312F"/>
    <w:rsid w:val="00C42DED"/>
    <w:rsid w:val="00C75509"/>
    <w:rsid w:val="00C8643D"/>
    <w:rsid w:val="00CC10C5"/>
    <w:rsid w:val="00CD318D"/>
    <w:rsid w:val="00CF0EBF"/>
    <w:rsid w:val="00D13420"/>
    <w:rsid w:val="00D35816"/>
    <w:rsid w:val="00D54221"/>
    <w:rsid w:val="00D6005E"/>
    <w:rsid w:val="00D63CD7"/>
    <w:rsid w:val="00D865A9"/>
    <w:rsid w:val="00D91338"/>
    <w:rsid w:val="00DA6875"/>
    <w:rsid w:val="00DB0770"/>
    <w:rsid w:val="00DC0006"/>
    <w:rsid w:val="00DE459D"/>
    <w:rsid w:val="00DE68A6"/>
    <w:rsid w:val="00DE6D41"/>
    <w:rsid w:val="00DF69B8"/>
    <w:rsid w:val="00E13F81"/>
    <w:rsid w:val="00E20175"/>
    <w:rsid w:val="00E43D09"/>
    <w:rsid w:val="00E4722E"/>
    <w:rsid w:val="00E5593A"/>
    <w:rsid w:val="00E84B9A"/>
    <w:rsid w:val="00E91EBA"/>
    <w:rsid w:val="00EC1AEA"/>
    <w:rsid w:val="00ED4A2B"/>
    <w:rsid w:val="00EF60BC"/>
    <w:rsid w:val="00EF71CC"/>
    <w:rsid w:val="00F1266F"/>
    <w:rsid w:val="00F13C63"/>
    <w:rsid w:val="00F17014"/>
    <w:rsid w:val="00F2209E"/>
    <w:rsid w:val="00F46BB5"/>
    <w:rsid w:val="00F675B0"/>
    <w:rsid w:val="00F702EE"/>
    <w:rsid w:val="00F93F38"/>
    <w:rsid w:val="00F959E5"/>
    <w:rsid w:val="00FC53F5"/>
    <w:rsid w:val="00FE1BF6"/>
    <w:rsid w:val="00FF0D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723B4"/>
  <w15:chartTrackingRefBased/>
  <w15:docId w15:val="{777138A4-327A-4682-9497-A4EB4E08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4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59D"/>
    <w:rPr>
      <w:sz w:val="20"/>
      <w:szCs w:val="20"/>
    </w:rPr>
  </w:style>
  <w:style w:type="character" w:styleId="FootnoteReference">
    <w:name w:val="footnote reference"/>
    <w:basedOn w:val="DefaultParagraphFont"/>
    <w:uiPriority w:val="99"/>
    <w:semiHidden/>
    <w:unhideWhenUsed/>
    <w:rsid w:val="00DE459D"/>
    <w:rPr>
      <w:vertAlign w:val="superscript"/>
    </w:rPr>
  </w:style>
  <w:style w:type="paragraph" w:styleId="EndnoteText">
    <w:name w:val="endnote text"/>
    <w:basedOn w:val="Normal"/>
    <w:link w:val="EndnoteTextChar"/>
    <w:uiPriority w:val="99"/>
    <w:semiHidden/>
    <w:unhideWhenUsed/>
    <w:rsid w:val="009703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B1"/>
    <w:rPr>
      <w:sz w:val="20"/>
      <w:szCs w:val="20"/>
    </w:rPr>
  </w:style>
  <w:style w:type="character" w:styleId="EndnoteReference">
    <w:name w:val="endnote reference"/>
    <w:basedOn w:val="DefaultParagraphFont"/>
    <w:uiPriority w:val="99"/>
    <w:semiHidden/>
    <w:unhideWhenUsed/>
    <w:rsid w:val="009703B1"/>
    <w:rPr>
      <w:vertAlign w:val="superscript"/>
    </w:rPr>
  </w:style>
  <w:style w:type="paragraph" w:styleId="ListParagraph">
    <w:name w:val="List Paragraph"/>
    <w:basedOn w:val="Normal"/>
    <w:uiPriority w:val="34"/>
    <w:qFormat/>
    <w:rsid w:val="00215B9A"/>
    <w:pPr>
      <w:ind w:left="720"/>
      <w:contextualSpacing/>
    </w:pPr>
  </w:style>
  <w:style w:type="paragraph" w:styleId="Header">
    <w:name w:val="header"/>
    <w:basedOn w:val="Normal"/>
    <w:link w:val="HeaderChar"/>
    <w:uiPriority w:val="99"/>
    <w:unhideWhenUsed/>
    <w:rsid w:val="003A1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92"/>
  </w:style>
  <w:style w:type="paragraph" w:styleId="Footer">
    <w:name w:val="footer"/>
    <w:basedOn w:val="Normal"/>
    <w:link w:val="FooterChar"/>
    <w:uiPriority w:val="99"/>
    <w:unhideWhenUsed/>
    <w:rsid w:val="003A1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92"/>
  </w:style>
  <w:style w:type="paragraph" w:customStyle="1" w:styleId="Default">
    <w:name w:val="Default"/>
    <w:rsid w:val="00541D5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42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5464">
      <w:bodyDiv w:val="1"/>
      <w:marLeft w:val="0"/>
      <w:marRight w:val="0"/>
      <w:marTop w:val="0"/>
      <w:marBottom w:val="0"/>
      <w:divBdr>
        <w:top w:val="none" w:sz="0" w:space="0" w:color="auto"/>
        <w:left w:val="none" w:sz="0" w:space="0" w:color="auto"/>
        <w:bottom w:val="none" w:sz="0" w:space="0" w:color="auto"/>
        <w:right w:val="none" w:sz="0" w:space="0" w:color="auto"/>
      </w:divBdr>
    </w:div>
    <w:div w:id="360010512">
      <w:bodyDiv w:val="1"/>
      <w:marLeft w:val="0"/>
      <w:marRight w:val="0"/>
      <w:marTop w:val="0"/>
      <w:marBottom w:val="0"/>
      <w:divBdr>
        <w:top w:val="none" w:sz="0" w:space="0" w:color="auto"/>
        <w:left w:val="none" w:sz="0" w:space="0" w:color="auto"/>
        <w:bottom w:val="none" w:sz="0" w:space="0" w:color="auto"/>
        <w:right w:val="none" w:sz="0" w:space="0" w:color="auto"/>
      </w:divBdr>
    </w:div>
    <w:div w:id="388891142">
      <w:bodyDiv w:val="1"/>
      <w:marLeft w:val="0"/>
      <w:marRight w:val="0"/>
      <w:marTop w:val="0"/>
      <w:marBottom w:val="0"/>
      <w:divBdr>
        <w:top w:val="none" w:sz="0" w:space="0" w:color="auto"/>
        <w:left w:val="none" w:sz="0" w:space="0" w:color="auto"/>
        <w:bottom w:val="none" w:sz="0" w:space="0" w:color="auto"/>
        <w:right w:val="none" w:sz="0" w:space="0" w:color="auto"/>
      </w:divBdr>
    </w:div>
    <w:div w:id="727262781">
      <w:bodyDiv w:val="1"/>
      <w:marLeft w:val="0"/>
      <w:marRight w:val="0"/>
      <w:marTop w:val="0"/>
      <w:marBottom w:val="0"/>
      <w:divBdr>
        <w:top w:val="none" w:sz="0" w:space="0" w:color="auto"/>
        <w:left w:val="none" w:sz="0" w:space="0" w:color="auto"/>
        <w:bottom w:val="none" w:sz="0" w:space="0" w:color="auto"/>
        <w:right w:val="none" w:sz="0" w:space="0" w:color="auto"/>
      </w:divBdr>
    </w:div>
    <w:div w:id="1207793669">
      <w:bodyDiv w:val="1"/>
      <w:marLeft w:val="0"/>
      <w:marRight w:val="0"/>
      <w:marTop w:val="0"/>
      <w:marBottom w:val="0"/>
      <w:divBdr>
        <w:top w:val="none" w:sz="0" w:space="0" w:color="auto"/>
        <w:left w:val="none" w:sz="0" w:space="0" w:color="auto"/>
        <w:bottom w:val="none" w:sz="0" w:space="0" w:color="auto"/>
        <w:right w:val="none" w:sz="0" w:space="0" w:color="auto"/>
      </w:divBdr>
    </w:div>
    <w:div w:id="1279874103">
      <w:bodyDiv w:val="1"/>
      <w:marLeft w:val="0"/>
      <w:marRight w:val="0"/>
      <w:marTop w:val="0"/>
      <w:marBottom w:val="0"/>
      <w:divBdr>
        <w:top w:val="none" w:sz="0" w:space="0" w:color="auto"/>
        <w:left w:val="none" w:sz="0" w:space="0" w:color="auto"/>
        <w:bottom w:val="none" w:sz="0" w:space="0" w:color="auto"/>
        <w:right w:val="none" w:sz="0" w:space="0" w:color="auto"/>
      </w:divBdr>
    </w:div>
    <w:div w:id="15768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ndice\Downloads\data-iOL96%20(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ndice\Desktop\DOL\Pieces\Misc.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US" sz="800" b="1">
                <a:solidFill>
                  <a:sysClr val="windowText" lastClr="000000"/>
                </a:solidFill>
              </a:rPr>
              <a:t>Distribution of Merchandise Mix</a:t>
            </a: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32115253121035148"/>
          <c:y val="0.18003176787367597"/>
          <c:w val="0.40689542958421709"/>
          <c:h val="0.71371301888234839"/>
        </c:manualLayout>
      </c:layout>
      <c:pieChart>
        <c:varyColors val="1"/>
        <c:ser>
          <c:idx val="0"/>
          <c:order val="0"/>
          <c:tx>
            <c:strRef>
              <c:f>Sheet1!$B$1</c:f>
              <c:strCache>
                <c:ptCount val="1"/>
                <c:pt idx="0">
                  <c:v>Percentage</c:v>
                </c:pt>
              </c:strCache>
            </c:strRef>
          </c:tx>
          <c:dPt>
            <c:idx val="0"/>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2-CE5F-4C11-A3C7-664EFF183A4E}"/>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CE5F-4C11-A3C7-664EFF183A4E}"/>
              </c:ext>
            </c:extLst>
          </c:dPt>
          <c:dPt>
            <c:idx val="2"/>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1-CE5F-4C11-A3C7-664EFF183A4E}"/>
              </c:ext>
            </c:extLst>
          </c:dPt>
          <c:dLbls>
            <c:dLbl>
              <c:idx val="0"/>
              <c:layout>
                <c:manualLayout>
                  <c:x val="3.6579789666209422E-2"/>
                  <c:y val="2.614379084967320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E5F-4C11-A3C7-664EFF183A4E}"/>
                </c:ext>
              </c:extLst>
            </c:dLbl>
            <c:dLbl>
              <c:idx val="1"/>
              <c:layout>
                <c:manualLayout>
                  <c:x val="-2.794257208893277E-17"/>
                  <c:y val="3.267973856209150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5F-4C11-A3C7-664EFF183A4E}"/>
                </c:ext>
              </c:extLst>
            </c:dLbl>
            <c:dLbl>
              <c:idx val="2"/>
              <c:layout>
                <c:manualLayout>
                  <c:x val="-7.0111263526901391E-2"/>
                  <c:y val="0.10457516339869279"/>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5F-4C11-A3C7-664EFF183A4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General merchandise</c:v>
                </c:pt>
                <c:pt idx="1">
                  <c:v>Consumable products</c:v>
                </c:pt>
                <c:pt idx="2">
                  <c:v>Seasonal products</c:v>
                </c:pt>
              </c:strCache>
            </c:strRef>
          </c:cat>
          <c:val>
            <c:numRef>
              <c:f>Sheet1!$B$2:$B$4</c:f>
              <c:numCache>
                <c:formatCode>0%</c:formatCode>
                <c:ptCount val="3"/>
                <c:pt idx="0">
                  <c:v>0.47</c:v>
                </c:pt>
                <c:pt idx="1">
                  <c:v>0.38</c:v>
                </c:pt>
                <c:pt idx="2">
                  <c:v>0.15000000000000002</c:v>
                </c:pt>
              </c:numCache>
            </c:numRef>
          </c:val>
          <c:extLst>
            <c:ext xmlns:c16="http://schemas.microsoft.com/office/drawing/2014/chart" uri="{C3380CC4-5D6E-409C-BE32-E72D297353CC}">
              <c16:uniqueId val="{00000000-CE5F-4C11-A3C7-664EFF183A4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CA" sz="800" b="1">
                <a:solidFill>
                  <a:sysClr val="windowText" lastClr="000000"/>
                </a:solidFill>
              </a:rPr>
              <a:t>Proportion of Products</a:t>
            </a:r>
            <a:r>
              <a:rPr lang="en-CA" sz="800" b="1" baseline="0">
                <a:solidFill>
                  <a:sysClr val="windowText" lastClr="000000"/>
                </a:solidFill>
              </a:rPr>
              <a:t> Priced over $1.00</a:t>
            </a:r>
            <a:endParaRPr lang="en-CA" sz="800" b="1">
              <a:solidFill>
                <a:sysClr val="windowText" lastClr="000000"/>
              </a:solidFill>
            </a:endParaRP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stacked"/>
        <c:varyColors val="0"/>
        <c:ser>
          <c:idx val="0"/>
          <c:order val="0"/>
          <c:tx>
            <c:strRef>
              <c:f>'data-iOL96 (2)'!$A$2</c:f>
              <c:strCache>
                <c:ptCount val="1"/>
                <c:pt idx="0">
                  <c:v>$1 or less</c:v>
                </c:pt>
              </c:strCache>
            </c:strRef>
          </c:tx>
          <c:spPr>
            <a:solidFill>
              <a:schemeClr val="accent6">
                <a:tint val="77000"/>
              </a:schemeClr>
            </a:solidFill>
            <a:ln>
              <a:noFill/>
            </a:ln>
            <a:effectLst/>
          </c:spPr>
          <c:invertIfNegative val="0"/>
          <c:cat>
            <c:strRef>
              <c:f>'data-iOL96 (2)'!$B$1:$F$1</c:f>
              <c:strCache>
                <c:ptCount val="5"/>
                <c:pt idx="0">
                  <c:v>Q4 2012</c:v>
                </c:pt>
                <c:pt idx="1">
                  <c:v>Q4 2013</c:v>
                </c:pt>
                <c:pt idx="2">
                  <c:v>Q4 2014</c:v>
                </c:pt>
                <c:pt idx="3">
                  <c:v>Q4 2015</c:v>
                </c:pt>
                <c:pt idx="4">
                  <c:v>Q4 2016</c:v>
                </c:pt>
              </c:strCache>
            </c:strRef>
          </c:cat>
          <c:val>
            <c:numRef>
              <c:f>'data-iOL96 (2)'!$B$2:$F$2</c:f>
              <c:numCache>
                <c:formatCode>0%</c:formatCode>
                <c:ptCount val="5"/>
                <c:pt idx="0">
                  <c:v>0.5</c:v>
                </c:pt>
                <c:pt idx="1">
                  <c:v>0.44</c:v>
                </c:pt>
                <c:pt idx="2">
                  <c:v>0.39</c:v>
                </c:pt>
                <c:pt idx="3">
                  <c:v>0.28000000000000003</c:v>
                </c:pt>
                <c:pt idx="4">
                  <c:v>0.23</c:v>
                </c:pt>
              </c:numCache>
            </c:numRef>
          </c:val>
          <c:extLst>
            <c:ext xmlns:c16="http://schemas.microsoft.com/office/drawing/2014/chart" uri="{C3380CC4-5D6E-409C-BE32-E72D297353CC}">
              <c16:uniqueId val="{00000000-8C81-4D50-8FDC-22D3533A31CD}"/>
            </c:ext>
          </c:extLst>
        </c:ser>
        <c:ser>
          <c:idx val="1"/>
          <c:order val="1"/>
          <c:tx>
            <c:strRef>
              <c:f>'data-iOL96 (2)'!$A$3</c:f>
              <c:strCache>
                <c:ptCount val="1"/>
                <c:pt idx="0">
                  <c:v>$1 or more</c:v>
                </c:pt>
              </c:strCache>
            </c:strRef>
          </c:tx>
          <c:spPr>
            <a:solidFill>
              <a:schemeClr val="accent6">
                <a:shade val="76000"/>
              </a:schemeClr>
            </a:solidFill>
            <a:ln>
              <a:noFill/>
            </a:ln>
            <a:effectLst/>
          </c:spPr>
          <c:invertIfNegative val="0"/>
          <c:cat>
            <c:strRef>
              <c:f>'data-iOL96 (2)'!$B$1:$F$1</c:f>
              <c:strCache>
                <c:ptCount val="5"/>
                <c:pt idx="0">
                  <c:v>Q4 2012</c:v>
                </c:pt>
                <c:pt idx="1">
                  <c:v>Q4 2013</c:v>
                </c:pt>
                <c:pt idx="2">
                  <c:v>Q4 2014</c:v>
                </c:pt>
                <c:pt idx="3">
                  <c:v>Q4 2015</c:v>
                </c:pt>
                <c:pt idx="4">
                  <c:v>Q4 2016</c:v>
                </c:pt>
              </c:strCache>
            </c:strRef>
          </c:cat>
          <c:val>
            <c:numRef>
              <c:f>'data-iOL96 (2)'!$B$3:$F$3</c:f>
              <c:numCache>
                <c:formatCode>0%</c:formatCode>
                <c:ptCount val="5"/>
                <c:pt idx="0">
                  <c:v>0.5</c:v>
                </c:pt>
                <c:pt idx="1">
                  <c:v>0.56000000000000005</c:v>
                </c:pt>
                <c:pt idx="2">
                  <c:v>0.61</c:v>
                </c:pt>
                <c:pt idx="3">
                  <c:v>0.72</c:v>
                </c:pt>
                <c:pt idx="4">
                  <c:v>0.77</c:v>
                </c:pt>
              </c:numCache>
            </c:numRef>
          </c:val>
          <c:extLst>
            <c:ext xmlns:c16="http://schemas.microsoft.com/office/drawing/2014/chart" uri="{C3380CC4-5D6E-409C-BE32-E72D297353CC}">
              <c16:uniqueId val="{00000001-8C81-4D50-8FDC-22D3533A31CD}"/>
            </c:ext>
          </c:extLst>
        </c:ser>
        <c:dLbls>
          <c:showLegendKey val="0"/>
          <c:showVal val="0"/>
          <c:showCatName val="0"/>
          <c:showSerName val="0"/>
          <c:showPercent val="0"/>
          <c:showBubbleSize val="0"/>
        </c:dLbls>
        <c:gapWidth val="219"/>
        <c:overlap val="100"/>
        <c:axId val="357679919"/>
        <c:axId val="358986335"/>
      </c:barChart>
      <c:catAx>
        <c:axId val="35767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358986335"/>
        <c:crosses val="autoZero"/>
        <c:auto val="1"/>
        <c:lblAlgn val="ctr"/>
        <c:lblOffset val="100"/>
        <c:noMultiLvlLbl val="0"/>
      </c:catAx>
      <c:valAx>
        <c:axId val="35898633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35767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CA" sz="800" b="1">
                <a:solidFill>
                  <a:sysClr val="windowText" lastClr="000000"/>
                </a:solidFill>
              </a:rPr>
              <a:t>Five</a:t>
            </a:r>
            <a:r>
              <a:rPr lang="en-CA" sz="800" b="1" baseline="0">
                <a:solidFill>
                  <a:sysClr val="windowText" lastClr="000000"/>
                </a:solidFill>
              </a:rPr>
              <a:t> Largest Dollar Chains in Canada 2012 - 2016</a:t>
            </a:r>
            <a:endParaRPr lang="en-CA" sz="800" b="1">
              <a:solidFill>
                <a:sysClr val="windowText" lastClr="000000"/>
              </a:solidFill>
            </a:endParaRP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205489714196403"/>
          <c:y val="0.12402099737532808"/>
          <c:w val="0.85322468161705656"/>
          <c:h val="0.55976102209013756"/>
        </c:manualLayout>
      </c:layout>
      <c:barChart>
        <c:barDir val="col"/>
        <c:grouping val="clustered"/>
        <c:varyColors val="0"/>
        <c:ser>
          <c:idx val="0"/>
          <c:order val="0"/>
          <c:tx>
            <c:strRef>
              <c:f>Sheet3!$A$2</c:f>
              <c:strCache>
                <c:ptCount val="1"/>
                <c:pt idx="0">
                  <c:v>Dollarama</c:v>
                </c:pt>
              </c:strCache>
            </c:strRef>
          </c:tx>
          <c:spPr>
            <a:solidFill>
              <a:schemeClr val="accent6">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Sheet3!$B$1:$F$1</c:f>
              <c:numCache>
                <c:formatCode>General</c:formatCode>
                <c:ptCount val="5"/>
                <c:pt idx="0">
                  <c:v>2012</c:v>
                </c:pt>
                <c:pt idx="1">
                  <c:v>2013</c:v>
                </c:pt>
                <c:pt idx="2">
                  <c:v>2014</c:v>
                </c:pt>
                <c:pt idx="3">
                  <c:v>2015</c:v>
                </c:pt>
                <c:pt idx="4">
                  <c:v>2016</c:v>
                </c:pt>
              </c:numCache>
            </c:numRef>
          </c:cat>
          <c:val>
            <c:numRef>
              <c:f>Sheet3!$B$2:$F$2</c:f>
              <c:numCache>
                <c:formatCode>General</c:formatCode>
                <c:ptCount val="5"/>
                <c:pt idx="0">
                  <c:v>704</c:v>
                </c:pt>
                <c:pt idx="1">
                  <c:v>761</c:v>
                </c:pt>
                <c:pt idx="2">
                  <c:v>874</c:v>
                </c:pt>
                <c:pt idx="3">
                  <c:v>955</c:v>
                </c:pt>
                <c:pt idx="4">
                  <c:v>1030</c:v>
                </c:pt>
              </c:numCache>
            </c:numRef>
          </c:val>
          <c:extLst>
            <c:ext xmlns:c16="http://schemas.microsoft.com/office/drawing/2014/chart" uri="{C3380CC4-5D6E-409C-BE32-E72D297353CC}">
              <c16:uniqueId val="{00000000-9CC4-4B31-8129-D50CB4AB7D33}"/>
            </c:ext>
          </c:extLst>
        </c:ser>
        <c:ser>
          <c:idx val="1"/>
          <c:order val="1"/>
          <c:tx>
            <c:strRef>
              <c:f>Sheet3!$A$3</c:f>
              <c:strCache>
                <c:ptCount val="1"/>
                <c:pt idx="0">
                  <c:v>Dollar Tree Canada</c:v>
                </c:pt>
              </c:strCache>
            </c:strRef>
          </c:tx>
          <c:spPr>
            <a:solidFill>
              <a:schemeClr val="accent6">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Sheet3!$B$1:$F$1</c:f>
              <c:numCache>
                <c:formatCode>General</c:formatCode>
                <c:ptCount val="5"/>
                <c:pt idx="0">
                  <c:v>2012</c:v>
                </c:pt>
                <c:pt idx="1">
                  <c:v>2013</c:v>
                </c:pt>
                <c:pt idx="2">
                  <c:v>2014</c:v>
                </c:pt>
                <c:pt idx="3">
                  <c:v>2015</c:v>
                </c:pt>
                <c:pt idx="4">
                  <c:v>2016</c:v>
                </c:pt>
              </c:numCache>
            </c:numRef>
          </c:cat>
          <c:val>
            <c:numRef>
              <c:f>Sheet3!$B$3:$F$3</c:f>
              <c:numCache>
                <c:formatCode>General</c:formatCode>
                <c:ptCount val="5"/>
                <c:pt idx="0">
                  <c:v>99</c:v>
                </c:pt>
                <c:pt idx="1">
                  <c:v>129</c:v>
                </c:pt>
                <c:pt idx="2">
                  <c:v>185</c:v>
                </c:pt>
                <c:pt idx="3">
                  <c:v>210</c:v>
                </c:pt>
                <c:pt idx="4">
                  <c:v>224</c:v>
                </c:pt>
              </c:numCache>
            </c:numRef>
          </c:val>
          <c:extLst>
            <c:ext xmlns:c16="http://schemas.microsoft.com/office/drawing/2014/chart" uri="{C3380CC4-5D6E-409C-BE32-E72D297353CC}">
              <c16:uniqueId val="{00000001-9CC4-4B31-8129-D50CB4AB7D33}"/>
            </c:ext>
          </c:extLst>
        </c:ser>
        <c:ser>
          <c:idx val="2"/>
          <c:order val="2"/>
          <c:tx>
            <c:strRef>
              <c:f>Sheet3!$A$4</c:f>
              <c:strCache>
                <c:ptCount val="1"/>
                <c:pt idx="0">
                  <c:v>Dollar Store with More</c:v>
                </c:pt>
              </c:strCache>
            </c:strRef>
          </c:tx>
          <c:spPr>
            <a:solidFill>
              <a:schemeClr val="accent6"/>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Sheet3!$B$4:$F$4</c:f>
              <c:numCache>
                <c:formatCode>General</c:formatCode>
                <c:ptCount val="5"/>
                <c:pt idx="0">
                  <c:v>120</c:v>
                </c:pt>
                <c:pt idx="1">
                  <c:v>120</c:v>
                </c:pt>
                <c:pt idx="2">
                  <c:v>121</c:v>
                </c:pt>
                <c:pt idx="3">
                  <c:v>120</c:v>
                </c:pt>
                <c:pt idx="4">
                  <c:v>120</c:v>
                </c:pt>
              </c:numCache>
            </c:numRef>
          </c:val>
          <c:extLst>
            <c:ext xmlns:c16="http://schemas.microsoft.com/office/drawing/2014/chart" uri="{C3380CC4-5D6E-409C-BE32-E72D297353CC}">
              <c16:uniqueId val="{00000002-9CC4-4B31-8129-D50CB4AB7D33}"/>
            </c:ext>
          </c:extLst>
        </c:ser>
        <c:ser>
          <c:idx val="3"/>
          <c:order val="3"/>
          <c:tx>
            <c:strRef>
              <c:f>Sheet3!$A$5</c:f>
              <c:strCache>
                <c:ptCount val="1"/>
                <c:pt idx="0">
                  <c:v>Great Canadian Dollar Store</c:v>
                </c:pt>
              </c:strCache>
            </c:strRef>
          </c:tx>
          <c:spPr>
            <a:solidFill>
              <a:schemeClr val="accent6">
                <a:tint val="77000"/>
              </a:schemeClr>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Sheet3!$B$5:$F$5</c:f>
              <c:numCache>
                <c:formatCode>General</c:formatCode>
                <c:ptCount val="5"/>
                <c:pt idx="0">
                  <c:v>109</c:v>
                </c:pt>
                <c:pt idx="1">
                  <c:v>106</c:v>
                </c:pt>
                <c:pt idx="2">
                  <c:v>93</c:v>
                </c:pt>
                <c:pt idx="3">
                  <c:v>95</c:v>
                </c:pt>
                <c:pt idx="4">
                  <c:v>98</c:v>
                </c:pt>
              </c:numCache>
            </c:numRef>
          </c:val>
          <c:extLst>
            <c:ext xmlns:c16="http://schemas.microsoft.com/office/drawing/2014/chart" uri="{C3380CC4-5D6E-409C-BE32-E72D297353CC}">
              <c16:uniqueId val="{00000003-9CC4-4B31-8129-D50CB4AB7D33}"/>
            </c:ext>
          </c:extLst>
        </c:ser>
        <c:ser>
          <c:idx val="4"/>
          <c:order val="4"/>
          <c:tx>
            <c:strRef>
              <c:f>Sheet3!$A$6</c:f>
              <c:strCache>
                <c:ptCount val="1"/>
                <c:pt idx="0">
                  <c:v>Buck or Two Plus</c:v>
                </c:pt>
              </c:strCache>
            </c:strRef>
          </c:tx>
          <c:spPr>
            <a:solidFill>
              <a:schemeClr val="accent6">
                <a:tint val="54000"/>
              </a:schemeClr>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Sheet3!$B$6:$F$6</c:f>
              <c:numCache>
                <c:formatCode>General</c:formatCode>
                <c:ptCount val="5"/>
                <c:pt idx="0">
                  <c:v>52</c:v>
                </c:pt>
                <c:pt idx="1">
                  <c:v>48</c:v>
                </c:pt>
                <c:pt idx="2">
                  <c:v>48</c:v>
                </c:pt>
                <c:pt idx="3">
                  <c:v>49</c:v>
                </c:pt>
                <c:pt idx="4">
                  <c:v>49</c:v>
                </c:pt>
              </c:numCache>
            </c:numRef>
          </c:val>
          <c:extLst>
            <c:ext xmlns:c16="http://schemas.microsoft.com/office/drawing/2014/chart" uri="{C3380CC4-5D6E-409C-BE32-E72D297353CC}">
              <c16:uniqueId val="{00000004-9CC4-4B31-8129-D50CB4AB7D33}"/>
            </c:ext>
          </c:extLst>
        </c:ser>
        <c:dLbls>
          <c:showLegendKey val="0"/>
          <c:showVal val="0"/>
          <c:showCatName val="0"/>
          <c:showSerName val="0"/>
          <c:showPercent val="0"/>
          <c:showBubbleSize val="0"/>
        </c:dLbls>
        <c:gapWidth val="150"/>
        <c:axId val="1554943808"/>
        <c:axId val="1501366960"/>
      </c:barChart>
      <c:catAx>
        <c:axId val="155494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501366960"/>
        <c:crosses val="autoZero"/>
        <c:auto val="1"/>
        <c:lblAlgn val="ctr"/>
        <c:lblOffset val="100"/>
        <c:noMultiLvlLbl val="0"/>
      </c:catAx>
      <c:valAx>
        <c:axId val="150136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CA" sz="800">
                    <a:solidFill>
                      <a:sysClr val="windowText" lastClr="000000"/>
                    </a:solidFill>
                  </a:rPr>
                  <a:t>Number of Stores</a:t>
                </a:r>
              </a:p>
            </c:rich>
          </c:tx>
          <c:layout>
            <c:manualLayout>
              <c:xMode val="edge"/>
              <c:yMode val="edge"/>
              <c:x val="1.0060200380496586E-2"/>
              <c:y val="0.2703346712011193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554943808"/>
        <c:crosses val="autoZero"/>
        <c:crossBetween val="between"/>
      </c:valAx>
      <c:spPr>
        <a:noFill/>
        <a:ln>
          <a:noFill/>
        </a:ln>
        <a:effectLst/>
      </c:spPr>
    </c:plotArea>
    <c:legend>
      <c:legendPos val="b"/>
      <c:layout>
        <c:manualLayout>
          <c:xMode val="edge"/>
          <c:yMode val="edge"/>
          <c:x val="7.4503925521344841E-2"/>
          <c:y val="0.77068578489945561"/>
          <c:w val="0.92255161759047077"/>
          <c:h val="0.1547453342525732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89FAE-5F73-4D79-961D-101B64A72A8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4EA2757-7ED9-4F9A-93AE-ECA764A30A33}">
      <dgm:prSet phldrT="[Text]" custT="1"/>
      <dgm:spPr>
        <a:noFill/>
        <a:ln>
          <a:solidFill>
            <a:schemeClr val="tx1"/>
          </a:solidFill>
        </a:ln>
      </dgm:spPr>
      <dgm:t>
        <a:bodyPr/>
        <a:lstStyle/>
        <a:p>
          <a:pPr algn="ctr"/>
          <a:r>
            <a:rPr lang="en-US" sz="800" b="0" cap="none" spc="0">
              <a:ln w="0"/>
              <a:solidFill>
                <a:schemeClr val="tx1"/>
              </a:solidFill>
              <a:effectLst>
                <a:outerShdw blurRad="38100" dist="19050" dir="2700000" algn="tl" rotWithShape="0">
                  <a:schemeClr val="dk1">
                    <a:alpha val="40000"/>
                  </a:schemeClr>
                </a:outerShdw>
              </a:effectLst>
            </a:rPr>
            <a:t>Dollarama Inc.</a:t>
          </a:r>
        </a:p>
      </dgm:t>
    </dgm:pt>
    <dgm:pt modelId="{D39A0156-2D7F-4974-B2BF-DA03587954BF}" type="parTrans" cxnId="{AD6881F1-1E2A-4601-9053-2AC2E94228EA}">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62475EB5-6804-403A-BCA9-84013A785387}" type="sibTrans" cxnId="{AD6881F1-1E2A-4601-9053-2AC2E94228EA}">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10A08093-768A-42E0-9130-C00C8C7A82CE}">
      <dgm:prSet phldrT="[Text]" custT="1"/>
      <dgm:spPr>
        <a:noFill/>
        <a:ln>
          <a:solidFill>
            <a:schemeClr val="tx1"/>
          </a:solidFill>
        </a:ln>
      </dgm:spPr>
      <dgm:t>
        <a:bodyPr/>
        <a:lstStyle/>
        <a:p>
          <a:pPr algn="ctr"/>
          <a:r>
            <a:rPr lang="en-US" sz="800" b="0" cap="none" spc="0">
              <a:ln w="0"/>
              <a:solidFill>
                <a:sysClr val="windowText" lastClr="000000"/>
              </a:solidFill>
              <a:effectLst>
                <a:outerShdw blurRad="38100" dist="19050" dir="2700000" algn="tl" rotWithShape="0">
                  <a:schemeClr val="dk1">
                    <a:alpha val="40000"/>
                  </a:schemeClr>
                </a:outerShdw>
              </a:effectLst>
            </a:rPr>
            <a:t>Dollarama L.P.</a:t>
          </a:r>
        </a:p>
      </dgm:t>
    </dgm:pt>
    <dgm:pt modelId="{8A465D9F-8E19-4120-9B1E-81CF5A13240C}" type="parTrans" cxnId="{07197A4D-F562-428B-81CF-44DEA0A69B60}">
      <dgm:prSet>
        <dgm:style>
          <a:lnRef idx="1">
            <a:schemeClr val="dk1"/>
          </a:lnRef>
          <a:fillRef idx="0">
            <a:schemeClr val="dk1"/>
          </a:fillRef>
          <a:effectRef idx="0">
            <a:schemeClr val="dk1"/>
          </a:effectRef>
          <a:fontRef idx="minor">
            <a:schemeClr val="tx1"/>
          </a:fontRef>
        </dgm:style>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8BF3FADE-7762-49E4-92F9-D4256CB350BB}" type="sibTrans" cxnId="{07197A4D-F562-428B-81CF-44DEA0A69B60}">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5DC07805-D656-476E-B432-1F2361EA5E87}">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800" b="0" cap="none" spc="0">
              <a:ln w="0"/>
              <a:solidFill>
                <a:sysClr val="windowText" lastClr="000000"/>
              </a:solidFill>
              <a:effectLst>
                <a:outerShdw blurRad="38100" dist="19050" dir="2700000" algn="tl" rotWithShape="0">
                  <a:schemeClr val="dk1">
                    <a:alpha val="40000"/>
                  </a:schemeClr>
                </a:outerShdw>
              </a:effectLst>
            </a:rPr>
            <a:t>Dollarama </a:t>
          </a:r>
          <a:r>
            <a:rPr lang="en-US" sz="800" b="0" cap="none" spc="0">
              <a:ln w="0">
                <a:noFill/>
              </a:ln>
              <a:solidFill>
                <a:sysClr val="windowText" lastClr="000000"/>
              </a:solidFill>
              <a:effectLst>
                <a:outerShdw blurRad="38100" dist="19050" dir="2700000" algn="tl" rotWithShape="0">
                  <a:schemeClr val="dk1">
                    <a:alpha val="40000"/>
                  </a:schemeClr>
                </a:outerShdw>
              </a:effectLst>
            </a:rPr>
            <a:t>International</a:t>
          </a:r>
          <a:r>
            <a:rPr lang="en-US" sz="800" b="0" cap="none" spc="0">
              <a:ln w="0"/>
              <a:solidFill>
                <a:sysClr val="windowText" lastClr="000000"/>
              </a:solidFill>
              <a:effectLst>
                <a:outerShdw blurRad="38100" dist="19050" dir="2700000" algn="tl" rotWithShape="0">
                  <a:schemeClr val="dk1">
                    <a:alpha val="40000"/>
                  </a:schemeClr>
                </a:outerShdw>
              </a:effectLst>
            </a:rPr>
            <a:t> Inc.</a:t>
          </a:r>
        </a:p>
      </dgm:t>
    </dgm:pt>
    <dgm:pt modelId="{C0D3F011-5DBD-4820-BBF0-FC35B8313B81}" type="parTrans" cxnId="{34EED2F4-CDD6-49FA-858D-EF18645F8754}">
      <dgm:prSet>
        <dgm:style>
          <a:lnRef idx="1">
            <a:schemeClr val="dk1"/>
          </a:lnRef>
          <a:fillRef idx="0">
            <a:schemeClr val="dk1"/>
          </a:fillRef>
          <a:effectRef idx="0">
            <a:schemeClr val="dk1"/>
          </a:effectRef>
          <a:fontRef idx="minor">
            <a:schemeClr val="tx1"/>
          </a:fontRef>
        </dgm:style>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EF2F9F3C-1135-4BEE-9753-5B7B8179198A}" type="sibTrans" cxnId="{34EED2F4-CDD6-49FA-858D-EF18645F8754}">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38DF5607-CE14-4080-84A3-85F315C600F9}" type="pres">
      <dgm:prSet presAssocID="{33589FAE-5F73-4D79-961D-101B64A72A89}" presName="hierChild1" presStyleCnt="0">
        <dgm:presLayoutVars>
          <dgm:orgChart val="1"/>
          <dgm:chPref val="1"/>
          <dgm:dir/>
          <dgm:animOne val="branch"/>
          <dgm:animLvl val="lvl"/>
          <dgm:resizeHandles/>
        </dgm:presLayoutVars>
      </dgm:prSet>
      <dgm:spPr/>
    </dgm:pt>
    <dgm:pt modelId="{FA59650B-2BF9-41F2-BA91-83E83A849D97}" type="pres">
      <dgm:prSet presAssocID="{14EA2757-7ED9-4F9A-93AE-ECA764A30A33}" presName="hierRoot1" presStyleCnt="0">
        <dgm:presLayoutVars>
          <dgm:hierBranch val="init"/>
        </dgm:presLayoutVars>
      </dgm:prSet>
      <dgm:spPr/>
    </dgm:pt>
    <dgm:pt modelId="{7FD70001-B83A-4F75-93B2-17F5C9A23835}" type="pres">
      <dgm:prSet presAssocID="{14EA2757-7ED9-4F9A-93AE-ECA764A30A33}" presName="rootComposite1" presStyleCnt="0"/>
      <dgm:spPr/>
    </dgm:pt>
    <dgm:pt modelId="{5768EE9F-5FE3-4D6C-9F12-2E8F005B6239}" type="pres">
      <dgm:prSet presAssocID="{14EA2757-7ED9-4F9A-93AE-ECA764A30A33}" presName="rootText1" presStyleLbl="node0" presStyleIdx="0" presStyleCnt="1" custScaleX="128439" custScaleY="34018">
        <dgm:presLayoutVars>
          <dgm:chPref val="3"/>
        </dgm:presLayoutVars>
      </dgm:prSet>
      <dgm:spPr/>
    </dgm:pt>
    <dgm:pt modelId="{11994B2D-77D6-4A18-8B03-4747BE5A2DA6}" type="pres">
      <dgm:prSet presAssocID="{14EA2757-7ED9-4F9A-93AE-ECA764A30A33}" presName="rootConnector1" presStyleLbl="node1" presStyleIdx="0" presStyleCnt="0"/>
      <dgm:spPr/>
    </dgm:pt>
    <dgm:pt modelId="{3ED12DC7-C394-4B7E-8B86-A49AD532BF43}" type="pres">
      <dgm:prSet presAssocID="{14EA2757-7ED9-4F9A-93AE-ECA764A30A33}" presName="hierChild2" presStyleCnt="0"/>
      <dgm:spPr/>
    </dgm:pt>
    <dgm:pt modelId="{6E5C21C3-C0BA-47C0-B915-6B4C535603D9}" type="pres">
      <dgm:prSet presAssocID="{8A465D9F-8E19-4120-9B1E-81CF5A13240C}" presName="Name37" presStyleLbl="parChTrans1D2" presStyleIdx="0" presStyleCnt="2"/>
      <dgm:spPr/>
    </dgm:pt>
    <dgm:pt modelId="{827106EA-9068-443D-916F-3F783A89CC6A}" type="pres">
      <dgm:prSet presAssocID="{10A08093-768A-42E0-9130-C00C8C7A82CE}" presName="hierRoot2" presStyleCnt="0">
        <dgm:presLayoutVars>
          <dgm:hierBranch val="init"/>
        </dgm:presLayoutVars>
      </dgm:prSet>
      <dgm:spPr/>
    </dgm:pt>
    <dgm:pt modelId="{4E6BA827-93D4-494A-9EA0-BE5C5B827A8F}" type="pres">
      <dgm:prSet presAssocID="{10A08093-768A-42E0-9130-C00C8C7A82CE}" presName="rootComposite" presStyleCnt="0"/>
      <dgm:spPr/>
    </dgm:pt>
    <dgm:pt modelId="{FA8735F3-17E9-4E5A-B750-9E1D7800E6C2}" type="pres">
      <dgm:prSet presAssocID="{10A08093-768A-42E0-9130-C00C8C7A82CE}" presName="rootText" presStyleLbl="node2" presStyleIdx="0" presStyleCnt="2" custScaleX="128439" custScaleY="34018">
        <dgm:presLayoutVars>
          <dgm:chPref val="3"/>
        </dgm:presLayoutVars>
      </dgm:prSet>
      <dgm:spPr/>
    </dgm:pt>
    <dgm:pt modelId="{10FDBBAF-89EB-4F8A-AFA8-7CE8566D42A7}" type="pres">
      <dgm:prSet presAssocID="{10A08093-768A-42E0-9130-C00C8C7A82CE}" presName="rootConnector" presStyleLbl="node2" presStyleIdx="0" presStyleCnt="2"/>
      <dgm:spPr/>
    </dgm:pt>
    <dgm:pt modelId="{438E00E1-C7DA-4DB9-B1A3-57DF7F6E580A}" type="pres">
      <dgm:prSet presAssocID="{10A08093-768A-42E0-9130-C00C8C7A82CE}" presName="hierChild4" presStyleCnt="0"/>
      <dgm:spPr/>
    </dgm:pt>
    <dgm:pt modelId="{BD5D406F-E9BE-4F0F-9D75-9143E9A55F20}" type="pres">
      <dgm:prSet presAssocID="{10A08093-768A-42E0-9130-C00C8C7A82CE}" presName="hierChild5" presStyleCnt="0"/>
      <dgm:spPr/>
    </dgm:pt>
    <dgm:pt modelId="{972949B1-C884-4B46-9449-FB633E79DE06}" type="pres">
      <dgm:prSet presAssocID="{C0D3F011-5DBD-4820-BBF0-FC35B8313B81}" presName="Name37" presStyleLbl="parChTrans1D2" presStyleIdx="1" presStyleCnt="2"/>
      <dgm:spPr/>
    </dgm:pt>
    <dgm:pt modelId="{D2C3ACCE-9751-4103-A4E5-9227B25225A0}" type="pres">
      <dgm:prSet presAssocID="{5DC07805-D656-476E-B432-1F2361EA5E87}" presName="hierRoot2" presStyleCnt="0">
        <dgm:presLayoutVars>
          <dgm:hierBranch val="init"/>
        </dgm:presLayoutVars>
      </dgm:prSet>
      <dgm:spPr/>
    </dgm:pt>
    <dgm:pt modelId="{689D2191-0CD6-4FF0-A4ED-3AFF21A1EFA3}" type="pres">
      <dgm:prSet presAssocID="{5DC07805-D656-476E-B432-1F2361EA5E87}" presName="rootComposite" presStyleCnt="0"/>
      <dgm:spPr/>
    </dgm:pt>
    <dgm:pt modelId="{DF175F90-D6C4-4C6F-A20B-FE352FE98089}" type="pres">
      <dgm:prSet presAssocID="{5DC07805-D656-476E-B432-1F2361EA5E87}" presName="rootText" presStyleLbl="node2" presStyleIdx="1" presStyleCnt="2" custScaleX="128439" custScaleY="34018" custLinFactNeighborY="0">
        <dgm:presLayoutVars>
          <dgm:chPref val="3"/>
        </dgm:presLayoutVars>
      </dgm:prSet>
      <dgm:spPr/>
    </dgm:pt>
    <dgm:pt modelId="{FC939BAF-0751-4D1F-AA46-A0525EE750AA}" type="pres">
      <dgm:prSet presAssocID="{5DC07805-D656-476E-B432-1F2361EA5E87}" presName="rootConnector" presStyleLbl="node2" presStyleIdx="1" presStyleCnt="2"/>
      <dgm:spPr/>
    </dgm:pt>
    <dgm:pt modelId="{93028BE2-204A-4DEA-9D78-9B34ADD6E9F2}" type="pres">
      <dgm:prSet presAssocID="{5DC07805-D656-476E-B432-1F2361EA5E87}" presName="hierChild4" presStyleCnt="0"/>
      <dgm:spPr/>
    </dgm:pt>
    <dgm:pt modelId="{231F3F53-D300-4F73-8A00-8F7DEE436B7B}" type="pres">
      <dgm:prSet presAssocID="{5DC07805-D656-476E-B432-1F2361EA5E87}" presName="hierChild5" presStyleCnt="0"/>
      <dgm:spPr/>
    </dgm:pt>
    <dgm:pt modelId="{F16B114F-E8E5-4B62-83DB-3D77144C9ABC}" type="pres">
      <dgm:prSet presAssocID="{14EA2757-7ED9-4F9A-93AE-ECA764A30A33}" presName="hierChild3" presStyleCnt="0"/>
      <dgm:spPr/>
    </dgm:pt>
  </dgm:ptLst>
  <dgm:cxnLst>
    <dgm:cxn modelId="{417308F7-2074-444A-BBEE-B887AC137ABA}" type="presOf" srcId="{10A08093-768A-42E0-9130-C00C8C7A82CE}" destId="{10FDBBAF-89EB-4F8A-AFA8-7CE8566D42A7}" srcOrd="1" destOrd="0" presId="urn:microsoft.com/office/officeart/2005/8/layout/orgChart1"/>
    <dgm:cxn modelId="{AD6881F1-1E2A-4601-9053-2AC2E94228EA}" srcId="{33589FAE-5F73-4D79-961D-101B64A72A89}" destId="{14EA2757-7ED9-4F9A-93AE-ECA764A30A33}" srcOrd="0" destOrd="0" parTransId="{D39A0156-2D7F-4974-B2BF-DA03587954BF}" sibTransId="{62475EB5-6804-403A-BCA9-84013A785387}"/>
    <dgm:cxn modelId="{49464E51-CB40-409D-BFE5-15BA749E48DE}" type="presOf" srcId="{14EA2757-7ED9-4F9A-93AE-ECA764A30A33}" destId="{5768EE9F-5FE3-4D6C-9F12-2E8F005B6239}" srcOrd="0" destOrd="0" presId="urn:microsoft.com/office/officeart/2005/8/layout/orgChart1"/>
    <dgm:cxn modelId="{FA15D7B4-D19C-4505-950C-D75438E1C2D3}" type="presOf" srcId="{C0D3F011-5DBD-4820-BBF0-FC35B8313B81}" destId="{972949B1-C884-4B46-9449-FB633E79DE06}" srcOrd="0" destOrd="0" presId="urn:microsoft.com/office/officeart/2005/8/layout/orgChart1"/>
    <dgm:cxn modelId="{9050433D-84F0-403F-A7CE-21CE6B3B6F0B}" type="presOf" srcId="{14EA2757-7ED9-4F9A-93AE-ECA764A30A33}" destId="{11994B2D-77D6-4A18-8B03-4747BE5A2DA6}" srcOrd="1" destOrd="0" presId="urn:microsoft.com/office/officeart/2005/8/layout/orgChart1"/>
    <dgm:cxn modelId="{34EED2F4-CDD6-49FA-858D-EF18645F8754}" srcId="{14EA2757-7ED9-4F9A-93AE-ECA764A30A33}" destId="{5DC07805-D656-476E-B432-1F2361EA5E87}" srcOrd="1" destOrd="0" parTransId="{C0D3F011-5DBD-4820-BBF0-FC35B8313B81}" sibTransId="{EF2F9F3C-1135-4BEE-9753-5B7B8179198A}"/>
    <dgm:cxn modelId="{E36B2799-BC43-4491-8B56-817814F4A0D2}" type="presOf" srcId="{8A465D9F-8E19-4120-9B1E-81CF5A13240C}" destId="{6E5C21C3-C0BA-47C0-B915-6B4C535603D9}" srcOrd="0" destOrd="0" presId="urn:microsoft.com/office/officeart/2005/8/layout/orgChart1"/>
    <dgm:cxn modelId="{2BC4796D-1188-46DA-B6BC-29BCC90B2C4B}" type="presOf" srcId="{33589FAE-5F73-4D79-961D-101B64A72A89}" destId="{38DF5607-CE14-4080-84A3-85F315C600F9}" srcOrd="0" destOrd="0" presId="urn:microsoft.com/office/officeart/2005/8/layout/orgChart1"/>
    <dgm:cxn modelId="{07197A4D-F562-428B-81CF-44DEA0A69B60}" srcId="{14EA2757-7ED9-4F9A-93AE-ECA764A30A33}" destId="{10A08093-768A-42E0-9130-C00C8C7A82CE}" srcOrd="0" destOrd="0" parTransId="{8A465D9F-8E19-4120-9B1E-81CF5A13240C}" sibTransId="{8BF3FADE-7762-49E4-92F9-D4256CB350BB}"/>
    <dgm:cxn modelId="{ACFF3FBA-64C9-4331-9E32-9D7C00361FF9}" type="presOf" srcId="{10A08093-768A-42E0-9130-C00C8C7A82CE}" destId="{FA8735F3-17E9-4E5A-B750-9E1D7800E6C2}" srcOrd="0" destOrd="0" presId="urn:microsoft.com/office/officeart/2005/8/layout/orgChart1"/>
    <dgm:cxn modelId="{9A8A5CCF-F7B3-4C18-B355-986F58559830}" type="presOf" srcId="{5DC07805-D656-476E-B432-1F2361EA5E87}" destId="{FC939BAF-0751-4D1F-AA46-A0525EE750AA}" srcOrd="1" destOrd="0" presId="urn:microsoft.com/office/officeart/2005/8/layout/orgChart1"/>
    <dgm:cxn modelId="{BED8226C-FF4C-4A98-97DA-E15A3F85007A}" type="presOf" srcId="{5DC07805-D656-476E-B432-1F2361EA5E87}" destId="{DF175F90-D6C4-4C6F-A20B-FE352FE98089}" srcOrd="0" destOrd="0" presId="urn:microsoft.com/office/officeart/2005/8/layout/orgChart1"/>
    <dgm:cxn modelId="{E9A121D6-65BE-4DE6-A9FC-BDD71C3F55AD}" type="presParOf" srcId="{38DF5607-CE14-4080-84A3-85F315C600F9}" destId="{FA59650B-2BF9-41F2-BA91-83E83A849D97}" srcOrd="0" destOrd="0" presId="urn:microsoft.com/office/officeart/2005/8/layout/orgChart1"/>
    <dgm:cxn modelId="{E9B528CE-6DAE-4F4B-B37B-9BFBB6C13850}" type="presParOf" srcId="{FA59650B-2BF9-41F2-BA91-83E83A849D97}" destId="{7FD70001-B83A-4F75-93B2-17F5C9A23835}" srcOrd="0" destOrd="0" presId="urn:microsoft.com/office/officeart/2005/8/layout/orgChart1"/>
    <dgm:cxn modelId="{E181F547-4925-4C66-AB7C-173B63E0687F}" type="presParOf" srcId="{7FD70001-B83A-4F75-93B2-17F5C9A23835}" destId="{5768EE9F-5FE3-4D6C-9F12-2E8F005B6239}" srcOrd="0" destOrd="0" presId="urn:microsoft.com/office/officeart/2005/8/layout/orgChart1"/>
    <dgm:cxn modelId="{AF182092-94F7-4042-9CBB-C9993A849959}" type="presParOf" srcId="{7FD70001-B83A-4F75-93B2-17F5C9A23835}" destId="{11994B2D-77D6-4A18-8B03-4747BE5A2DA6}" srcOrd="1" destOrd="0" presId="urn:microsoft.com/office/officeart/2005/8/layout/orgChart1"/>
    <dgm:cxn modelId="{7C656225-BE88-4C08-A3FA-6B9288AB911B}" type="presParOf" srcId="{FA59650B-2BF9-41F2-BA91-83E83A849D97}" destId="{3ED12DC7-C394-4B7E-8B86-A49AD532BF43}" srcOrd="1" destOrd="0" presId="urn:microsoft.com/office/officeart/2005/8/layout/orgChart1"/>
    <dgm:cxn modelId="{1E808DA9-B543-4E90-BB83-233E8DBCC832}" type="presParOf" srcId="{3ED12DC7-C394-4B7E-8B86-A49AD532BF43}" destId="{6E5C21C3-C0BA-47C0-B915-6B4C535603D9}" srcOrd="0" destOrd="0" presId="urn:microsoft.com/office/officeart/2005/8/layout/orgChart1"/>
    <dgm:cxn modelId="{4F738219-DB17-4691-9773-E7A6BA20A7FB}" type="presParOf" srcId="{3ED12DC7-C394-4B7E-8B86-A49AD532BF43}" destId="{827106EA-9068-443D-916F-3F783A89CC6A}" srcOrd="1" destOrd="0" presId="urn:microsoft.com/office/officeart/2005/8/layout/orgChart1"/>
    <dgm:cxn modelId="{78C0E9E3-495E-4C1E-B407-70291AD52B45}" type="presParOf" srcId="{827106EA-9068-443D-916F-3F783A89CC6A}" destId="{4E6BA827-93D4-494A-9EA0-BE5C5B827A8F}" srcOrd="0" destOrd="0" presId="urn:microsoft.com/office/officeart/2005/8/layout/orgChart1"/>
    <dgm:cxn modelId="{DACBE908-7E8F-4B92-BF01-25EB98EAFC51}" type="presParOf" srcId="{4E6BA827-93D4-494A-9EA0-BE5C5B827A8F}" destId="{FA8735F3-17E9-4E5A-B750-9E1D7800E6C2}" srcOrd="0" destOrd="0" presId="urn:microsoft.com/office/officeart/2005/8/layout/orgChart1"/>
    <dgm:cxn modelId="{3D725798-3C3D-4BA9-9EE3-5EB04EEBE8BA}" type="presParOf" srcId="{4E6BA827-93D4-494A-9EA0-BE5C5B827A8F}" destId="{10FDBBAF-89EB-4F8A-AFA8-7CE8566D42A7}" srcOrd="1" destOrd="0" presId="urn:microsoft.com/office/officeart/2005/8/layout/orgChart1"/>
    <dgm:cxn modelId="{B7606F5C-B0DC-4A61-87E5-0567C8E88360}" type="presParOf" srcId="{827106EA-9068-443D-916F-3F783A89CC6A}" destId="{438E00E1-C7DA-4DB9-B1A3-57DF7F6E580A}" srcOrd="1" destOrd="0" presId="urn:microsoft.com/office/officeart/2005/8/layout/orgChart1"/>
    <dgm:cxn modelId="{5D5B07E4-EE18-4E15-92AC-B63FBD848298}" type="presParOf" srcId="{827106EA-9068-443D-916F-3F783A89CC6A}" destId="{BD5D406F-E9BE-4F0F-9D75-9143E9A55F20}" srcOrd="2" destOrd="0" presId="urn:microsoft.com/office/officeart/2005/8/layout/orgChart1"/>
    <dgm:cxn modelId="{7E543159-9210-4E85-A4DF-EDF3E5EB63BB}" type="presParOf" srcId="{3ED12DC7-C394-4B7E-8B86-A49AD532BF43}" destId="{972949B1-C884-4B46-9449-FB633E79DE06}" srcOrd="2" destOrd="0" presId="urn:microsoft.com/office/officeart/2005/8/layout/orgChart1"/>
    <dgm:cxn modelId="{59B4B772-C706-44D1-8430-FBCAEA2C68E5}" type="presParOf" srcId="{3ED12DC7-C394-4B7E-8B86-A49AD532BF43}" destId="{D2C3ACCE-9751-4103-A4E5-9227B25225A0}" srcOrd="3" destOrd="0" presId="urn:microsoft.com/office/officeart/2005/8/layout/orgChart1"/>
    <dgm:cxn modelId="{FB0EE9D4-F688-46FF-BA4F-AE5DA910B7E3}" type="presParOf" srcId="{D2C3ACCE-9751-4103-A4E5-9227B25225A0}" destId="{689D2191-0CD6-4FF0-A4ED-3AFF21A1EFA3}" srcOrd="0" destOrd="0" presId="urn:microsoft.com/office/officeart/2005/8/layout/orgChart1"/>
    <dgm:cxn modelId="{FE1EBA03-8777-49DF-9BAB-B0E65E240C7C}" type="presParOf" srcId="{689D2191-0CD6-4FF0-A4ED-3AFF21A1EFA3}" destId="{DF175F90-D6C4-4C6F-A20B-FE352FE98089}" srcOrd="0" destOrd="0" presId="urn:microsoft.com/office/officeart/2005/8/layout/orgChart1"/>
    <dgm:cxn modelId="{2F33C1B2-DABC-4792-AC0B-CD184F1CDF00}" type="presParOf" srcId="{689D2191-0CD6-4FF0-A4ED-3AFF21A1EFA3}" destId="{FC939BAF-0751-4D1F-AA46-A0525EE750AA}" srcOrd="1" destOrd="0" presId="urn:microsoft.com/office/officeart/2005/8/layout/orgChart1"/>
    <dgm:cxn modelId="{2C73866A-8BBC-47C2-8126-4295FB6D69DF}" type="presParOf" srcId="{D2C3ACCE-9751-4103-A4E5-9227B25225A0}" destId="{93028BE2-204A-4DEA-9D78-9B34ADD6E9F2}" srcOrd="1" destOrd="0" presId="urn:microsoft.com/office/officeart/2005/8/layout/orgChart1"/>
    <dgm:cxn modelId="{749A95BD-5392-4E49-9B7F-C670C272DC1A}" type="presParOf" srcId="{D2C3ACCE-9751-4103-A4E5-9227B25225A0}" destId="{231F3F53-D300-4F73-8A00-8F7DEE436B7B}" srcOrd="2" destOrd="0" presId="urn:microsoft.com/office/officeart/2005/8/layout/orgChart1"/>
    <dgm:cxn modelId="{58F34B23-0380-4916-9FC4-A620EB46E242}" type="presParOf" srcId="{FA59650B-2BF9-41F2-BA91-83E83A849D97}" destId="{F16B114F-E8E5-4B62-83DB-3D77144C9AB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2949B1-C884-4B46-9449-FB633E79DE06}">
      <dsp:nvSpPr>
        <dsp:cNvPr id="0" name=""/>
        <dsp:cNvSpPr/>
      </dsp:nvSpPr>
      <dsp:spPr>
        <a:xfrm>
          <a:off x="1554480" y="625595"/>
          <a:ext cx="835111" cy="234709"/>
        </a:xfrm>
        <a:custGeom>
          <a:avLst/>
          <a:gdLst/>
          <a:ahLst/>
          <a:cxnLst/>
          <a:rect l="0" t="0" r="0" b="0"/>
          <a:pathLst>
            <a:path>
              <a:moveTo>
                <a:pt x="0" y="0"/>
              </a:moveTo>
              <a:lnTo>
                <a:pt x="0" y="117354"/>
              </a:lnTo>
              <a:lnTo>
                <a:pt x="835111" y="117354"/>
              </a:lnTo>
              <a:lnTo>
                <a:pt x="835111" y="23470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E5C21C3-C0BA-47C0-B915-6B4C535603D9}">
      <dsp:nvSpPr>
        <dsp:cNvPr id="0" name=""/>
        <dsp:cNvSpPr/>
      </dsp:nvSpPr>
      <dsp:spPr>
        <a:xfrm>
          <a:off x="719368" y="625595"/>
          <a:ext cx="835111" cy="234709"/>
        </a:xfrm>
        <a:custGeom>
          <a:avLst/>
          <a:gdLst/>
          <a:ahLst/>
          <a:cxnLst/>
          <a:rect l="0" t="0" r="0" b="0"/>
          <a:pathLst>
            <a:path>
              <a:moveTo>
                <a:pt x="835111" y="0"/>
              </a:moveTo>
              <a:lnTo>
                <a:pt x="835111" y="117354"/>
              </a:lnTo>
              <a:lnTo>
                <a:pt x="0" y="117354"/>
              </a:lnTo>
              <a:lnTo>
                <a:pt x="0" y="23470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768EE9F-5FE3-4D6C-9F12-2E8F005B6239}">
      <dsp:nvSpPr>
        <dsp:cNvPr id="0" name=""/>
        <dsp:cNvSpPr/>
      </dsp:nvSpPr>
      <dsp:spPr>
        <a:xfrm>
          <a:off x="836723" y="435492"/>
          <a:ext cx="1435513" cy="19010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Dollarama Inc.</a:t>
          </a:r>
        </a:p>
      </dsp:txBody>
      <dsp:txXfrm>
        <a:off x="836723" y="435492"/>
        <a:ext cx="1435513" cy="190103"/>
      </dsp:txXfrm>
    </dsp:sp>
    <dsp:sp modelId="{FA8735F3-17E9-4E5A-B750-9E1D7800E6C2}">
      <dsp:nvSpPr>
        <dsp:cNvPr id="0" name=""/>
        <dsp:cNvSpPr/>
      </dsp:nvSpPr>
      <dsp:spPr>
        <a:xfrm>
          <a:off x="1611" y="860304"/>
          <a:ext cx="1435513" cy="19010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ysClr val="windowText" lastClr="000000"/>
              </a:solidFill>
              <a:effectLst>
                <a:outerShdw blurRad="38100" dist="19050" dir="2700000" algn="tl" rotWithShape="0">
                  <a:schemeClr val="dk1">
                    <a:alpha val="40000"/>
                  </a:schemeClr>
                </a:outerShdw>
              </a:effectLst>
            </a:rPr>
            <a:t>Dollarama L.P.</a:t>
          </a:r>
        </a:p>
      </dsp:txBody>
      <dsp:txXfrm>
        <a:off x="1611" y="860304"/>
        <a:ext cx="1435513" cy="190103"/>
      </dsp:txXfrm>
    </dsp:sp>
    <dsp:sp modelId="{DF175F90-D6C4-4C6F-A20B-FE352FE98089}">
      <dsp:nvSpPr>
        <dsp:cNvPr id="0" name=""/>
        <dsp:cNvSpPr/>
      </dsp:nvSpPr>
      <dsp:spPr>
        <a:xfrm>
          <a:off x="1671834" y="860304"/>
          <a:ext cx="1435513" cy="19010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ysClr val="windowText" lastClr="000000"/>
              </a:solidFill>
              <a:effectLst>
                <a:outerShdw blurRad="38100" dist="19050" dir="2700000" algn="tl" rotWithShape="0">
                  <a:schemeClr val="dk1">
                    <a:alpha val="40000"/>
                  </a:schemeClr>
                </a:outerShdw>
              </a:effectLst>
            </a:rPr>
            <a:t>Dollarama </a:t>
          </a:r>
          <a:r>
            <a:rPr lang="en-US" sz="800" b="0" kern="1200" cap="none" spc="0">
              <a:ln w="0">
                <a:noFill/>
              </a:ln>
              <a:solidFill>
                <a:sysClr val="windowText" lastClr="000000"/>
              </a:solidFill>
              <a:effectLst>
                <a:outerShdw blurRad="38100" dist="19050" dir="2700000" algn="tl" rotWithShape="0">
                  <a:schemeClr val="dk1">
                    <a:alpha val="40000"/>
                  </a:schemeClr>
                </a:outerShdw>
              </a:effectLst>
            </a:rPr>
            <a:t>International</a:t>
          </a:r>
          <a:r>
            <a:rPr lang="en-US" sz="800" b="0" kern="1200" cap="none" spc="0">
              <a:ln w="0"/>
              <a:solidFill>
                <a:sysClr val="windowText" lastClr="000000"/>
              </a:solidFill>
              <a:effectLst>
                <a:outerShdw blurRad="38100" dist="19050" dir="2700000" algn="tl" rotWithShape="0">
                  <a:schemeClr val="dk1">
                    <a:alpha val="40000"/>
                  </a:schemeClr>
                </a:outerShdw>
              </a:effectLst>
            </a:rPr>
            <a:t> Inc.</a:t>
          </a:r>
        </a:p>
      </dsp:txBody>
      <dsp:txXfrm>
        <a:off x="1671834" y="860304"/>
        <a:ext cx="1435513" cy="1901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cdr:x>
      <cdr:y>0.91176</cdr:y>
    </cdr:from>
    <cdr:to>
      <cdr:x>0.66301</cdr:x>
      <cdr:y>1</cdr:y>
    </cdr:to>
    <cdr:sp macro="" textlink="">
      <cdr:nvSpPr>
        <cdr:cNvPr id="2" name="Text Box 1"/>
        <cdr:cNvSpPr txBox="1"/>
      </cdr:nvSpPr>
      <cdr:spPr>
        <a:xfrm xmlns:a="http://schemas.openxmlformats.org/drawingml/2006/main">
          <a:off x="-1885950" y="1632697"/>
          <a:ext cx="2652366" cy="1580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Source: Dollarama FY2016</a:t>
          </a:r>
          <a:r>
            <a:rPr lang="en-CA" sz="800" baseline="0"/>
            <a:t> Annual Information Form</a:t>
          </a:r>
          <a:endParaRPr lang="en-CA" sz="8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0.91829</cdr:y>
    </cdr:from>
    <cdr:to>
      <cdr:x>0.40346</cdr:x>
      <cdr:y>1</cdr:y>
    </cdr:to>
    <cdr:sp macro="" textlink="">
      <cdr:nvSpPr>
        <cdr:cNvPr id="2" name="TextBox 1">
          <a:extLst xmlns:a="http://schemas.openxmlformats.org/drawingml/2006/main">
            <a:ext uri="{FF2B5EF4-FFF2-40B4-BE49-F238E27FC236}">
              <a16:creationId xmlns:a16="http://schemas.microsoft.com/office/drawing/2014/main" id="{9A67EAC1-9240-4B1C-B298-D41274C21A33}"/>
            </a:ext>
          </a:extLst>
        </cdr:cNvPr>
        <cdr:cNvSpPr txBox="1"/>
      </cdr:nvSpPr>
      <cdr:spPr>
        <a:xfrm xmlns:a="http://schemas.openxmlformats.org/drawingml/2006/main">
          <a:off x="0" y="2247901"/>
          <a:ext cx="1756237" cy="2000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Source: company</a:t>
          </a:r>
          <a:r>
            <a:rPr lang="en-CA" sz="800" baseline="0"/>
            <a:t> reports</a:t>
          </a:r>
          <a:endParaRPr lang="en-CA" sz="8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574916CB5E48EFAF9C52A497B2584F"/>
        <w:category>
          <w:name w:val="General"/>
          <w:gallery w:val="placeholder"/>
        </w:category>
        <w:types>
          <w:type w:val="bbPlcHdr"/>
        </w:types>
        <w:behaviors>
          <w:behavior w:val="content"/>
        </w:behaviors>
        <w:guid w:val="{E4274410-EE5E-4A06-A056-14A1A55ECD7C}"/>
      </w:docPartPr>
      <w:docPartBody>
        <w:p w:rsidR="00546D99" w:rsidRDefault="00546D99" w:rsidP="00546D99">
          <w:pPr>
            <w:pStyle w:val="71574916CB5E48EFAF9C52A497B2584F"/>
          </w:pPr>
          <w:r>
            <w:rPr>
              <w:rFonts w:asciiTheme="majorHAnsi" w:eastAsiaTheme="majorEastAsia" w:hAnsiTheme="majorHAnsi" w:cstheme="majorBidi"/>
              <w:color w:val="5B9BD5" w:themeColor="accent1"/>
              <w:sz w:val="27"/>
              <w:szCs w:val="27"/>
            </w:rPr>
            <w:t>[Document title]</w:t>
          </w:r>
        </w:p>
      </w:docPartBody>
    </w:docPart>
    <w:docPart>
      <w:docPartPr>
        <w:name w:val="6A36C458258E4BE5B29CC007170E59EF"/>
        <w:category>
          <w:name w:val="General"/>
          <w:gallery w:val="placeholder"/>
        </w:category>
        <w:types>
          <w:type w:val="bbPlcHdr"/>
        </w:types>
        <w:behaviors>
          <w:behavior w:val="content"/>
        </w:behaviors>
        <w:guid w:val="{D8A8011D-09DB-47FB-B8AD-FB91E9E8BBED}"/>
      </w:docPartPr>
      <w:docPartBody>
        <w:p w:rsidR="00546D99" w:rsidRDefault="00546D99" w:rsidP="00546D99">
          <w:pPr>
            <w:pStyle w:val="6A36C458258E4BE5B29CC007170E59E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99"/>
    <w:rsid w:val="00546D99"/>
    <w:rsid w:val="00D662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20D9632004AB197303AF8EAC10B17">
    <w:name w:val="F8220D9632004AB197303AF8EAC10B17"/>
    <w:rsid w:val="00546D99"/>
  </w:style>
  <w:style w:type="paragraph" w:customStyle="1" w:styleId="11C5D23DCE2F4B6AAB15E628117C668B">
    <w:name w:val="11C5D23DCE2F4B6AAB15E628117C668B"/>
    <w:rsid w:val="00546D99"/>
  </w:style>
  <w:style w:type="paragraph" w:customStyle="1" w:styleId="71574916CB5E48EFAF9C52A497B2584F">
    <w:name w:val="71574916CB5E48EFAF9C52A497B2584F"/>
    <w:rsid w:val="00546D99"/>
  </w:style>
  <w:style w:type="paragraph" w:customStyle="1" w:styleId="079DD47BC99E4E489E08FA933650ACD2">
    <w:name w:val="079DD47BC99E4E489E08FA933650ACD2"/>
    <w:rsid w:val="00546D99"/>
  </w:style>
  <w:style w:type="paragraph" w:customStyle="1" w:styleId="6A36C458258E4BE5B29CC007170E59EF">
    <w:name w:val="6A36C458258E4BE5B29CC007170E59EF"/>
    <w:rsid w:val="00546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9C077-15AB-4237-A98E-44B9D48B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5</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Dollarama Inc.</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Dollarama Inc.</dc:title>
  <dc:subject/>
  <dc:creator>Candice Wang</dc:creator>
  <cp:keywords/>
  <dc:description/>
  <cp:lastModifiedBy>Candice Wang</cp:lastModifiedBy>
  <cp:revision>124</cp:revision>
  <dcterms:created xsi:type="dcterms:W3CDTF">2016-12-09T21:14:00Z</dcterms:created>
  <dcterms:modified xsi:type="dcterms:W3CDTF">2016-12-11T19:59:00Z</dcterms:modified>
</cp:coreProperties>
</file>