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:AMANI</w:t>
      </w:r>
      <w:proofErr w:type="gramEnd"/>
      <w:r>
        <w:rPr>
          <w:b/>
          <w:sz w:val="36"/>
          <w:szCs w:val="36"/>
          <w:u w:val="single"/>
        </w:rPr>
        <w:t xml:space="preserve"> ROP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3B25C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Swim under </w:t>
            </w:r>
            <w:r w:rsidR="003B7828">
              <w:rPr>
                <w:sz w:val="36"/>
                <w:szCs w:val="36"/>
              </w:rPr>
              <w:t>supervision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855E4F">
        <w:t>AMANI ROP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 w:rsidR="00EA1BDF"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EA1BDF" w:rsidP="007056C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 w:rsidRPr="008D5D2D">
              <w:rPr>
                <w:b/>
                <w:color w:val="FF0000"/>
                <w:sz w:val="28"/>
                <w:szCs w:val="28"/>
              </w:rPr>
              <w:t>233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326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Default="00EA1BDF" w:rsidP="007056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D5D2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EA1BD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Default="00855E4F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855E4F">
        <w:t>ep it up Amani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>
        <w:tab/>
      </w:r>
      <w:r w:rsidRPr="00FE5816">
        <w:t xml:space="preserve">Absent: 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proofErr w:type="gramStart"/>
      <w:r w:rsidR="00855E4F">
        <w:t>th</w:t>
      </w:r>
      <w:proofErr w:type="spellEnd"/>
      <w:proofErr w:type="gram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9521A"/>
    <w:rsid w:val="0009577C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52C4"/>
    <w:rsid w:val="003B144E"/>
    <w:rsid w:val="003B1B84"/>
    <w:rsid w:val="003B25CA"/>
    <w:rsid w:val="003B3FF7"/>
    <w:rsid w:val="003B7828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7ED8"/>
    <w:rsid w:val="00451800"/>
    <w:rsid w:val="0045746B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061E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55E4F"/>
    <w:rsid w:val="008711F4"/>
    <w:rsid w:val="00877F5D"/>
    <w:rsid w:val="0088005C"/>
    <w:rsid w:val="0088182F"/>
    <w:rsid w:val="00883A77"/>
    <w:rsid w:val="008A66BF"/>
    <w:rsid w:val="008B72CE"/>
    <w:rsid w:val="008C545F"/>
    <w:rsid w:val="008D2101"/>
    <w:rsid w:val="008D5D2D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C23AE8"/>
    <w:rsid w:val="00C6335C"/>
    <w:rsid w:val="00C71652"/>
    <w:rsid w:val="00C73BF1"/>
    <w:rsid w:val="00C75F98"/>
    <w:rsid w:val="00C8608F"/>
    <w:rsid w:val="00C87E97"/>
    <w:rsid w:val="00C949BE"/>
    <w:rsid w:val="00CA5F25"/>
    <w:rsid w:val="00CB57A8"/>
    <w:rsid w:val="00CC09B7"/>
    <w:rsid w:val="00CC0F02"/>
    <w:rsid w:val="00CD2873"/>
    <w:rsid w:val="00CE4B60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52971"/>
    <w:rsid w:val="00E63869"/>
    <w:rsid w:val="00E74012"/>
    <w:rsid w:val="00E854B9"/>
    <w:rsid w:val="00E85B8C"/>
    <w:rsid w:val="00E875D9"/>
    <w:rsid w:val="00EA1BDF"/>
    <w:rsid w:val="00EA3243"/>
    <w:rsid w:val="00EA6CBD"/>
    <w:rsid w:val="00EB5B90"/>
    <w:rsid w:val="00EC41EB"/>
    <w:rsid w:val="00ED3704"/>
    <w:rsid w:val="00EE2038"/>
    <w:rsid w:val="00F12019"/>
    <w:rsid w:val="00F137C5"/>
    <w:rsid w:val="00F17F22"/>
    <w:rsid w:val="00F20789"/>
    <w:rsid w:val="00F2235F"/>
    <w:rsid w:val="00F369CD"/>
    <w:rsid w:val="00F45EC8"/>
    <w:rsid w:val="00F73D8B"/>
    <w:rsid w:val="00F932CC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67E9-F353-413B-A402-90A21DF9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4</cp:revision>
  <cp:lastPrinted>2019-04-03T16:50:00Z</cp:lastPrinted>
  <dcterms:created xsi:type="dcterms:W3CDTF">2019-10-30T06:30:00Z</dcterms:created>
  <dcterms:modified xsi:type="dcterms:W3CDTF">2019-10-30T11:02:00Z</dcterms:modified>
</cp:coreProperties>
</file>