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Аналитический доклад автора. Не является официальным толкованием законодательства, не выражает позицию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авторские рекомендации, а не изложение действующих норм.</w:t>
      </w:r>
    </w:p>
    <w:p>
      <w:pPr>
        <w:pStyle w:val="BodyText"/>
      </w:pPr>
      <w:r>
        <w:rPr>
          <w:b/>
          <w:bCs/>
        </w:rPr>
        <w:t xml:space="preserve">Отношение к первой редакции.</w:t>
      </w:r>
      <w:r>
        <w:t xml:space="preserve"> </w:t>
      </w:r>
      <w:r>
        <w:t xml:space="preserve">Доклад перерабатывает правовой обзор «Вариативное меню: НПА» (литературная редакция 29.08.2026, данные проверены на 16.07.2026; папка</w:t>
      </w:r>
      <w:r>
        <w:t xml:space="preserve"> </w:t>
      </w:r>
      <w:r>
        <w:rPr>
          <w:rStyle w:val="VerbatimChar"/>
        </w:rPr>
        <w:t xml:space="preserve">raw/sources/variativnoe-menu-npa-2026/</w:t>
      </w:r>
      <w:r>
        <w:t xml:space="preserve"> </w:t>
      </w:r>
      <w:r>
        <w:t xml:space="preserve">репозитория) [1]. Из первой редакции сохранены региональный анализ и часть источников; исправлены выявленные ошибки (их перечень — приложение В); добавлены разделы о научных данных, зарубежных нормах, российских кейсах и практических сценариях. Где первая редакция и настоящая расходятся,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приводятся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относится к одному из четырёх классов; класс обозначается в тексте, если не очевиден из контекста.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нумеруются в квадратных скобках; список — в конце доклада. Иллюстративные расчёты помечены словами «иллюстративная арифметика»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исследует правовые, организационные и доказательные основания вариативного меню — организации питания, при которой проживающий в стационарной организации социального обслуживания в момент приёма пищи располагает не менее чем двумя вариантами блюда и влияет на то, какой получит. Объект исследования — дома социального обслуживания (дома-интернаты для престарелых и инвалидов) и психоневрологические интернаты Российской Федерации; предмет — нормы, которые определяют, что, сколько и как подаётся на стол, и пространство, которое эти нормы оставляют выбору.</w:t>
      </w:r>
    </w:p>
    <w:p>
      <w:pPr>
        <w:pStyle w:val="BodyText"/>
      </w:pPr>
      <w:r>
        <w:t xml:space="preserve">Проанализированы федеральные законы и подзаконные акты (в том числе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девяти субъектов с подробным разбором постановления Правительства Санкт-Петербурга от 29.12.2014 № 1284, практики восьми российских учреждений, описанные в открытых источниках,, нормы девяти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закрепляет понятия вариативного меню и не ограничивает число вариантов блюда. Механизм эквивалентной замены продуктов, на который принято ссылаться как на правовую основу выбора, для взрослых закреплён только в методических рекомендациях 2002 г., ссылающихся на приказ Минторга СССР 1980 г.; таблица замен санитарных правил формально помещена в раздел о питании детей. Научные данные о выборе блюд в учреждениях ухода за пожилыми получены преимущественно в пилотных и наблюдательных исследованиях; они согласованно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Опубликованные российские практики описывают факт внедрения, но не его результаты. В практической части разобраны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 повторяющаяся несколько раз в день часть их жизни, в которой выбор технически возможен. Тем не менее типовая организация питания в этих учреждениях устроена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появляется там, где учреждение само решает его ввести, и исчезает, когда уходит инициатор.</w:t>
      </w:r>
    </w:p>
    <w:p>
      <w:pPr>
        <w:pStyle w:val="BodyText"/>
      </w:pPr>
      <w:r>
        <w:t xml:space="preserve">С 2024 г. в открытых источниках появились сообщения о внедрении вариативного питания в психоневрологических интернатах Новосибирской области, в учреждениях Иркутской области и в ДСО «Серафимовский» Санкт-Петербурга [5–15]. В 2026 г. тема стала предметом работы рабочей группы Минтруда России и межрегионального семинара 25–27.08.2026. Практический вопрос директора звучит просто: можно ли подавать два вторых блюда, не нарушив нормы питания, санитарные правила и закупочное законодательство, и что для этого нужно иметь в папке на случай проверки. Ответ на него не помещается в одну строку, потому что три нормативных слоя — социальный, санитарный и закупочный — написаны независимо друг от друга и о выборе молчат.</w:t>
      </w:r>
    </w:p>
    <w:p>
      <w:pPr>
        <w:pStyle w:val="BodyText"/>
      </w:pPr>
      <w:r>
        <w:rPr>
          <w:b/>
          <w:bCs/>
        </w:rPr>
        <w:t xml:space="preserve">Цель доклада</w:t>
      </w:r>
      <w:r>
        <w:t xml:space="preserve"> </w:t>
      </w:r>
      <w:r>
        <w:t xml:space="preserve">— установить, какие нормы действующего права определяют организацию питания в стационарных организациях социального обслуживания, какое пространство они оставляют выбору блюд, что известно о последствиях выбора из научных исследований и практики, и предложить проверяемые организационные решения,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Использован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 качестве вторичной базы использованы материалы репозитория семинара: первая редакция обзора [1], доклад «Не просто накормить» и сопровождающая его база знаний с реестром противоречий [16, 17]. Утверждения этих материалов перепроверялись по первоисточникам; где перепроверка не удалась, это оговорено.</w:t>
      </w:r>
    </w:p>
    <w:p>
      <w:pPr>
        <w:pStyle w:val="BodyText"/>
      </w:pPr>
      <w:r>
        <w:rPr>
          <w:b/>
          <w:bCs/>
        </w:rPr>
        <w:t xml:space="preserve">Ограничения.</w:t>
      </w:r>
      <w:r>
        <w:t xml:space="preserve"> </w:t>
      </w:r>
      <w:r>
        <w:t xml:space="preserve">Доклад не содержит назначений диет, текстур или лечебного питания: эти решения принимает врач, и доклад их не подменяет. Сведения о практике учреждений взяты из их публичных сообщений и не являются результатами аудита. Данные о стоимости питания приводятся только по опубликованным источникам; расчёты без источника помечены как иллюстративные. Тексты ряда региональных актов изучены по первой редакции обзора и повторно не сверялись; это указано при их изложении.</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шести российских кейсах; (ж) практическая часть расширена до десяти сценариев. Полный перечень изменений — в приложении В.</w:t>
      </w:r>
    </w:p>
    <w:bookmarkEnd w:id="23"/>
    <w:bookmarkStart w:id="30"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[18; 19, п. 11]. Внутри этой формы различаются два типа учреждений, и для темы доклада различие существенно.</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дополнительно применяется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[20]. Среди прав ч. 2 ст. 37 — право «исполнять религиозные обряды, соблюдать религиозные каноны, в том числе пост», если это не нарушает внутренний распорядок [20]. Это единственная найденная норма федерального закона, которая прямо касается содержания тарелки проживающего: соблюдение поста — право жителя ПНИ, а не милость кухни. С 01.09.2025 аналогичная обязанность на уровне подзаконного акта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[21] (подробнее — п. 2.4). Первая редакция обзора Закон № 3185-1 не упоминала [1]; для ПНИ это существенный пропуск.</w:t>
      </w:r>
    </w:p>
    <w:p>
      <w:pPr>
        <w:pStyle w:val="BodyText"/>
      </w:pPr>
      <w:r>
        <w:t xml:space="preserve">Переименование ПНИ в дома социального обслуживания, проведённое, по данным «Если быть точным», к концу 2025 г. как минимум в 41 регионе [4], имеет федеральное основание: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[21]. Правового режима, определяемого Законом № 3185-1, переименование само по себе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и ведётся актуализация их уставов [15]. Сайт ДСО «Серафимовский» до прекращения работы располагался на домене pni9.ru [22]. Для применения ст. 43 Закона № 3185-1 значимо назначение организации, а не вывеска. В ДСО, где живут люди без психиатрического диагноза, опорой остаётся 442-ФЗ. Поэтому решения, разобранные в разделе 7, для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В отраслевой речи под «вариативным меню» понимают по меньшей мере четыре разных явления. Их смешение — главный источник споров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и сложилось как практика во взрослых учреждениях. Жителю оно ничего не предлагает выбрать: «четырнадцать дней без повторов» — характеристика меню, а не свобода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именно таблица замен находится в праве для взрослых — отдельный вопрос, разобранный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Персонализация не является выбором в смысле доклада и не должна им подменяться: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[16] и используется здесь как основное.</w:t>
      </w:r>
    </w:p>
    <w:p>
      <w:pPr>
        <w:pStyle w:val="BodyText"/>
      </w:pPr>
      <w:r>
        <w:t xml:space="preserve">Четыре словаря можно проверить одним вопросом: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6"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Определения вариативного меню в материалах, на которые опирается доклад, не совпадают, и это расхождение следует видеть.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[16]</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[17]</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выполнение видно в журнале и на линии раздачи. Широкое удобно для отчёта: под него подпадает почти любое изменение. Доклад использует узкое определение и отдельно оговаривает, когда речь идёт о предварительном заказе. Заказ накануне (так устроена практика ДСО «Серафимовский» [15])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End w:id="26"/>
    <w:bookmarkStart w:id="27"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Для описания степени внедрения в материалах семинара используются три независимые шкалы.</w:t>
      </w:r>
    </w:p>
    <w:p>
      <w:pPr>
        <w:pStyle w:val="BodyText"/>
      </w:pPr>
      <w:r>
        <w:rPr>
          <w:b/>
          <w:bCs/>
        </w:rPr>
        <w:t xml:space="preserve">Модели раздачи М0–М5</w:t>
      </w:r>
      <w:r>
        <w:t xml:space="preserve"> </w:t>
      </w:r>
      <w:r>
        <w:t xml:space="preserve">— ось технологии стола [16, 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[15]</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сообщение по Иркутской области [11]</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[23]</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[24];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[16, 17].</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измеряют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В настоящем докладе шкала моделей обзора НПА не используется, кроме цитирования.</w:t>
      </w:r>
    </w:p>
    <w:bookmarkEnd w:id="27"/>
    <w:bookmarkStart w:id="28"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[18]. Федеральный Примерный порядок предоставления социальных услуг в стационарной форме (приказ Минтруда России от 24.11.2014 № 935н) задаёт два положения, прямо касающихся питания [19]:</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показательное соседство. Мягкий инвентарь должен соответствовать «по возможности, их запросам по фасону и расцветке» (подп. 4) [19]. Предпочтения получателя федеральный критерий качества учитывает для одежды, но не для еды: питание оценивается по доброкачественности, калорийности и соответствию нормам. Отсюда не следует, что учитывать вкус запрещено. Следует только то, что федеральный критерий качества его не требует, и учреждение, вводящее выбор блюд, опирается не на п. 19, а на общие права получателя (ст. 9 442-ФЗ) и на свои локальные акты (толкование).</w:t>
      </w:r>
    </w:p>
    <w:bookmarkEnd w:id="28"/>
    <w:bookmarkStart w:id="29"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важна потому, что в действующей практике одновременно применяются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[25]</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[20]</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[25]</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[25]</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[18]</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[19, 26]</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[27]</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[26]</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[21]</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построила федеральный методический блок на постановлении № 12 от 2002 г. и назвала его «действующим, но морально устаревшим» [1]. Приказ № 520н, принятый двадцатью годами позже, в ней не упомянут. Номер «774н», встречающийся в одном из академических слоёв материалов семинара [17], по открытым источникам не подтверждён и в докладе не используется.</w:t>
      </w:r>
    </w:p>
    <w:bookmarkEnd w:id="29"/>
    <w:bookmarkEnd w:id="30"/>
    <w:bookmarkStart w:id="50" w:name="федеральное-право"/>
    <w:p>
      <w:pPr>
        <w:pStyle w:val="Heading1"/>
      </w:pPr>
      <w:r>
        <w:rPr>
          <w:rStyle w:val="SectionNumber"/>
        </w:rPr>
        <w:t xml:space="preserve">2</w:t>
      </w:r>
      <w:r>
        <w:tab/>
      </w:r>
      <w:r>
        <w:t xml:space="preserve">Федеральное право</w:t>
      </w:r>
    </w:p>
    <w:bookmarkStart w:id="31"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не говорит о питании прямо. Для темы значимы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[28]. Из них не выводится право на два вторых блюда; выводится требование, чтобы ограничения в повседневной жизни проживающего имели основание, а не возникали из удобства организации (толкование).</w:t>
      </w:r>
    </w:p>
    <w:p>
      <w:pPr>
        <w:pStyle w:val="BodyText"/>
      </w:pPr>
      <w:r>
        <w:t xml:space="preserve">Конвенция ООН о правах инвалидов, ратифицированная Россией в 2012 г., содержит три относящиеся к делу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[29].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[30]. Для ПНИ, где большинство жителей признаны недееспособными [4], это означает, что вопрос «может ли этот человек выбрать» должен ставиться как вопрос «какая поддержка ему нужна, чтобы выбор был его», а не решаться признанием недееспособности (толкование; правовые последствия Замечания для российских судов не исследуются).</w:t>
      </w:r>
    </w:p>
    <w:bookmarkEnd w:id="31"/>
    <w:bookmarkStart w:id="32" w:name="закон-442-фз"/>
    <w:p>
      <w:pPr>
        <w:pStyle w:val="Heading2"/>
      </w:pPr>
      <w:r>
        <w:rPr>
          <w:rStyle w:val="SectionNumber"/>
        </w:rPr>
        <w:t xml:space="preserve">2.2</w:t>
      </w:r>
      <w:r>
        <w:tab/>
      </w:r>
      <w:r>
        <w:t xml:space="preserve">Закон № 442-ФЗ</w:t>
      </w:r>
    </w:p>
    <w:p>
      <w:pPr>
        <w:pStyle w:val="FirstParagraph"/>
      </w:pPr>
      <w:r>
        <w:t xml:space="preserve">442-ФЗ распределяет полномочия так, что содержание тарелки определяет субъект.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[18]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значимы следующие положения закона [18]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О последнем положении в материалах семинара существуют две ссылки: доклад «Не просто накормить» относит ограничение в 75 % к ч. 4 ст. 32 442-ФЗ, первая редакция обзора — к п. 35 приказа № 935н [1, 16]. Проверка текстов показала, что правы обе: п. 35 Примерного порядка дословно воспроизводит законодательное ограничение [19]. Источником нормы является закон; приказ её повторяет. Противоречия нет, есть разная глубина ссылки.</w:t>
      </w:r>
    </w:p>
    <w:p>
      <w:pPr>
        <w:pStyle w:val="BodyText"/>
      </w:pPr>
      <w:r>
        <w:t xml:space="preserve">Для вариативного меню важнее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[17]. Выбор в 442-ФЗ возможен, но не гарантирован.</w:t>
      </w:r>
    </w:p>
    <w:bookmarkEnd w:id="32"/>
    <w:bookmarkStart w:id="33"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[19].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 ориентир для субъектов, а не прямой регулятор учреждения. Порядок предоставления услуг утверждает субъект (ст. 8 442-ФЗ) [18].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3"/>
    <w:bookmarkStart w:id="34"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[21]. Приказ издан на основании п. 6 ч. 2 ст. 7 442-ФЗ и признал утратившим силу приказ Минтруда России от 24.11.2014 № 940н с изменениями. Ни первая редакция обзора, ни предшествующие материалы семинара этот акт не рассматривали [1, 16, 17], хотя для темы он значим больше, чем Примерный порядок: в отличие от приказа № 935н, Правила обращены непосредственно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[21]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еду; для шкалы раздачи (п. 1.4) оно означает, что модель М5 — жители готовят сами — имеет опору в федеральном перечне оборудования, хотя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в пост из пожелания в предмет проверки регионального государственного контроля по ст. 33 442-ФЗ во всех стационарных организациях: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[31]. Во-вторых, Правила не обязывают предоставлять выбор блюд как таковой; ссылка на приказ № 305н в обоснование ежедневного выбора двух вторых блюд была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4"/>
    <w:bookmarkStart w:id="38"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5"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[26].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Для анализа это существенно: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[26]. Федеральная рекомендация, таким образом, не включает специализированные продукты в общий рацион каждого жителя, а связывает их с назначением. Петербургская норма, как будет показано в п. 3.2, поступает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[26]. Внутри группы выбор конкретного продукта нормой не регламентирован. Это и есть главный источник законного пространства для вариантов: две каши из одной группы круп не требуют пересчёта нормы (толкование).</w:t>
      </w:r>
    </w:p>
    <w:bookmarkEnd w:id="35"/>
    <w:bookmarkStart w:id="36"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[25].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[25].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[25].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[25]. Первое из этих требований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[25] — то есть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[32];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[33].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[17]; по открытым источникам этот номер не подтверждён.</w:t>
      </w:r>
    </w:p>
    <w:bookmarkEnd w:id="36"/>
    <w:bookmarkStart w:id="37"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[34].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7"/>
    <w:bookmarkEnd w:id="38"/>
    <w:bookmarkStart w:id="39"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Практически во всех отраслевых материалах, включая обе предыдущие работы семинара, утверждается, что таблицы замен «легализуют» вариативность: если вариант Б эквивалентен варианту А по таблице, норма соблюдена [1, 16]. Проверка источников показывает, что это утверждение верно по смыслу, но требует уточнения адреса.</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является нормой для детских организованных коллективов, а для взрослых — допустимым ориентиром, применяемым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35].</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[25].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в действующей редакции положений о замене продуктов не содержит (проверено по тексту редакции от 27.06.2022 [27]).</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Для директора отсюда следует практическое требование: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Сама по себе ссылка «по СанПиН» для взрослого учреждения уязвима.</w:t>
      </w:r>
    </w:p>
    <w:bookmarkEnd w:id="39"/>
    <w:bookmarkStart w:id="44"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0"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применения (толкование, основанное на общем принципе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0"/>
    <w:bookmarkStart w:id="41"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r>
      <w:tr>
        <w:tc>
          <w:tcPr/>
          <w:p>
            <w:pPr>
              <w:pStyle w:val="Compact"/>
            </w:pPr>
            <w:r>
              <w:t xml:space="preserve">Кратность и диетическое питание</w:t>
            </w:r>
          </w:p>
        </w:tc>
        <w:tc>
          <w:tcPr/>
          <w:p>
            <w:pPr>
              <w:pStyle w:val="Compact"/>
            </w:pPr>
            <w:r>
              <w:t xml:space="preserve">Не менее 3 раз в день, в том числе диетическое (лечебное) по медицинским показаниям (раздел VII, п. 7.1.11 по нумерации, приводимой в [1, 17])</w:t>
            </w:r>
          </w:p>
        </w:tc>
        <w:tc>
          <w:tcPr/>
          <w:p>
            <w:pPr>
              <w:pStyle w:val="Compact"/>
            </w:pPr>
            <w:r>
              <w:t xml:space="preserve">То же: подп. 11 п. 56 [3]</w:t>
            </w:r>
          </w:p>
        </w:tc>
      </w:tr>
      <w:tr>
        <w:tc>
          <w:tcPr/>
          <w:p>
            <w:pPr>
              <w:pStyle w:val="Compact"/>
            </w:pPr>
            <w:r>
              <w:t xml:space="preserve">Привлечение стороннего организатора питания</w:t>
            </w:r>
          </w:p>
        </w:tc>
        <w:tc>
          <w:tcPr/>
          <w:p>
            <w:pPr>
              <w:pStyle w:val="Compact"/>
            </w:pPr>
            <w:r>
              <w:t xml:space="preserve">Требования к суточным пробам и помещению (п. 7.1.12–7.1.14 по [17])</w:t>
            </w:r>
          </w:p>
        </w:tc>
        <w:tc>
          <w:tcPr/>
          <w:p>
            <w:pPr>
              <w:pStyle w:val="Compact"/>
            </w:pPr>
            <w:r>
              <w:t xml:space="preserve">При использовании готовых блюд выделяется помещение для приёма и отбора суточных проб; пробы отбирает ответственный работник пищеблока по подп. 4 (подп. 12 п. 56)</w:t>
            </w:r>
          </w:p>
        </w:tc>
      </w:tr>
      <w:tr>
        <w:tc>
          <w:tcPr/>
          <w:p>
            <w:pPr>
              <w:pStyle w:val="Compact"/>
            </w:pPr>
            <w:r>
              <w:t xml:space="preserve">Бракераж</w:t>
            </w:r>
          </w:p>
        </w:tc>
        <w:tc>
          <w:tcPr/>
          <w:p>
            <w:pPr>
              <w:pStyle w:val="Compact"/>
            </w:pPr>
            <w:r>
              <w:t xml:space="preserve">—</w:t>
            </w:r>
          </w:p>
        </w:tc>
        <w:tc>
          <w:tcPr/>
          <w:p>
            <w:pPr>
              <w:pStyle w:val="Compact"/>
            </w:pPr>
            <w:r>
              <w:t xml:space="preserve">Блюдо при нарушении технологии или неготовности не выдаётся до устранения; результат — в журнале бракеража по приложениям № 4 и 5 (подп. 13 п. 56)</w:t>
            </w:r>
          </w:p>
        </w:tc>
      </w:tr>
      <w:tr>
        <w:tc>
          <w:tcPr/>
          <w:p>
            <w:pPr>
              <w:pStyle w:val="Compact"/>
            </w:pPr>
            <w:r>
              <w:t xml:space="preserve">Распространение на сторонние предприятия</w:t>
            </w:r>
          </w:p>
        </w:tc>
        <w:tc>
          <w:tcPr/>
          <w:p>
            <w:pPr>
              <w:pStyle w:val="Compact"/>
            </w:pPr>
            <w:r>
              <w:t xml:space="preserve">—</w:t>
            </w:r>
          </w:p>
        </w:tc>
        <w:tc>
          <w:tcPr/>
          <w:p>
            <w:pPr>
              <w:pStyle w:val="Compact"/>
            </w:pPr>
            <w:r>
              <w:t xml:space="preserve">Требования п. 56 распространяются на привлекаемые предприятия общественного питания (подп. 14 п. 56)</w:t>
            </w:r>
          </w:p>
        </w:tc>
      </w:tr>
      <w:tr>
        <w:tc>
          <w:tcPr/>
          <w:p>
            <w:pPr>
              <w:pStyle w:val="Compact"/>
            </w:pPr>
            <w:r>
              <w:t xml:space="preserve">Рекомендательные нормы</w:t>
            </w:r>
          </w:p>
        </w:tc>
        <w:tc>
          <w:tcPr/>
          <w:p>
            <w:pPr>
              <w:pStyle w:val="Compact"/>
            </w:pPr>
            <w:r>
              <w:t xml:space="preserve">—</w:t>
            </w:r>
          </w:p>
        </w:tc>
        <w:tc>
          <w:tcPr/>
          <w:p>
            <w:pPr>
              <w:pStyle w:val="Compact"/>
            </w:pPr>
            <w:r>
              <w:t xml:space="preserve">Оценка соблюдения рекомендательных норм не может быть предметом федерального санитарного надзора (п. 3)</w:t>
            </w:r>
          </w:p>
        </w:tc>
      </w:tr>
      <w:tr>
        <w:tc>
          <w:tcPr/>
          <w:p>
            <w:pPr>
              <w:pStyle w:val="Compact"/>
            </w:pPr>
            <w:r>
              <w:t xml:space="preserve">Технологические документы</w:t>
            </w:r>
          </w:p>
        </w:tc>
        <w:tc>
          <w:tcPr/>
          <w:p>
            <w:pPr>
              <w:pStyle w:val="Compact"/>
            </w:pPr>
            <w:r>
              <w:t xml:space="preserve">Требование существовало</w:t>
            </w:r>
          </w:p>
        </w:tc>
        <w:tc>
          <w:tcPr/>
          <w:p>
            <w:pPr>
              <w:pStyle w:val="Compact"/>
            </w:pPr>
            <w:r>
              <w:t xml:space="preserve">Изготовление — по технологическим документам, утверждённым руководителем; наименования блюд в меню должны соответствовать технологическим документам (п. 11)</w:t>
            </w:r>
          </w:p>
        </w:tc>
      </w:tr>
      <w:tr>
        <w:tc>
          <w:tcPr/>
          <w:p>
            <w:pPr>
              <w:pStyle w:val="Compact"/>
            </w:pPr>
            <w:r>
              <w:t xml:space="preserve">Время на раздаче</w:t>
            </w:r>
          </w:p>
        </w:tc>
        <w:tc>
          <w:tcPr/>
          <w:p>
            <w:pPr>
              <w:pStyle w:val="Compact"/>
            </w:pPr>
            <w:r>
              <w:t xml:space="preserve">—</w:t>
            </w:r>
          </w:p>
        </w:tc>
        <w:tc>
          <w:tcPr/>
          <w:p>
            <w:pPr>
              <w:pStyle w:val="Compact"/>
            </w:pPr>
            <w:r>
              <w:t xml:space="preserve">Не более 3 часов с момента изготовления для блюд, требующих разогревания; запрет реализации готовых блюд на следующий день и замораживания нереализованных блюд (п. 32)</w:t>
            </w:r>
          </w:p>
        </w:tc>
      </w:tr>
    </w:tbl>
    <w:p>
      <w:pPr>
        <w:pStyle w:val="BodyText"/>
      </w:pPr>
      <w:r>
        <w:t xml:space="preserve">Левый столбец заполнен по нумерации, приводимой в материалах семинара, и не сверялся с текстом СанПиН 3590-20 по каждой строке; правый — по тексту СанПиН 4282-26 [3]. Прочерк в левом столбце означает, что сопоставимое требование в материалах семинара не приводилось, а не то, что его не было.</w:t>
      </w:r>
    </w:p>
    <w:bookmarkEnd w:id="41"/>
    <w:bookmarkStart w:id="42" w:name="что-новый-санпин-говорит-о-выборе"/>
    <w:p>
      <w:pPr>
        <w:pStyle w:val="Heading3"/>
      </w:pPr>
      <w:r>
        <w:rPr>
          <w:rStyle w:val="SectionNumber"/>
        </w:rPr>
        <w:t xml:space="preserve">2.7.3</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5"/>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независимо от того, хорош ли он.</w:t>
      </w:r>
    </w:p>
    <w:p>
      <w:pPr>
        <w:pStyle w:val="Compact"/>
        <w:numPr>
          <w:ilvl w:val="0"/>
          <w:numId w:val="1005"/>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который готовится «с запасом» и ждёт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5"/>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5"/>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контролирует не Роспотребнадзор, а орган социальной защиты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2"/>
    <w:bookmarkStart w:id="43" w:name="подп.-5-п.-56-кто-раздаёт-пищу"/>
    <w:p>
      <w:pPr>
        <w:pStyle w:val="Heading3"/>
      </w:pPr>
      <w:r>
        <w:rPr>
          <w:rStyle w:val="SectionNumber"/>
        </w:rPr>
        <w:t xml:space="preserve">2.7.4</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3"/>
    <w:bookmarkEnd w:id="44"/>
    <w:bookmarkStart w:id="45"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именно,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36–38].</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формулировка точна. Отсюда правило для вариативного меню (толкование): кухня не назначает и не отменяет диету, а выбор жителя с назначенной диетой осуществляется внутри диеты. Докладом не рассматривается, какие диеты и консистенции кому назначать; это зона врача.</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[39]. Для социального учреждения это ориентир организации медицинской части, а не норма кухни.</w:t>
      </w:r>
    </w:p>
    <w:bookmarkEnd w:id="45"/>
    <w:bookmarkStart w:id="46"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[20]:</w:t>
      </w:r>
    </w:p>
    <w:p>
      <w:pPr>
        <w:pStyle w:val="Compact"/>
        <w:numPr>
          <w:ilvl w:val="0"/>
          <w:numId w:val="1006"/>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[17] —</w:t>
      </w:r>
      <w:r>
        <w:t xml:space="preserve"> </w:t>
      </w:r>
      <w:r>
        <w:rPr>
          <w:b/>
          <w:bCs/>
        </w:rPr>
        <w:t xml:space="preserve">толкование</w:t>
      </w:r>
      <w:r>
        <w:t xml:space="preserve">);</w:t>
      </w:r>
    </w:p>
    <w:p>
      <w:pPr>
        <w:pStyle w:val="Compact"/>
        <w:numPr>
          <w:ilvl w:val="0"/>
          <w:numId w:val="1006"/>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6"/>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важен для продуктовых передач. Перечни продуктов, «запрещённых к передаче» в ПНИ, которые публикуют учреждения [40],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соблюдения поста следствие прямое: вариант постного блюда в пост — не «вариативность по желанию кухни», а условие реализации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6"/>
    <w:bookmarkStart w:id="47" w:name="закупки-44-фз-и-223-фз"/>
    <w:p>
      <w:pPr>
        <w:pStyle w:val="Heading2"/>
      </w:pPr>
      <w:r>
        <w:rPr>
          <w:rStyle w:val="SectionNumber"/>
        </w:rPr>
        <w:t xml:space="preserve">2.10</w:t>
      </w:r>
      <w:r>
        <w:tab/>
      </w:r>
      <w:r>
        <w:t xml:space="preserve">Закупки: 44-ФЗ и 223-ФЗ</w:t>
      </w:r>
    </w:p>
    <w:p>
      <w:pPr>
        <w:pStyle w:val="FirstParagraph"/>
      </w:pPr>
      <w:r>
        <w:t xml:space="preserve">Организация питания зависит от закупки сильнее, чем от рецептуры: в спецификации определяется, будет ли на складе второй продукт группы. Государственное бюджетное учреждение закупает по 44-ФЗ [41].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[42]. Положения 44-ФЗ распространяются на закупки автономного учреждения за счёт субсидий на капитальные вложения (ч. 4 ст. 15 44-ФЗ) [41].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[43]. В отраслевой печати 2026 г. распространяется сообщение о том, что определением Верховного Суда РФ от 28.01.2026 № 303-ЭС25-15393 (дело № А73-20917/2024) отказано в передаче жалобы автономного учреждения, закупавшего по 223-ФЗ за счёт субсидии на госзадание, и что суды признали обязательным применение 44-ФЗ [44]. Текст определения по первоисточнику не проверен; вывод требует правовой экспертизы учредителя и в докладе не используется как установленный.</w:t>
      </w:r>
    </w:p>
    <w:p>
      <w:pPr>
        <w:pStyle w:val="BodyText"/>
      </w:pPr>
      <w:r>
        <w:t xml:space="preserve">В Санкт-Петербурге оба контура представлены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[45]. Сравнение закупочных решений для вариативного меню — в п. 7.7.</w:t>
      </w:r>
    </w:p>
    <w:bookmarkEnd w:id="47"/>
    <w:bookmarkStart w:id="48"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[46]. Первая редакция обзора называет ст. 6.3 [1], доклад «Не просто накормить» — ст. 6.6 [16]. Это не противоречие, а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[47].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[48]; это напоминание о том, что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[49]; УФАС по Челябинской области в 2025 г. — о картеле на 27 тендерах школьного питания со штрафом 5,1 млн руб. [50]. Для вариативного меню вывод узкий: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48"/>
    <w:bookmarkStart w:id="49"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[18]</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[26]; рекомендации 2002 г. [25]</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[25]</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[20]</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[18]; п. 35 приказа № 935н [19]</w:t>
            </w:r>
          </w:p>
        </w:tc>
      </w:tr>
    </w:tbl>
    <w:bookmarkEnd w:id="49"/>
    <w:bookmarkEnd w:id="50"/>
    <w:bookmarkStart w:id="67" w:name="региональные-нормы-питания"/>
    <w:p>
      <w:pPr>
        <w:pStyle w:val="Heading1"/>
      </w:pPr>
      <w:r>
        <w:rPr>
          <w:rStyle w:val="SectionNumber"/>
        </w:rPr>
        <w:t xml:space="preserve">3</w:t>
      </w:r>
      <w:r>
        <w:tab/>
      </w:r>
      <w:r>
        <w:t xml:space="preserve">Региональные нормы питания</w:t>
      </w:r>
    </w:p>
    <w:bookmarkStart w:id="51"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После 1 января 2015 г. каждый субъект Российской Федерации утвердил собственные акты в сфере социального обслуживания. Первая редакция обзора описала их типовую структуру как четырёхуровневую: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Нормы питания — центральный для темы уровень: именно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проживающего на выбор блюда и не устанавливает число вариантов [1] (вывод первой редакции подтверждается для акта Санкт-Петербурга, перепроверенного по тексту; для остальных субъектов принят по первой редакции). Отсюда следует, что вариативное меню в России — повсеместно организационная инициатива учреждения, допускаемая нормами, но не предписанная ими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делался, — «чем богаче нормативный ассортимент, тем шире легальное пространство выбора» — нуждается в уточнении.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1"/>
    <w:bookmarkStart w:id="57"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2"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и от 27.06.2022 № 561 [27, 51]. Постановлением № 929 приложение изложено в новой редакции с 01.01.2020 [51]; постановлением № 561 изменены, в частности, нормы по крупам и мясу (отметки «в ред. Постановления… от 27.06.2022 N 561» у соответствующих строк) [27].</w:t>
      </w:r>
    </w:p>
    <w:p>
      <w:pPr>
        <w:pStyle w:val="BodyText"/>
      </w:pPr>
      <w:r>
        <w:t xml:space="preserve">Приложение состоит из нескольких самостоятельных норм [27]:</w:t>
      </w:r>
    </w:p>
    <w:p>
      <w:pPr>
        <w:pStyle w:val="Compact"/>
        <w:numPr>
          <w:ilvl w:val="0"/>
          <w:numId w:val="1007"/>
        </w:numPr>
      </w:pPr>
      <w:r>
        <w:t xml:space="preserve">нормы питания граждан пожилого возраста и инвалидов в стационарной форме — в четырёх столбцах: учреждения, кроме ПНИ; ПНИ; лица с сахарным диабетом; лица с заболеваниями желудочно-кишечного тракта;</w:t>
      </w:r>
    </w:p>
    <w:p>
      <w:pPr>
        <w:pStyle w:val="Compact"/>
        <w:numPr>
          <w:ilvl w:val="0"/>
          <w:numId w:val="1007"/>
        </w:numPr>
      </w:pPr>
      <w:r>
        <w:t xml:space="preserve">нормы питания граждан пожилого возраста и инвалидов в ПНИ</w:t>
      </w:r>
      <w:r>
        <w:t xml:space="preserve"> </w:t>
      </w:r>
      <w:r>
        <w:rPr>
          <w:b/>
          <w:bCs/>
        </w:rPr>
        <w:t xml:space="preserve">без смеси белковой композитной сухой</w:t>
      </w:r>
      <w:r>
        <w:t xml:space="preserve"> </w:t>
      </w:r>
      <w:r>
        <w:t xml:space="preserve">— отдельная таблица;</w:t>
      </w:r>
    </w:p>
    <w:p>
      <w:pPr>
        <w:pStyle w:val="Compact"/>
        <w:numPr>
          <w:ilvl w:val="0"/>
          <w:numId w:val="1007"/>
        </w:numPr>
      </w:pPr>
      <w:r>
        <w:t xml:space="preserve">нормы питания беременных женщин и кормящих матерей;</w:t>
      </w:r>
    </w:p>
    <w:p>
      <w:pPr>
        <w:pStyle w:val="Compact"/>
        <w:numPr>
          <w:ilvl w:val="0"/>
          <w:numId w:val="1007"/>
        </w:numPr>
      </w:pPr>
      <w:r>
        <w:t xml:space="preserve">нормы питания детей первого года жизни, проживающих с матерями;</w:t>
      </w:r>
    </w:p>
    <w:p>
      <w:pPr>
        <w:pStyle w:val="Compact"/>
        <w:numPr>
          <w:ilvl w:val="0"/>
          <w:numId w:val="1007"/>
        </w:numPr>
      </w:pPr>
      <w:r>
        <w:t xml:space="preserve">нормы питания детей от 1 года до 18 лет;</w:t>
      </w:r>
    </w:p>
    <w:p>
      <w:pPr>
        <w:pStyle w:val="Compact"/>
        <w:numPr>
          <w:ilvl w:val="0"/>
          <w:numId w:val="1007"/>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FirstParagraph"/>
      </w:pPr>
      <w:r>
        <w:t xml:space="preserve">Для полустационарной формы установлена структура рациона в процентах от стационарной нормы: завтрак — 30 %, обед — 40 %, полдник — 10 %, ужин — 20 % [27].</w:t>
      </w:r>
    </w:p>
    <w:bookmarkEnd w:id="52"/>
    <w:bookmarkStart w:id="53" w:name="две-нормы-для-пни"/>
    <w:p>
      <w:pPr>
        <w:pStyle w:val="Heading3"/>
      </w:pPr>
      <w:r>
        <w:rPr>
          <w:rStyle w:val="SectionNumber"/>
        </w:rPr>
        <w:t xml:space="preserve">3.2.2</w:t>
      </w:r>
      <w:r>
        <w:tab/>
      </w:r>
      <w:r>
        <w:t xml:space="preserve">Две нормы для ПНИ</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Это верно, но неполно: в постановлении есть вторая, самостоятельная норма для ПНИ — без СБКС (таблица 2). Сравнение двух ПНИ-норм показывает, чем региональный нормотворец «заменил» 27 г белковой смеси [27]: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w:t>
            </w:r>
          </w:p>
        </w:tc>
        <w:tc>
          <w:tcPr/>
          <w:p>
            <w:pPr>
              <w:pStyle w:val="Compact"/>
            </w:pPr>
            <w:r>
              <w:t xml:space="preserve">ПНИ, табл. 1 (с СБКС 27 г)</w:t>
            </w:r>
          </w:p>
        </w:tc>
        <w:tc>
          <w:tcPr/>
          <w:p>
            <w:pPr>
              <w:pStyle w:val="Compact"/>
            </w:pPr>
            <w:r>
              <w:t xml:space="preserve">ПНИ, табл. 2 (без СБКС)</w:t>
            </w:r>
          </w:p>
        </w:tc>
        <w:tc>
          <w:tcPr/>
          <w:p>
            <w:pPr>
              <w:pStyle w:val="Compact"/>
            </w:pPr>
            <w:r>
              <w:t xml:space="preserve">Разница</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r>
      <w:tr>
        <w:tc>
          <w:tcPr/>
          <w:p>
            <w:pPr>
              <w:pStyle w:val="Compact"/>
            </w:pPr>
            <w:r>
              <w:t xml:space="preserve">Мясо (говядина, свинина)</w:t>
            </w:r>
          </w:p>
        </w:tc>
        <w:tc>
          <w:tcPr/>
          <w:p>
            <w:pPr>
              <w:pStyle w:val="Compact"/>
            </w:pPr>
            <w:r>
              <w:t xml:space="preserve">70,5</w:t>
            </w:r>
          </w:p>
        </w:tc>
        <w:tc>
          <w:tcPr/>
          <w:p>
            <w:pPr>
              <w:pStyle w:val="Compact"/>
            </w:pPr>
            <w:r>
              <w:t xml:space="preserve">85,2</w:t>
            </w:r>
          </w:p>
        </w:tc>
        <w:tc>
          <w:tcPr/>
          <w:p>
            <w:pPr>
              <w:pStyle w:val="Compact"/>
            </w:pPr>
            <w:r>
              <w:t xml:space="preserve">+14,7</w:t>
            </w:r>
          </w:p>
        </w:tc>
      </w:tr>
      <w:tr>
        <w:tc>
          <w:tcPr/>
          <w:p>
            <w:pPr>
              <w:pStyle w:val="Compact"/>
            </w:pPr>
            <w:r>
              <w:t xml:space="preserve">Птица потрошёная</w:t>
            </w:r>
          </w:p>
        </w:tc>
        <w:tc>
          <w:tcPr/>
          <w:p>
            <w:pPr>
              <w:pStyle w:val="Compact"/>
            </w:pPr>
            <w:r>
              <w:t xml:space="preserve">36,5</w:t>
            </w:r>
          </w:p>
        </w:tc>
        <w:tc>
          <w:tcPr/>
          <w:p>
            <w:pPr>
              <w:pStyle w:val="Compact"/>
            </w:pPr>
            <w:r>
              <w:t xml:space="preserve">35</w:t>
            </w:r>
          </w:p>
        </w:tc>
        <w:tc>
          <w:tcPr/>
          <w:p>
            <w:pPr>
              <w:pStyle w:val="Compact"/>
            </w:pPr>
            <w:r>
              <w:t xml:space="preserve">−1,5</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r>
    </w:tbl>
    <w:p>
      <w:pPr>
        <w:pStyle w:val="BodyText"/>
      </w:pPr>
      <w:r>
        <w:t xml:space="preserve">Постановление не указывает, в каких случаях применяется каждая из двух норм (проверено по тексту [27]). Наиболее естественное прочтение (толкование): учреждение вправе обеспечивать жителей ПНИ либо по норме с СБКС, либо по норме без неё, компенсируя белковую смесь хлебом, крупами и мясом. Для вариативного меню это прецедент, который стоит видеть: региональный акт сам содержит пару эквивалентных наборов. Выбор между ними делает учреждение, а не житель, но логика «два пути к одной пищевой ценности» заложена в норму.</w:t>
      </w:r>
    </w:p>
    <w:bookmarkEnd w:id="53"/>
    <w:bookmarkStart w:id="54" w:name="X744872d13e97ab876f532ded5c34d5c603028b3"/>
    <w:p>
      <w:pPr>
        <w:pStyle w:val="Heading3"/>
      </w:pPr>
      <w:r>
        <w:rPr>
          <w:rStyle w:val="SectionNumber"/>
        </w:rPr>
        <w:t xml:space="preserve">3.2.3</w:t>
      </w:r>
      <w:r>
        <w:tab/>
      </w:r>
      <w:r>
        <w:t xml:space="preserve">Петербургская норма и федеральная рекомендация</w:t>
      </w:r>
    </w:p>
    <w:p>
      <w:pPr>
        <w:pStyle w:val="FirstParagraph"/>
      </w:pPr>
      <w:r>
        <w:t xml:space="preserve">Сопоставление общей нормы Санкт-Петербурга (столбец «учреждения, кроме ПНИ») с рекомендуемыми нормами приказа № 520н показывает, что петербургская норма не является производной от федеральной: она старше (принята в 2014 г., последняя редакция — от 27.06.2022; приказ № 520н издан 13.09.2022) и устроена иначе [26, 27].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 на человека)</w:t>
            </w:r>
          </w:p>
        </w:tc>
        <w:tc>
          <w:tcPr/>
          <w:p>
            <w:pPr>
              <w:pStyle w:val="Compact"/>
            </w:pPr>
            <w:r>
              <w:t xml:space="preserve">Приказ № 520н, 18+ [26]</w:t>
            </w:r>
          </w:p>
        </w:tc>
        <w:tc>
          <w:tcPr/>
          <w:p>
            <w:pPr>
              <w:pStyle w:val="Compact"/>
            </w:pPr>
            <w:r>
              <w:t xml:space="preserve">СПб № 1284, кроме ПНИ [27]</w:t>
            </w:r>
          </w:p>
        </w:tc>
        <w:tc>
          <w:tcPr/>
          <w:p>
            <w:pPr>
              <w:pStyle w:val="Compact"/>
            </w:pPr>
            <w:r>
              <w:t xml:space="preserve">СПб № 1284, ПНИ (табл. 1) [27]</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(все группы, включая зелень, солёные и консервированные)</w:t>
            </w:r>
          </w:p>
        </w:tc>
        <w:tc>
          <w:tcPr/>
          <w:p>
            <w:pPr>
              <w:pStyle w:val="Compact"/>
            </w:pPr>
            <w:r>
              <w:t xml:space="preserve">394,5¹</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 рыбопродукты</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 (3,5 шт./нед)</w:t>
            </w:r>
          </w:p>
        </w:tc>
        <w:tc>
          <w:tcPr/>
          <w:p>
            <w:pPr>
              <w:pStyle w:val="Compact"/>
            </w:pPr>
            <w:r>
              <w:t xml:space="preserve">4 шт./нед</w:t>
            </w:r>
          </w:p>
        </w:tc>
        <w:tc>
          <w:tcPr/>
          <w:p>
            <w:pPr>
              <w:pStyle w:val="Compact"/>
            </w:pPr>
            <w:r>
              <w:t xml:space="preserve">4 шт./нед</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57 + 15 = 72</w:t>
            </w:r>
          </w:p>
        </w:tc>
        <w:tc>
          <w:tcPr/>
          <w:p>
            <w:pPr>
              <w:pStyle w:val="Compact"/>
            </w:pPr>
            <w:r>
              <w:t xml:space="preserve">57 + 15 = 72</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медицинским показаниям</w:t>
            </w:r>
          </w:p>
        </w:tc>
        <w:tc>
          <w:tcPr/>
          <w:p>
            <w:pPr>
              <w:pStyle w:val="Compact"/>
            </w:pPr>
            <w:r>
              <w:t xml:space="preserve">27 — в общей норме</w:t>
            </w:r>
          </w:p>
        </w:tc>
        <w:tc>
          <w:tcPr/>
          <w:p>
            <w:pPr>
              <w:pStyle w:val="Compact"/>
            </w:pPr>
            <w:r>
              <w:t xml:space="preserve">27 — в общей норме</w:t>
            </w:r>
          </w:p>
        </w:tc>
      </w:tr>
      <w:tr>
        <w:tc>
          <w:tcPr/>
          <w:p>
            <w:pPr>
              <w:pStyle w:val="Compact"/>
            </w:pPr>
            <w:r>
              <w:t xml:space="preserve">Витаминно-минеральные комплексы</w:t>
            </w:r>
          </w:p>
        </w:tc>
        <w:tc>
          <w:tcPr/>
          <w:p>
            <w:pPr>
              <w:pStyle w:val="Compact"/>
            </w:pPr>
            <w:r>
              <w:t xml:space="preserve">50–100 % физиол. нормы — по медицинским показаниям</w:t>
            </w:r>
          </w:p>
        </w:tc>
        <w:tc>
          <w:tcPr/>
          <w:p>
            <w:pPr>
              <w:pStyle w:val="Compact"/>
            </w:pPr>
            <w:r>
              <w:t xml:space="preserve">1 драже 3 раза в неделю</w:t>
            </w:r>
          </w:p>
        </w:tc>
        <w:tc>
          <w:tcPr/>
          <w:p>
            <w:pPr>
              <w:pStyle w:val="Compact"/>
            </w:pPr>
            <w:r>
              <w:t xml:space="preserve">1 драже 3 раза в неделю</w:t>
            </w:r>
          </w:p>
        </w:tc>
      </w:tr>
    </w:tbl>
    <w:p>
      <w:pPr>
        <w:pStyle w:val="BodyText"/>
      </w:pPr>
      <w:r>
        <w:t xml:space="preserve">¹ Сумма строк приказа № 520н: овощи свежие 340 + солёные и маринованные 15 + зелень 14,8 + консервированные 24,7 (иллюстративная арифметика автора; в приказе группы приведены раздельно).</w:t>
      </w:r>
    </w:p>
    <w:p>
      <w:pPr>
        <w:pStyle w:val="BodyText"/>
      </w:pPr>
      <w:r>
        <w:t xml:space="preserve">Из сопоставления следуют три наблюдения.</w:t>
      </w:r>
    </w:p>
    <w:p>
      <w:pPr>
        <w:pStyle w:val="BodyText"/>
      </w:pPr>
      <w:r>
        <w:t xml:space="preserve">Первое. По ряду позиций петербургская норма щедрее федеральной рекомендации: птица (40 против 22,2 г), творог (40 против 20 г), кисломолочные продукты (200 против 121), рыба (41,8 против 32,5), фрукты (200 против 150). По другим — скромнее: картофель (168 против 200), овощи (318 против 394,5), соки (60 против 100). Выбор блюд, построенный на петербургской норме, имеет запас именно в белковых позициях, что облегчает пары «мясо — птица — рыба» (толкование) [26, 27].</w:t>
      </w:r>
    </w:p>
    <w:p>
      <w:pPr>
        <w:pStyle w:val="BodyText"/>
      </w:pPr>
      <w:r>
        <w:t xml:space="preserve">Второе. Специализированные продукты (СБКС и витаминно-минеральные комплексы) в Санкт-Петербурге входят в общую норму каждого проживающего, а в федеральной рекомендации — только по медицинским показаниям [26, 27]. Это решение регионального нормотворца, а не противоречие: регион вправе установить более широкий набор. Однако оно порождает практический вопрос, который должен решаться врачом, а не кухней: включать ли смесь в блюда всем или выдавать по назначению.</w:t>
      </w:r>
    </w:p>
    <w:p>
      <w:pPr>
        <w:pStyle w:val="BodyText"/>
      </w:pPr>
      <w:r>
        <w:t xml:space="preserve">Третье. Пункты, сформулированные группами («крупы, бобовые» 80 г; «овощи свежие, овощи солёные и маринованные, овощи консервированные, зелень» 318 г; «говядина, свинина» 90 г), оставляют внутри группы свободу выбора конкретного продукта. Две каши из одной группы, два салата из одной группы овощей, котлета из говядины и тефтели из свинины — варианты, не требующие пересчёта нормы. Пары между группами (мясо — рыба, картофель — крупа) требуют таблицы замен, которой в постановлении № 1284 нет (п. 2.6) [27].</w:t>
      </w:r>
    </w:p>
    <w:bookmarkEnd w:id="54"/>
    <w:bookmarkStart w:id="55" w:name="порядок-и-тарифы"/>
    <w:p>
      <w:pPr>
        <w:pStyle w:val="Heading3"/>
      </w:pPr>
      <w:r>
        <w:rPr>
          <w:rStyle w:val="SectionNumber"/>
        </w:rPr>
        <w:t xml:space="preserve">3.2.4</w:t>
      </w:r>
      <w:r>
        <w:tab/>
      </w:r>
      <w:r>
        <w:t xml:space="preserve">Порядок и тарифы</w:t>
      </w:r>
    </w:p>
    <w:p>
      <w:pPr>
        <w:pStyle w:val="FirstParagraph"/>
      </w:pPr>
      <w:r>
        <w:t xml:space="preserve">Нормы питания петербургских учреждений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[52]. Тарифы на социальные услуги ежегодно утверждает Комитет по социальной политике: на 2025 г. — распоряжением от 13.12.2024 № 1366-р, на 2026 г. — распоряжением от 15.12.2025 № 1155-р [53].</w:t>
      </w:r>
    </w:p>
    <w:p>
      <w:pPr>
        <w:pStyle w:val="BodyText"/>
      </w:pPr>
      <w:r>
        <w:t xml:space="preserve">Тарифы 2025 г. на услугу «обеспечение питанием согласно утверждённым нормативам» в стационарной форме устроены зеркально нормам постановления № 1284 — по тем же категориям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Категория (стационарная форма)</w:t>
            </w:r>
          </w:p>
        </w:tc>
        <w:tc>
          <w:tcPr/>
          <w:p>
            <w:pPr>
              <w:pStyle w:val="Compact"/>
            </w:pPr>
            <w:r>
              <w:t xml:space="preserve">Тариф 2025 г., руб. в день</w:t>
            </w:r>
          </w:p>
        </w:tc>
      </w:tr>
      <w:tr>
        <w:tc>
          <w:tcPr/>
          <w:p>
            <w:pPr>
              <w:pStyle w:val="Compact"/>
            </w:pPr>
            <w:r>
              <w:t xml:space="preserve">Граждане пожилого возраста и инвалиды, кроме ПНИ</w:t>
            </w:r>
          </w:p>
        </w:tc>
        <w:tc>
          <w:tcPr/>
          <w:p>
            <w:pPr>
              <w:pStyle w:val="Compact"/>
            </w:pPr>
            <w:r>
              <w:t xml:space="preserve">560,87</w:t>
            </w:r>
          </w:p>
        </w:tc>
      </w:tr>
      <w:tr>
        <w:tc>
          <w:tcPr/>
          <w:p>
            <w:pPr>
              <w:pStyle w:val="Compact"/>
            </w:pPr>
            <w:r>
              <w:t xml:space="preserve">То же, с сахарным диабетом</w:t>
            </w:r>
          </w:p>
        </w:tc>
        <w:tc>
          <w:tcPr/>
          <w:p>
            <w:pPr>
              <w:pStyle w:val="Compact"/>
            </w:pPr>
            <w:r>
              <w:t xml:space="preserve">549,77</w:t>
            </w:r>
          </w:p>
        </w:tc>
      </w:tr>
      <w:tr>
        <w:tc>
          <w:tcPr/>
          <w:p>
            <w:pPr>
              <w:pStyle w:val="Compact"/>
            </w:pPr>
            <w:r>
              <w:t xml:space="preserve">То же, с заболеваниями ЖКТ</w:t>
            </w:r>
          </w:p>
        </w:tc>
        <w:tc>
          <w:tcPr/>
          <w:p>
            <w:pPr>
              <w:pStyle w:val="Compact"/>
            </w:pPr>
            <w:r>
              <w:t xml:space="preserve">423,36</w:t>
            </w:r>
          </w:p>
        </w:tc>
      </w:tr>
      <w:tr>
        <w:tc>
          <w:tcPr/>
          <w:p>
            <w:pPr>
              <w:pStyle w:val="Compact"/>
            </w:pPr>
            <w:r>
              <w:t xml:space="preserve">ПНИ</w:t>
            </w:r>
          </w:p>
        </w:tc>
        <w:tc>
          <w:tcPr/>
          <w:p>
            <w:pPr>
              <w:pStyle w:val="Compact"/>
            </w:pPr>
            <w:r>
              <w:t xml:space="preserve">571,63</w:t>
            </w:r>
          </w:p>
        </w:tc>
      </w:tr>
      <w:tr>
        <w:tc>
          <w:tcPr/>
          <w:p>
            <w:pPr>
              <w:pStyle w:val="Compact"/>
            </w:pPr>
            <w:r>
              <w:t xml:space="preserve">ПНИ, с сахарным диабетом</w:t>
            </w:r>
          </w:p>
        </w:tc>
        <w:tc>
          <w:tcPr/>
          <w:p>
            <w:pPr>
              <w:pStyle w:val="Compact"/>
            </w:pPr>
            <w:r>
              <w:t xml:space="preserve">549,77</w:t>
            </w:r>
          </w:p>
        </w:tc>
      </w:tr>
      <w:tr>
        <w:tc>
          <w:tcPr/>
          <w:p>
            <w:pPr>
              <w:pStyle w:val="Compact"/>
            </w:pPr>
            <w:r>
              <w:t xml:space="preserve">ПНИ, без смеси белковой композитной сухой</w:t>
            </w:r>
          </w:p>
        </w:tc>
        <w:tc>
          <w:tcPr/>
          <w:p>
            <w:pPr>
              <w:pStyle w:val="Compact"/>
            </w:pPr>
            <w:r>
              <w:t xml:space="preserve">480,86</w:t>
            </w:r>
          </w:p>
        </w:tc>
      </w:tr>
      <w:tr>
        <w:tc>
          <w:tcPr/>
          <w:p>
            <w:pPr>
              <w:pStyle w:val="Compact"/>
            </w:pPr>
            <w:r>
              <w:t xml:space="preserve">ПНИ, с заболеваниями ЖКТ</w:t>
            </w:r>
          </w:p>
        </w:tc>
        <w:tc>
          <w:tcPr/>
          <w:p>
            <w:pPr>
              <w:pStyle w:val="Compact"/>
            </w:pPr>
            <w:r>
              <w:t xml:space="preserve">423,36</w:t>
            </w:r>
          </w:p>
        </w:tc>
      </w:tr>
    </w:tbl>
    <w:p>
      <w:pPr>
        <w:pStyle w:val="BodyText"/>
      </w:pPr>
      <w:r>
        <w:t xml:space="preserve">Две особенности таблицы существенны для вариативного меню. Первая: разница между двумя ПНИ-нормами (с СБКС и без неё) составляет 90,77 руб. в день — это цена, которую тарифный орган присвоил решению «27 г белковой смеси или компенсация хлебом, крупами и мясом» (иллюстративная арифметика: 571,63 − 480,86). Вторая: тариф рассчитан на норму, а не на меню; он не содержит составляющей на организацию выбора. Тарифы 2026 г. в ходе подготовки доклада не анализировались (опубликованный текст распоряжения № 1155-р доступен в виде графического образа) [53].</w:t>
      </w:r>
    </w:p>
    <w:bookmarkEnd w:id="55"/>
    <w:bookmarkStart w:id="56"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54]. Проект, о котором идёт речь в этом докладе, относится к образовательным организациям, то есть к школьному питанию, и к организациям социального обслуживания взрослых отношения не имеет. Сведения о вариативном меню в ДСО «Серафимовский», опубликованные Комитетом по социальной политике Санкт-Петербурга 22.07.2025 [15], в первой редакции не использованы.</w:t>
      </w:r>
    </w:p>
    <w:bookmarkEnd w:id="56"/>
    <w:bookmarkEnd w:id="57"/>
    <w:bookmarkStart w:id="58"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[55]. По описанию первой редакции обзора, наборы дифференцированы по видам организаций, предусматривают диетическое питание по медицинским показаниям, замену продуктов «по нормам взаимозаменяемости» и отсылку к СанПиН 3590-20 [1]. Текст приказа в ходе подготовки второй редакции повторно не сверялся.</w:t>
      </w:r>
    </w:p>
    <w:p>
      <w:pPr>
        <w:pStyle w:val="BodyText"/>
      </w:pPr>
      <w:r>
        <w:t xml:space="preserve">Первая редакция также описывала московскую практику как «цикличное меню с элементами выбора», дегустации и опросы удовлетворённости в пансионатах [1]. Эта характеристика в обзоре не подкреплена источником; во второй редакции она не воспроизводится как факт. Публичного описания вариативного меню в конкретном московском учреждении с реквизитами в ходе подготовки доклада не найдено.</w:t>
      </w:r>
    </w:p>
    <w:bookmarkEnd w:id="58"/>
    <w:bookmarkStart w:id="59"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[35].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это изложение точно, свердловский акт — единственный из проанализированных, где применение детской таблицы замен к взрослым возведено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59"/>
    <w:bookmarkStart w:id="60"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[56].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bookmarkEnd w:id="60"/>
    <w:bookmarkStart w:id="61"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[57].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[40]. Публикация меню и правил — инструмент, который вариативному меню нужен в любом регионе: житель и семья должны знать, из чего выбирают.</w:t>
      </w:r>
    </w:p>
    <w:bookmarkEnd w:id="61"/>
    <w:bookmarkStart w:id="62"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[58].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2"/>
    <w:bookmarkStart w:id="63" w:name="другие-субъекты"/>
    <w:p>
      <w:pPr>
        <w:pStyle w:val="Heading2"/>
      </w:pPr>
      <w:r>
        <w:rPr>
          <w:rStyle w:val="SectionNumber"/>
        </w:rPr>
        <w:t xml:space="preserve">3.8</w:t>
      </w:r>
      <w:r>
        <w:tab/>
      </w:r>
      <w:r>
        <w:t xml:space="preserve">Другие субъекты</w:t>
      </w:r>
    </w:p>
    <w:p>
      <w:pPr>
        <w:pStyle w:val="FirstParagraph"/>
      </w:pPr>
      <w:r>
        <w:t xml:space="preserve">В материалах семинара в числе региональных норм названы также постановление Правительства Красноярского края от 17.12.2014 № 607-п, постановление Правительства Ленинградской области № 458 и постановление Правительства Ханты-Мансийского автономного округа — Югры № 306-п [16, 59]. Их содержание для второй редакции не анализировалось; реквизиты приводятся для полноты картины.</w:t>
      </w:r>
    </w:p>
    <w:bookmarkEnd w:id="63"/>
    <w:bookmarkStart w:id="64" w:name="X8eb27cf166f18a127646fce9d4ebaa9d6eac609"/>
    <w:p>
      <w:pPr>
        <w:pStyle w:val="Heading2"/>
      </w:pPr>
      <w:r>
        <w:rPr>
          <w:rStyle w:val="SectionNumber"/>
        </w:rPr>
        <w:t xml:space="preserve">3.9</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60]. Это учреждение здравоохранения, и цифры к стоимости питания в организациях социального обслуживания напрямую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64"/>
    <w:bookmarkStart w:id="65" w:name="сравнение"/>
    <w:p>
      <w:pPr>
        <w:pStyle w:val="Heading2"/>
      </w:pPr>
      <w:r>
        <w:rPr>
          <w:rStyle w:val="SectionNumber"/>
        </w:rPr>
        <w:t xml:space="preserve">3.10</w:t>
      </w:r>
      <w:r>
        <w:tab/>
      </w:r>
      <w:r>
        <w:t xml:space="preserve">Сравнение</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(ред. № 561 от 27.06.2022)</w:t>
            </w:r>
          </w:p>
        </w:tc>
        <w:tc>
          <w:tcPr/>
          <w:p>
            <w:pPr>
              <w:pStyle w:val="Compact"/>
            </w:pPr>
            <w:r>
              <w:t xml:space="preserve">По типу учреждения и состоянию здоровья; две нормы для ПНИ</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[27]</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По видам организаций</w:t>
            </w:r>
          </w:p>
        </w:tc>
        <w:tc>
          <w:tcPr/>
          <w:p>
            <w:pPr>
              <w:pStyle w:val="Compact"/>
            </w:pPr>
            <w:r>
              <w:t xml:space="preserve">Обогащение предусмотрено (по [1])</w:t>
            </w:r>
          </w:p>
        </w:tc>
        <w:tc>
          <w:tcPr/>
          <w:p>
            <w:pPr>
              <w:pStyle w:val="Compact"/>
            </w:pPr>
            <w:r>
              <w:t xml:space="preserve">По нормам взаимозаменяемости (по [1])</w:t>
            </w:r>
          </w:p>
        </w:tc>
        <w:tc>
          <w:tcPr/>
          <w:p>
            <w:pPr>
              <w:pStyle w:val="Compact"/>
            </w:pPr>
            <w:r>
              <w:t xml:space="preserve">По первой редакции</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приказ от 21.04.2022 № 214</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w:t>
            </w:r>
          </w:p>
        </w:tc>
        <w:tc>
          <w:tcPr/>
          <w:p>
            <w:pPr>
              <w:pStyle w:val="Compact"/>
            </w:pPr>
            <w:r>
              <w:t xml:space="preserve">По первой редакции</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Красноярский край</w:t>
            </w:r>
          </w:p>
        </w:tc>
        <w:tc>
          <w:tcPr/>
          <w:p>
            <w:pPr>
              <w:pStyle w:val="Compact"/>
            </w:pPr>
            <w:r>
              <w:t xml:space="preserve">Пост. от 17.12.2014 № 607-п</w:t>
            </w:r>
          </w:p>
        </w:tc>
        <w:tc>
          <w:tcPr/>
          <w:p>
            <w:pPr>
              <w:pStyle w:val="Compact"/>
            </w:pPr>
            <w:r>
              <w:t xml:space="preserve">Не анализировалось</w:t>
            </w:r>
          </w:p>
        </w:tc>
        <w:tc>
          <w:tcPr/>
          <w:p>
            <w:pPr>
              <w:pStyle w:val="Compact"/>
            </w:pPr>
            <w:r>
              <w:t xml:space="preserve">—</w:t>
            </w:r>
          </w:p>
        </w:tc>
        <w:tc>
          <w:tcPr/>
          <w:p>
            <w:pPr>
              <w:pStyle w:val="Compact"/>
            </w:pPr>
            <w:r>
              <w:t xml:space="preserve">—</w:t>
            </w:r>
          </w:p>
        </w:tc>
        <w:tc>
          <w:tcPr/>
          <w:p>
            <w:pPr>
              <w:pStyle w:val="Compact"/>
            </w:pPr>
            <w:r>
              <w:t xml:space="preserve">Реквизиты [59]</w:t>
            </w:r>
          </w:p>
        </w:tc>
      </w:tr>
    </w:tbl>
    <w:bookmarkEnd w:id="65"/>
    <w:bookmarkStart w:id="66" w:name="что-региональные-нормы-дают-выбору"/>
    <w:p>
      <w:pPr>
        <w:pStyle w:val="Heading2"/>
      </w:pPr>
      <w:r>
        <w:rPr>
          <w:rStyle w:val="SectionNumber"/>
        </w:rPr>
        <w:t xml:space="preserve">3.11</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определяет суточное количество продуктов по группам и почти никогда не определяет набор блюд, число вариантов, время и место подачи. Это создаёт широкое пространство организационной свободы, которое на практике заполняется привычкой: одно меню на всех, потому что так проще считать раскладку (толкование).</w:t>
      </w:r>
    </w:p>
    <w:p>
      <w:pPr>
        <w:pStyle w:val="BodyText"/>
      </w:pPr>
      <w:r>
        <w:t xml:space="preserve">Для учреждения, вводящего выбор, из региональной нормы следуют три практических требования. Суммарная закладка продуктов за отчётный период (неделя, декада, месяц) должна соответствовать норме по каждой группе. Варианты, построенные внутри группы продуктов, норму не затрагивают. Варианты между группами требуют утверждённой учреждением таблицы замен со ссылкой на источник. Средний по периоду, а не ежедневный расчёт — допустимый способ контроля; его законность для взрослых учреждений прямо не установлена (в СанПиН он закреплён для детей — подп. «в» подп. 2 п. 59 СанПиН 4282-26 допускает отклонение по приёмам пищи ±5 % при соблюдении среднего за неделю [3]), поэтому способ контроля также следует закрепить локальным актом (рекомендация).</w:t>
      </w:r>
    </w:p>
    <w:bookmarkEnd w:id="66"/>
    <w:bookmarkEnd w:id="67"/>
    <w:bookmarkStart w:id="79"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68"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разобрано в два слоя: что источник сообщает и чего он не сообщает. Новость учреждения или органа власти — это факт сообщения на дату публикации, а не результат проверки. Ни один из перечисленных ниже кейсов не сопровождается опубликованными данными о весе, потреблении, отходах или затратах; поэтому кейсы иллюстрируют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Часть сведений получена при повторной проверке сайтов учреждений в октябре 2026 г. и уточняет как первую редакцию, так и рабочую базу знаний проекта [17].</w:t>
      </w:r>
    </w:p>
    <w:p>
      <w:pPr>
        <w:pStyle w:val="BodyText"/>
      </w:pPr>
      <w:r>
        <w:t xml:space="preserve">Классификация по шкале раздачи (М0–М5, п. 1.4) дана автором по тексту сообщений и является толкованием.</w:t>
      </w:r>
    </w:p>
    <w:bookmarkEnd w:id="68"/>
    <w:bookmarkStart w:id="69"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Эти детали во второй редакции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практика сохранилась спустя два года.</w:t>
      </w:r>
    </w:p>
    <w:bookmarkEnd w:id="69"/>
    <w:bookmarkStart w:id="70"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опасения не подтвердились. Одновременно обновлена посуда и проведены занятия по этикету за столом.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rPr>
          <w:b/>
          <w:bCs/>
        </w:rPr>
        <w:t xml:space="preserve">Чего источники не сообщают.</w:t>
      </w:r>
      <w:r>
        <w:t xml:space="preserve"> </w:t>
      </w:r>
      <w:r>
        <w:t xml:space="preserve">Сведений о количестве жителей и отделений; о затратах; о жителях, которые не могут выбрать сами. Сообщение 2024 г. не уточняет, ежедневен ли выбор (в рабочей базе знаний проекта он описан как ежедневный [17]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[17]; для сообщения 2024 г. это верно, для сообщения 2025 г. — уже нет. Слои описывают разные даты и не противоречат друг другу, если дату указывать.</w:t>
      </w:r>
    </w:p>
    <w:bookmarkEnd w:id="70"/>
    <w:bookmarkStart w:id="71"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Сообщение о лучшем аппетите — высказывание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совпадение сроков публикаций (13, 16 и 19 августа 2024 г.) позволяет предположить общий региональный импульс, но документа регионального органа, который бы его подтверждал, найти не удалось (открытая новостная лента министерства труда и социального развития Новосибирской области при проверке была недоступна) [5, 7, 9].</w:t>
      </w:r>
    </w:p>
    <w:bookmarkEnd w:id="71"/>
    <w:bookmarkStart w:id="72"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[10]:</w:t>
      </w:r>
    </w:p>
    <w:p>
      <w:pPr>
        <w:pStyle w:val="Compact"/>
        <w:numPr>
          <w:ilvl w:val="0"/>
          <w:numId w:val="1008"/>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08"/>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08"/>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08"/>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Это единственная из найденных российских практик, где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«цикличное 14-дневное меню» и «право выбора в обед» наглядно показывает, что цикличность и вариативность — разные свойства одного меню (п. 1.2). Рекомендация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[17]; для Усть-Илимска это неточно.</w:t>
      </w:r>
    </w:p>
    <w:bookmarkEnd w:id="72"/>
    <w:bookmarkStart w:id="73"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[11].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[12].</w:t>
      </w:r>
    </w:p>
    <w:p>
      <w:pPr>
        <w:pStyle w:val="BodyText"/>
      </w:pPr>
      <w:r>
        <w:rPr>
          <w:b/>
          <w:bCs/>
        </w:rPr>
        <w:t xml:space="preserve">Чего источники не сообщают.</w:t>
      </w:r>
      <w:r>
        <w:t xml:space="preserve"> </w:t>
      </w:r>
      <w:r>
        <w:t xml:space="preserve">Сколько учреждений перешло на выбор; закреплено ли это региональным актом;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[13].</w:t>
      </w:r>
    </w:p>
    <w:bookmarkEnd w:id="73"/>
    <w:bookmarkStart w:id="74"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[14].</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Появление межрегиональной площадки показывает, что к 2026 г. практика вышла за пределы единичных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[14].</w:t>
      </w:r>
    </w:p>
    <w:bookmarkEnd w:id="74"/>
    <w:bookmarkStart w:id="75"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приведены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[15].</w:t>
      </w:r>
    </w:p>
    <w:p>
      <w:pPr>
        <w:pStyle w:val="BodyText"/>
      </w:pPr>
      <w:r>
        <w:t xml:space="preserve">Приказом учреждения от 10.03.2026 № 124 утверждены правила внутреннего распорядка, в которых закреплено заказное питание (вариативное меню), в том числе для маломобильных жителей с приёмом пищи в жилых комнатах [22]. Сайт учреждения прекратил работу; правила доступны в веб-архиве (копия от 15.04.2026). По данным архивной копии сайта (февраль 2026 г.), учреждение обслуживало 1 004 человека, питание шестиразовое, с поздним вторым ужином [17, 22].</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поэтому отождествлять это свидетельство с ДСО «Серафимовский» нельзя; оно подтверждает лишь, что в 2025–2026 гг. выбор в петербургских ПНИ оставался доступен узкой группе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он показывает, что учреждение может закрепить вариативное питание в правилах внутреннего распорядка, но не является нормой ни для других учреждений, ни для проверяющего.</w:t>
      </w:r>
    </w:p>
    <w:p>
      <w:pPr>
        <w:pStyle w:val="BodyText"/>
      </w:pPr>
      <w:r>
        <w:t xml:space="preserve">Сообщение Комитета содержит две оценки, которые нередко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по этому вопросу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[61].</w:t>
      </w:r>
    </w:p>
    <w:bookmarkEnd w:id="75"/>
    <w:bookmarkStart w:id="76"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[23].</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[17]; по тексту сайта это нормы питания в ПНИ Московской области, а ссылка на приказ № 330 относится к совету по питанию. Уточнение вносится во вторую редакцию.</w:t>
      </w:r>
    </w:p>
    <w:bookmarkEnd w:id="76"/>
    <w:bookmarkStart w:id="77"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в части отделений — самообслуживание</w:t>
            </w:r>
          </w:p>
        </w:tc>
        <w:tc>
          <w:tcPr/>
          <w:p>
            <w:pPr>
              <w:pStyle w:val="Compact"/>
            </w:pPr>
            <w:r>
              <w:t xml:space="preserve">В момент еды</w:t>
            </w:r>
          </w:p>
        </w:tc>
        <w:tc>
          <w:tcPr/>
          <w:p>
            <w:pPr>
              <w:pStyle w:val="Compact"/>
            </w:pPr>
            <w:r>
              <w:t xml:space="preserve">М2 → М3 (часть отделений)</w:t>
            </w:r>
          </w:p>
        </w:tc>
        <w:tc>
          <w:tcPr/>
          <w:p>
            <w:pPr>
              <w:pStyle w:val="Compact"/>
            </w:pPr>
            <w:r>
              <w:t xml:space="preserve">Нет</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w:t>
            </w:r>
          </w:p>
        </w:tc>
        <w:tc>
          <w:tcPr/>
          <w:p>
            <w:pPr>
              <w:pStyle w:val="Compact"/>
            </w:pPr>
            <w:r>
              <w:t xml:space="preserve">Разные</w:t>
            </w:r>
          </w:p>
        </w:tc>
        <w:tc>
          <w:tcPr/>
          <w:p>
            <w:pPr>
              <w:pStyle w:val="Compact"/>
            </w:pPr>
            <w:r>
              <w:t xml:space="preserve">14.02.2025</w:t>
            </w:r>
          </w:p>
        </w:tc>
        <w:tc>
          <w:tcPr/>
          <w:p>
            <w:pPr>
              <w:pStyle w:val="Compact"/>
            </w:pPr>
            <w:r>
              <w:t xml:space="preserve">Два первых, два вторых, гарниры</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77"/>
    <w:bookmarkStart w:id="78"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Повторяющиеся элементы в сообщениях разных учреждений таковы.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Различаются кейсы ресурсной стороной. Новосибирские и иркутские сообщения не упоминают дополнительного персонала или оборудования; петербургское сообщение их называет [15].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основано на опубликованных расчётах. Корректный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аргумент «популярное не самое полезное» не может быть ни подтверждён, ни опровергнут.</w:t>
      </w:r>
    </w:p>
    <w:bookmarkEnd w:id="78"/>
    <w:bookmarkEnd w:id="79"/>
    <w:bookmarkStart w:id="92" w:name="научные-данные"/>
    <w:p>
      <w:pPr>
        <w:pStyle w:val="Heading1"/>
      </w:pPr>
      <w:r>
        <w:rPr>
          <w:rStyle w:val="SectionNumber"/>
        </w:rPr>
        <w:t xml:space="preserve">5</w:t>
      </w:r>
      <w:r>
        <w:tab/>
      </w:r>
      <w:r>
        <w:t xml:space="preserve">Научные данные</w:t>
      </w:r>
    </w:p>
    <w:bookmarkStart w:id="80"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Спор о вариативном меню в российских учреждениях ведётся главным образом аргументами двух типов: «выбор улучшает качество жизни» и «выбор ухудшит питание, потому что жители предпочтут невкусное полезному вкусному вредному». Оба аргумента — эмпирические и поддаются проверке. Этот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Приводятся только работы, библиографические данные и ключевые числа которых проверены по аннотации или полному тексту.</w:t>
      </w:r>
    </w:p>
    <w:bookmarkEnd w:id="80"/>
    <w:bookmarkStart w:id="81"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[62].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найти не удалось. Ближайшая по смыслу работа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[33]. Ограничения работы существенны: одно учреждение, средний возраст 64,7 года, отсутствие контрольной группы; поэтому цифра «улучшение у 73,5 %» не может быть приписана конкретному вмешательству. Ценность работы для нашей темы — в цифре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[39]. Рекомендации обращены к медицинским работникам; в организациях социального обслуживания они применимы в той части, в которой учреждение оказывает медицинскую помощь (толкование, см. п. 2.8).</w:t>
      </w:r>
    </w:p>
    <w:bookmarkEnd w:id="81"/>
    <w:bookmarkStart w:id="82"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Самое известное исследование выбора в институциональном питании — работа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[63]. Это одна из немногих работ, где именно время выбора, а не только число вариантов, выделено как самостоятельный фактор, — довод в пользу различения М1 (выбор накануне) и М2 (выбор в момент еды) в шкале раздачи.</w:t>
      </w:r>
    </w:p>
    <w:p>
      <w:pPr>
        <w:pStyle w:val="BodyText"/>
      </w:pPr>
      <w:r>
        <w:t xml:space="preserve">Работа Abbey, Wright и Capra (2015) описала, как выбор реально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Уровень выбора оказался низким во всей выборке, особенно для жителей, получающих протёртую пищу; признаки того, что меню планируется с расчётом на альтернативы, были ограничены. Авторы предложили усилить регулирование и мониторинг выбора в рамках национальных стандартов аккредитации [64]. Этот вывод прямо относится к российским ПНИ и домам-интернатам: формальное наличие двух блюд на линии раздачи не означает, что выбор доступен жителю, который получает протёртую пищу или не может объяснить своё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[61].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[65].</w:t>
      </w:r>
    </w:p>
    <w:p>
      <w:pPr>
        <w:pStyle w:val="BodyText"/>
      </w:pPr>
      <w:r>
        <w:t xml:space="preserve">Эти данные важны для российского спора по двум причинам. Во-первых, они не подтверждают опасения, что выбор неизбежно ухудшает состав потребления: в исследовании съеденные блюда из нового меню содержали чуть больше белковых продуктов и овощей. Во-вторых, они показывают и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следует учитывать (толкование).</w:t>
      </w:r>
    </w:p>
    <w:p>
      <w:pPr>
        <w:pStyle w:val="BodyText"/>
      </w:pPr>
      <w:r>
        <w:t xml:space="preserve">Близкий по смыслу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[66]. Больничный контекст отличается от учреждения долговременного проживания (короткое пребывание, другой состав пациентов), поэтому результат приводится как аналогия, а не как доказательство для ДСО и ПНИ.</w:t>
      </w:r>
    </w:p>
    <w:bookmarkEnd w:id="82"/>
    <w:bookmarkStart w:id="83" w:name="выбор-среда-приёма-пищи-и-пищевой-статус"/>
    <w:p>
      <w:pPr>
        <w:pStyle w:val="Heading2"/>
      </w:pPr>
      <w:r>
        <w:rPr>
          <w:rStyle w:val="SectionNumber"/>
        </w:rPr>
        <w:t xml:space="preserve">5.4</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[24]. Семейная подача — это М4 по шкале раздачи; исследование показывает эффект целого комплекса изменений,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[67].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[68]. Авторы исходят из того, что во французских домах престарелых меню, время, место приёма пищи и место за столом обычно навязаны жителю. Работа полезна как список дешёвых мер с проверенным и с непроверенным эффектом.</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[69].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[70]. Общий вывод: вмешательства в организацию питания, включающие выбор, скорее улучшают удовлетворённость и потребление, чем ухудшают, но размер эффекта на пищевой статус невелик и плохо измерен.</w:t>
      </w:r>
    </w:p>
    <w:bookmarkEnd w:id="83"/>
    <w:bookmarkStart w:id="84" w:name="Xfe48d46f65407ffc8d79fdb203508473277097d"/>
    <w:p>
      <w:pPr>
        <w:pStyle w:val="Heading2"/>
      </w:pPr>
      <w:r>
        <w:rPr>
          <w:rStyle w:val="SectionNumber"/>
        </w:rPr>
        <w:t xml:space="preserve">5.5</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[15] — имеет эмпирическую основу, но не ту, которую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[71]. Метаанализ объединяет исследования в разных условиях и не выделяет учреждения с нормированным продуктовым набором; его данные говорят о риске, а не о том, что вариативное меню в учреждении с нормированным продуктовым набором воспроизведёт этот риск.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[72].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[73]. Оба исследования приходят к выводу, что ответом на риск нездорового выбора служит обучение персонала и работа с пищевой средой, а не отказ от выбора.</w:t>
      </w:r>
    </w:p>
    <w:p>
      <w:pPr>
        <w:pStyle w:val="BodyText"/>
      </w:pPr>
      <w:r>
        <w:t xml:space="preserve">Для российского ПНИ отсюда следует практический вывод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84"/>
    <w:bookmarkStart w:id="85" w:name="международные-клинические-рекомендации"/>
    <w:p>
      <w:pPr>
        <w:pStyle w:val="Heading2"/>
      </w:pPr>
      <w:r>
        <w:rPr>
          <w:rStyle w:val="SectionNumber"/>
        </w:rPr>
        <w:t xml:space="preserve">5.6</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существенны две их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[74].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[75].</w:t>
      </w:r>
    </w:p>
    <w:p>
      <w:pPr>
        <w:pStyle w:val="BodyText"/>
      </w:pPr>
      <w:r>
        <w:t xml:space="preserve">Важна юридическая природа этих документов: это рекомендации профессионального общества для клиницистов, а не нормы. В российском праве они не действуют. Их ценность для доклада —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85"/>
    <w:bookmarkStart w:id="86" w:name="отходы-с-тарелки-как-измеритель"/>
    <w:p>
      <w:pPr>
        <w:pStyle w:val="Heading2"/>
      </w:pPr>
      <w:r>
        <w:rPr>
          <w:rStyle w:val="SectionNumber"/>
        </w:rPr>
        <w:t xml:space="preserve">5.7</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[76]. Для сравнения обзор приводит больничные данные: по нарративному обзору Williams и Walton (2011), медиана отходов с тарелки в 32 исследованиях составила 30 % [77];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[76]. Общепринятого целевого уровня для учреждений долговременного ухода обзор не устанавливает.</w:t>
      </w:r>
    </w:p>
    <w:p>
      <w:pPr>
        <w:pStyle w:val="BodyText"/>
      </w:pPr>
      <w:r>
        <w:t xml:space="preserve">Для российского учреждения отходы с тарелки — самый доступный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86"/>
    <w:bookmarkStart w:id="87" w:name="текстуры-и-ограничения-выбора"/>
    <w:p>
      <w:pPr>
        <w:pStyle w:val="Heading2"/>
      </w:pPr>
      <w:r>
        <w:rPr>
          <w:rStyle w:val="SectionNumber"/>
        </w:rPr>
        <w:t xml:space="preserve">5.8</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[78]. Это число приводится как контекст, а не как оценка для российских учреждений: доля таких жителей в российском ПНИ или доме-интернате не измерялась публично. Совокупно с работой Abbey и соавт. [64]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87"/>
    <w:bookmarkStart w:id="88" w:name="организационные-факторы"/>
    <w:p>
      <w:pPr>
        <w:pStyle w:val="Heading2"/>
      </w:pPr>
      <w:r>
        <w:rPr>
          <w:rStyle w:val="SectionNumber"/>
        </w:rPr>
        <w:t xml:space="preserve">5.9</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[79].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[80]. Связь наблюдательная и не доказывает причинности, но согласуется с представлением о том, что качество питания определяется кадрами не меньше, чем нормами.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[81].</w:t>
      </w:r>
    </w:p>
    <w:bookmarkEnd w:id="88"/>
    <w:bookmarkStart w:id="89" w:name="стоимость"/>
    <w:p>
      <w:pPr>
        <w:pStyle w:val="Heading2"/>
      </w:pPr>
      <w:r>
        <w:rPr>
          <w:rStyle w:val="SectionNumber"/>
        </w:rPr>
        <w:t xml:space="preserve">5.10</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[82]. В докладе «Не просто накормить» 8 долларов названы стоимостью сырья [16]; по тексту статьи это стоимость всего кейтеринга. Уточнение вносится во вторую редакцию.</w:t>
      </w:r>
    </w:p>
    <w:p>
      <w:pPr>
        <w:pStyle w:val="BodyText"/>
      </w:pPr>
      <w:r>
        <w:t xml:space="preserve">Прямой пересчёт австралийских цифр в рубли некорректен: различаются цены, состав затрат и структура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[61]). Российских опубликованных расчётов стоимости вариативного меню не найдено.</w:t>
      </w:r>
    </w:p>
    <w:bookmarkEnd w:id="89"/>
    <w:bookmarkStart w:id="90" w:name="чего-наука-не-знает"/>
    <w:p>
      <w:pPr>
        <w:pStyle w:val="Heading2"/>
      </w:pPr>
      <w:r>
        <w:rPr>
          <w:rStyle w:val="SectionNumber"/>
        </w:rPr>
        <w:t xml:space="preserve">5.11</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Наконец, все исследования стоимости проведены в странах, где питание финансируется иначе, чем в российском государственном задании.</w:t>
      </w:r>
    </w:p>
    <w:bookmarkEnd w:id="90"/>
    <w:bookmarkStart w:id="91" w:name="сводная-таблица-1"/>
    <w:p>
      <w:pPr>
        <w:pStyle w:val="Heading2"/>
      </w:pPr>
      <w:r>
        <w:rPr>
          <w:rStyle w:val="SectionNumber"/>
        </w:rPr>
        <w:t xml:space="preserve">5.12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[62]</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[33]</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[63]</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[64]</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[24]</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[67]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[68]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[69]</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[70]</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[61]</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[76]</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[80]</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[71]</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[66]</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bl>
    <w:bookmarkEnd w:id="91"/>
    <w:bookmarkEnd w:id="92"/>
    <w:bookmarkStart w:id="103" w:name="зарубежное-регулирование"/>
    <w:p>
      <w:pPr>
        <w:pStyle w:val="Heading1"/>
      </w:pPr>
      <w:r>
        <w:rPr>
          <w:rStyle w:val="SectionNumber"/>
        </w:rPr>
        <w:t xml:space="preserve">6</w:t>
      </w:r>
      <w:r>
        <w:tab/>
      </w:r>
      <w:r>
        <w:t xml:space="preserve">Зарубежное регулирование</w:t>
      </w:r>
    </w:p>
    <w:bookmarkStart w:id="93"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не действуют в России,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сталкиваются с теми же противоречиями, что и в России. Первая редакция обзора упоминала зарубежный опыт кратко и включала раздел о «практике стран СНГ» без источников [1]; во второй редакции этот раздел не воспроизводится, а зарубежный блок построен по первоисточникам.</w:t>
      </w:r>
    </w:p>
    <w:bookmarkEnd w:id="93"/>
    <w:bookmarkStart w:id="94"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[83].</w:t>
      </w:r>
    </w:p>
    <w:p>
      <w:pPr>
        <w:pStyle w:val="BodyText"/>
      </w:pPr>
      <w:r>
        <w:t xml:space="preserve">Конструкция поучительна тремя чертами. Предпочтения названы составной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[83]. Иначе говоря, английское право прямо решает коллизию «выбор против здоровья» через процедуру оценки наилучших интересов, а не через запрет выбора.</w:t>
      </w:r>
    </w:p>
    <w:bookmarkEnd w:id="94"/>
    <w:bookmarkStart w:id="95"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[84].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[84].</w:t>
      </w:r>
    </w:p>
    <w:p>
      <w:pPr>
        <w:pStyle w:val="BodyText"/>
      </w:pPr>
      <w:r>
        <w:t xml:space="preserve">Шотландские стандарты интересны как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95"/>
    <w:bookmarkStart w:id="96"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[85].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[85].</w:t>
      </w:r>
    </w:p>
    <w:p>
      <w:pPr>
        <w:pStyle w:val="BodyText"/>
      </w:pPr>
      <w:r>
        <w:t xml:space="preserve">Американская норма — наиболее точный зарубежный аналог российского понятия «вариативное меню»: она требует не выбора из двух блюд на каждый приём пищи, а гарантированной альтернативы «сходной пищевой ценности» по запросу. Это решает проблему соблюдения норм: альтернатива по определению эквивалентна основному блюду.</w:t>
      </w:r>
    </w:p>
    <w:bookmarkEnd w:id="96"/>
    <w:bookmarkStart w:id="97"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[86].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[86].</w:t>
      </w:r>
    </w:p>
    <w:p>
      <w:pPr>
        <w:pStyle w:val="BodyText"/>
      </w:pPr>
      <w:r>
        <w:t xml:space="preserve">Онтарийская норма показывает, что выбор и цикличность совместимы: цикл в 21 день сам по себе предусматривает альтернативы на каждом приёме пищи. Она также показывает разграничение, которое в российском праве отсутствует: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bookmarkEnd w:id="97"/>
    <w:bookmarkStart w:id="98"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[87].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[87]. Австралийская система интересна как пример, где выбор в питании стал предметом государственного стандарта после серии исследований, показавших низкий уровень реального выбора [64].</w:t>
      </w:r>
    </w:p>
    <w:bookmarkEnd w:id="98"/>
    <w:bookmarkStart w:id="99"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в учреждениях для пожилых (DGE-Qualitätsstandard für die Verpflegung in Senioreneinrichtungen) рекомендует учитывать пищевую биографию жителя (Essbiografie), предусматривать блюда по желанию и использовать цикл меню продолжительностью не менее четырёх недель [88]. Стандарт не является законом; в ряде федеральных земель он используется как ориентир при контроле. 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[89].</w:t>
      </w:r>
    </w:p>
    <w:bookmarkEnd w:id="99"/>
    <w:bookmarkStart w:id="100" w:name="швеция-и-япония"/>
    <w:p>
      <w:pPr>
        <w:pStyle w:val="Heading2"/>
      </w:pPr>
      <w:r>
        <w:rPr>
          <w:rStyle w:val="SectionNumber"/>
        </w:rPr>
        <w:t xml:space="preserve">6.8</w:t>
      </w:r>
      <w:r>
        <w:tab/>
      </w:r>
      <w:r>
        <w:t xml:space="preserve">Швеция и Япония</w:t>
      </w:r>
    </w:p>
    <w:p>
      <w:pPr>
        <w:pStyle w:val="FirstParagraph"/>
      </w:pPr>
      <w:r>
        <w:t xml:space="preserve">Национальное продовольственное агентство Швеции (Livsmedelsverket) в рекомендациях по питанию в учреждениях для пожилых указывает, что ночной перерыв в приёме пищи не должен превышать 11 часов [90]. Это ориентир, а не обязательная норма; его ценность для российского учреждения — в сопоставлении с американским пределом 14–16 часов и с рекомендацией постановления № 12 не допускать длительного перерыва между ужином и завтраком [25].</w:t>
      </w:r>
    </w:p>
    <w:p>
      <w:pPr>
        <w:pStyle w:val="BodyText"/>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[91]. Японский пример показывает другой путь: не норма о выборе, а финансовый стимул за измерение и управление питанием.</w:t>
      </w:r>
    </w:p>
    <w:bookmarkEnd w:id="100"/>
    <w:bookmarkStart w:id="101" w:name="сводная-таблица-2"/>
    <w:p>
      <w:pPr>
        <w:pStyle w:val="Heading2"/>
      </w:pPr>
      <w:r>
        <w:rPr>
          <w:rStyle w:val="SectionNumber"/>
        </w:rPr>
        <w:t xml:space="preserve">6.9</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[83]</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[84]</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[85]</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[86]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[87]</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[88]</w:t>
            </w:r>
          </w:p>
        </w:tc>
        <w:tc>
          <w:tcPr/>
          <w:p>
            <w:pPr>
              <w:pStyle w:val="Compact"/>
            </w:pPr>
            <w:r>
              <w:t xml:space="preserve">Пищевая биография, блюда по желанию</w:t>
            </w:r>
          </w:p>
        </w:tc>
        <w:tc>
          <w:tcPr/>
          <w:p>
            <w:pPr>
              <w:pStyle w:val="Compact"/>
            </w:pPr>
            <w:r>
              <w:t xml:space="preserve">Цикл ≥4 недель</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[90]</w:t>
            </w:r>
          </w:p>
        </w:tc>
        <w:tc>
          <w:tcPr/>
          <w:p>
            <w:pPr>
              <w:pStyle w:val="Compact"/>
            </w:pPr>
            <w:r>
              <w:t xml:space="preserve">—</w:t>
            </w:r>
          </w:p>
        </w:tc>
        <w:tc>
          <w:tcPr/>
          <w:p>
            <w:pPr>
              <w:pStyle w:val="Compact"/>
            </w:pPr>
            <w:r>
              <w:t xml:space="preserve">Ночной перерыв ≤11 ч</w:t>
            </w:r>
          </w:p>
        </w:tc>
        <w:tc>
          <w:tcPr/>
          <w:p>
            <w:pPr>
              <w:pStyle w:val="Compact"/>
            </w:pPr>
            <w:r>
              <w:t xml:space="preserve">Рекомендация</w:t>
            </w:r>
          </w:p>
        </w:tc>
      </w:tr>
      <w:tr>
        <w:tc>
          <w:tcPr/>
          <w:p>
            <w:pPr>
              <w:pStyle w:val="Compact"/>
            </w:pPr>
            <w:r>
              <w:t xml:space="preserve">Япония</w:t>
            </w:r>
          </w:p>
        </w:tc>
        <w:tc>
          <w:tcPr/>
          <w:p>
            <w:pPr>
              <w:pStyle w:val="Compact"/>
            </w:pPr>
            <w:r>
              <w:t xml:space="preserve">Система страхования ухода; LIFE [91]</w:t>
            </w:r>
          </w:p>
        </w:tc>
        <w:tc>
          <w:tcPr/>
          <w:p>
            <w:pPr>
              <w:pStyle w:val="Compact"/>
            </w:pPr>
            <w:r>
              <w:t xml:space="preserve">—</w:t>
            </w:r>
          </w:p>
        </w:tc>
        <w:tc>
          <w:tcPr/>
          <w:p>
            <w:pPr>
              <w:pStyle w:val="Compact"/>
            </w:pPr>
            <w:r>
              <w:t xml:space="preserve">Финансирование управления питанием</w:t>
            </w:r>
          </w:p>
        </w:tc>
        <w:tc>
          <w:tcPr/>
          <w:p>
            <w:pPr>
              <w:pStyle w:val="Compact"/>
            </w:pPr>
            <w:r>
              <w:t xml:space="preserve">Финансовый механизм</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01"/>
    <w:bookmarkStart w:id="102" w:name="выводы-для-российской-дискуссии"/>
    <w:p>
      <w:pPr>
        <w:pStyle w:val="Heading2"/>
      </w:pPr>
      <w:r>
        <w:rPr>
          <w:rStyle w:val="SectionNumber"/>
        </w:rPr>
        <w:t xml:space="preserve">6.10</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02"/>
    <w:bookmarkEnd w:id="103"/>
    <w:bookmarkStart w:id="116" w:name="практика-десять-операционных-сценариев"/>
    <w:p>
      <w:pPr>
        <w:pStyle w:val="Heading1"/>
      </w:pPr>
      <w:r>
        <w:rPr>
          <w:rStyle w:val="SectionNumber"/>
        </w:rPr>
        <w:t xml:space="preserve">7</w:t>
      </w:r>
      <w:r>
        <w:tab/>
      </w:r>
      <w:r>
        <w:t xml:space="preserve">Практика: десять операционных сценариев</w:t>
      </w:r>
    </w:p>
    <w:bookmarkStart w:id="104"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может принять самостоятельно в рамках действующих норм. Каждый сценарий завершается указанием класса: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Клинические решения (диеты, консистенции, назначения) в сценариях не рассматриваются: там, где они возникают, указано, что решение принимает врач.</w:t>
      </w:r>
    </w:p>
    <w:bookmarkEnd w:id="104"/>
    <w:bookmarkStart w:id="105"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мясо (говядина, свинина) — 90 г нетто, рыба — 41,8 г нетто, птица — 40 г нетто [27]. Норма суточная; учреждения, как правило, контролируют её выполнение по среднему за период (неделя, декада, месяц) через накопительную ведомость. Способ контроля в постановлении не определён (п. 3.11).</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41,8 × 7 × 100 = 29,26 кг нетто. Предположим, в базовом меню на обед все три дня подаётся мясное второе с закладкой 75 г нетто мяса на порцию. Вводится альтернатива —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40,5 кг (138,6 % нормы).</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39 %. Если проверяющий сверяет выполнение норм по группам, расхождение будет замечено. Есть три способа его снять:</w:t>
      </w:r>
    </w:p>
    <w:p>
      <w:pPr>
        <w:pStyle w:val="Compact"/>
        <w:numPr>
          <w:ilvl w:val="0"/>
          <w:numId w:val="1009"/>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09"/>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9"/>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[25]. Ссылку на источник таблицы следует указать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05"/>
    <w:bookmarkStart w:id="106"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который вообще не требует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[27]: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Группа № 1284</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[10]</w:t>
            </w:r>
          </w:p>
        </w:tc>
      </w:tr>
      <w:tr>
        <w:tc>
          <w:tcPr/>
          <w:p>
            <w:pPr>
              <w:pStyle w:val="Compact"/>
            </w:pPr>
            <w:r>
              <w:t xml:space="preserve">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(все виды, включая консервированные и зелень)</w:t>
            </w:r>
          </w:p>
        </w:tc>
        <w:tc>
          <w:tcPr/>
          <w:p>
            <w:pPr>
              <w:pStyle w:val="Compact"/>
            </w:pPr>
            <w:r>
              <w:t xml:space="preserve">Винегрет / салат из свёклы / салат из свежих овощей</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[10] — между группами: печень в постановлении № 1284 не входит в группу «говядина, свинина».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 технологический поток.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06"/>
    <w:bookmarkStart w:id="107"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[15]. При выборе в момент еды (М2) житель выбирает на линии раздачи; кухня готовит под прогноз. Так устроены новосибирские и усть-илимская практики [5, 7, 10].</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[63]. По Wheeler и соавт., переход к выбору в момент еды увеличил производственные отходы с 55 до 90 г на жителя в день [61].</w:t>
      </w:r>
    </w:p>
    <w:p>
      <w:pPr>
        <w:pStyle w:val="BodyText"/>
      </w:pPr>
      <w:r>
        <w:rPr>
          <w:b/>
          <w:bCs/>
        </w:rPr>
        <w:t xml:space="preserve">Санитарное ограничение.</w:t>
      </w:r>
      <w:r>
        <w:t xml:space="preserve"> </w:t>
      </w:r>
      <w:r>
        <w:t xml:space="preserve">СанПиН 4282-26 не допускает реализации готовых блюд на следующий день и замораживания нереализованных блюд (п. 32) [3]. Всё, что приготовлено под прогноз и не роздано, становится отходом. Поэтому выбор в момент еды требует прогнозирования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корректируются по статистике. Индикатор качества прогноза — доля жителей, не получивших выбранный вариант; она должна стремиться к нулю. Индикатор потерь —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(именно так это сделано в правилах внутреннего распорядка ДСО «Серафимовский» [22]),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07"/>
    <w:bookmarkStart w:id="108"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Это частая скрытая проблема: при едином меню в отделение привозят готовые порции, а при выборе персонал отделения начинает порционировать.</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Два рабочих решения: лист заказа накануне (сценарий 3) или подача на подносе обоих вариантов малыми порциями с последующим выбором — второе требует решения вопроса об остатке. Доклад «Не просто накормить» формулирует правило «два варианта на подносе, а не вторая линия в коридоре» [16] — это рекомендация.</w:t>
      </w:r>
    </w:p>
    <w:p>
      <w:pPr>
        <w:pStyle w:val="BodyText"/>
      </w:pPr>
      <w:r>
        <w:rPr>
          <w:b/>
          <w:bCs/>
        </w:rPr>
        <w:t xml:space="preserve">Время.</w:t>
      </w:r>
      <w:r>
        <w:t xml:space="preserve"> </w:t>
      </w:r>
      <w:r>
        <w:t xml:space="preserve">Если выбор в момент еды увеличивает время раздачи, нужно проверить, укладывается ли последняя порция в три часа с момента изготовления; при необходимости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08"/>
    <w:bookmarkStart w:id="109"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которое предлагается на выбор, — самостоятельный объект санитарного контроля. Для каждого варианта учреждение должно иметь:</w:t>
      </w:r>
    </w:p>
    <w:p>
      <w:pPr>
        <w:pStyle w:val="Compact"/>
        <w:numPr>
          <w:ilvl w:val="0"/>
          <w:numId w:val="1010"/>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0"/>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0"/>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варианта (рекомендация): при пищевом отравлении отсутствие пробы одного из вариантов сделает невозможным установление источника;</w:t>
      </w:r>
    </w:p>
    <w:p>
      <w:pPr>
        <w:pStyle w:val="Compact"/>
        <w:numPr>
          <w:ilvl w:val="0"/>
          <w:numId w:val="1010"/>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09"/>
    <w:bookmarkStart w:id="110"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[41, 42].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[45].</w:t>
      </w:r>
    </w:p>
    <w:p>
      <w:pPr>
        <w:pStyle w:val="BodyText"/>
      </w:pPr>
      <w:r>
        <w:rPr>
          <w:b/>
          <w:bCs/>
        </w:rPr>
        <w:t xml:space="preserve">Проблема выбора в контракте.</w:t>
      </w:r>
      <w:r>
        <w:t xml:space="preserve"> </w:t>
      </w:r>
      <w:r>
        <w:t xml:space="preserve">При выборе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[41].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[41].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[42]. Автономное учреждение может предусмотреть рамочные договоры с ценой единицы и заявочной поставкой. Это делает 223-ФЗ более гибким контуром для выбора, но гибкость определяется текстом положения, а не законом.</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организатору питания, выбор существует только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[16].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10"/>
    <w:bookmarkStart w:id="111"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Для вариативного меню разумно иметь до начала пилота следующий комплект (рекомендация):</w:t>
      </w:r>
    </w:p>
    <w:p>
      <w:pPr>
        <w:pStyle w:val="Compact"/>
        <w:numPr>
          <w:ilvl w:val="0"/>
          <w:numId w:val="1011"/>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Пример локальной формы — правила внутреннего распорядка ДСО «Серафимовский», утверждённые приказом № 124 [22]; это не образец для обязательного применения.</w:t>
      </w:r>
    </w:p>
    <w:p>
      <w:pPr>
        <w:pStyle w:val="Compact"/>
        <w:numPr>
          <w:ilvl w:val="0"/>
          <w:numId w:val="1011"/>
        </w:numPr>
      </w:pPr>
      <w:r>
        <w:t xml:space="preserve">Утверждённое цикличное меню с указанием вариантов.</w:t>
      </w:r>
    </w:p>
    <w:p>
      <w:pPr>
        <w:pStyle w:val="Compact"/>
        <w:numPr>
          <w:ilvl w:val="0"/>
          <w:numId w:val="1011"/>
        </w:numPr>
      </w:pPr>
      <w:r>
        <w:t xml:space="preserve">Таблица замен с указанием источника и расчёт выполнения норм за период с учётом замен.</w:t>
      </w:r>
    </w:p>
    <w:p>
      <w:pPr>
        <w:pStyle w:val="Compact"/>
        <w:numPr>
          <w:ilvl w:val="0"/>
          <w:numId w:val="1011"/>
        </w:numPr>
      </w:pPr>
      <w:r>
        <w:t xml:space="preserve">Технологические документы на каждый вариант.</w:t>
      </w:r>
    </w:p>
    <w:p>
      <w:pPr>
        <w:pStyle w:val="Compact"/>
        <w:numPr>
          <w:ilvl w:val="0"/>
          <w:numId w:val="1011"/>
        </w:numPr>
      </w:pPr>
      <w:r>
        <w:t xml:space="preserve">Журналы бракеража и суточных проб с записями по каждому варианту.</w:t>
      </w:r>
    </w:p>
    <w:p>
      <w:pPr>
        <w:pStyle w:val="Compact"/>
        <w:numPr>
          <w:ilvl w:val="0"/>
          <w:numId w:val="1011"/>
        </w:numPr>
      </w:pPr>
      <w:r>
        <w:t xml:space="preserve">Учёт выбора: лист заказа (при заказе накануне) или ежедневная статистика распределения выбора.</w:t>
      </w:r>
    </w:p>
    <w:p>
      <w:pPr>
        <w:pStyle w:val="Compact"/>
        <w:numPr>
          <w:ilvl w:val="0"/>
          <w:numId w:val="1011"/>
        </w:numPr>
      </w:pPr>
      <w:r>
        <w:t xml:space="preserve">Протоколы совета (комиссии) по питанию, если такой создан.</w:t>
      </w:r>
    </w:p>
    <w:p>
      <w:pPr>
        <w:pStyle w:val="Compact"/>
        <w:numPr>
          <w:ilvl w:val="0"/>
          <w:numId w:val="1011"/>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11"/>
    <w:bookmarkStart w:id="112"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4.10).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[61]. Средняя стоимость кейтеринга в австралийских учреждениях — 8,00 доллара в день, из них сырьё — 6,08 доллара [82].</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[15].</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[61].</w:t>
      </w:r>
    </w:p>
    <w:p>
      <w:pPr>
        <w:pStyle w:val="BodyText"/>
      </w:pPr>
      <w:r>
        <w:rPr>
          <w:b/>
          <w:bCs/>
        </w:rPr>
        <w:t xml:space="preserve">Масштаб в петербургских ценах.</w:t>
      </w:r>
      <w:r>
        <w:t xml:space="preserve"> </w:t>
      </w:r>
      <w:r>
        <w:t xml:space="preserve">Тариф 2025 г. на обеспечение питанием в стационарной форме (кроме ПНИ) — 560,87 руб. в день, для ПНИ — 571,63 руб. в день [53]. Если допустить, что организация выбора увеличит расходы на питание на 10–20 % — допущение, близкое к результату Wheeler и соавт. [61], — это составит около 56–114 руб. на жителя в день, или 1,7–3,4 млн руб. в месяц на учреждение в 1 000 мест (иллюстративная арифметика: 560,87 × 0,1…0,2 × 1 000 × 30). Это не прогноз: австралийский прирост включал производственные отходы и персонал в австралийских условиях, а российские кейсы (п. 4.10) показывают, что стартовый формат вводился и без публично названных дополнительных расходов. Арифметика показывает лишь, почему полный переход крупного учреждения — вопрос учредителя, а не только кухни.</w:t>
      </w:r>
    </w:p>
    <w:p>
      <w:pPr>
        <w:pStyle w:val="BodyText"/>
      </w:pPr>
      <w:r>
        <w:rPr>
          <w:b/>
          <w:bCs/>
        </w:rPr>
        <w:t xml:space="preserve">Как измерять.</w:t>
      </w:r>
      <w:r>
        <w:t xml:space="preserve"> </w:t>
      </w:r>
      <w:r>
        <w:t xml:space="preserve">Минимальная система учёта, доступная любому учреждению (рекомендация):</w:t>
      </w:r>
    </w:p>
    <w:p>
      <w:pPr>
        <w:pStyle w:val="Compact"/>
        <w:numPr>
          <w:ilvl w:val="0"/>
          <w:numId w:val="1012"/>
        </w:numPr>
      </w:pPr>
      <w:r>
        <w:t xml:space="preserve">отходы с тарелки — визуальная оценка по шкале «съедено всё / ¾ / ½ / ¼ / ничего» по выборке жителей или взвешивание остатков в течение 7 дней до запуска и 7 дней через месяц после;</w:t>
      </w:r>
    </w:p>
    <w:p>
      <w:pPr>
        <w:pStyle w:val="Compact"/>
        <w:numPr>
          <w:ilvl w:val="0"/>
          <w:numId w:val="1012"/>
        </w:numPr>
      </w:pPr>
      <w:r>
        <w:t xml:space="preserve">производственные отходы — масса нерозданных порций по каждому варианту ежедневно;</w:t>
      </w:r>
    </w:p>
    <w:p>
      <w:pPr>
        <w:pStyle w:val="Compact"/>
        <w:numPr>
          <w:ilvl w:val="0"/>
          <w:numId w:val="1012"/>
        </w:numPr>
      </w:pPr>
      <w:r>
        <w:t xml:space="preserve">распределение выбора — ежедневно;</w:t>
      </w:r>
    </w:p>
    <w:p>
      <w:pPr>
        <w:pStyle w:val="Compact"/>
        <w:numPr>
          <w:ilvl w:val="0"/>
          <w:numId w:val="1012"/>
        </w:numPr>
      </w:pPr>
      <w:r>
        <w:t xml:space="preserve">стоимость — фактические расходы на продукты на одного жителя в день за месяц до и месяц после.</w:t>
      </w:r>
    </w:p>
    <w:bookmarkEnd w:id="112"/>
    <w:bookmarkStart w:id="113"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w:t>
      </w:r>
      <w:r>
        <w:t xml:space="preserve"> </w:t>
      </w:r>
      <w:r>
        <w:t xml:space="preserve">Доклад «Не просто накормить» предлагает пилот на одном отделении (20–35 жителей), в одном приёме пищи (обычно обед), 2–3 дня в неделю, с заказом накануне на старте [16]: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Дни</w:t>
            </w:r>
          </w:p>
        </w:tc>
        <w:tc>
          <w:tcPr/>
          <w:p>
            <w:pPr>
              <w:pStyle w:val="Compact"/>
            </w:pPr>
            <w:r>
              <w:t xml:space="preserve">Действия</w:t>
            </w:r>
          </w:p>
        </w:tc>
      </w:tr>
      <w:tr>
        <w:tc>
          <w:tcPr/>
          <w:p>
            <w:pPr>
              <w:pStyle w:val="Compact"/>
            </w:pPr>
            <w:r>
              <w:t xml:space="preserve">1–14</w:t>
            </w:r>
          </w:p>
        </w:tc>
        <w:tc>
          <w:tcPr/>
          <w:p>
            <w:pPr>
              <w:pStyle w:val="Compact"/>
            </w:pPr>
            <w:r>
              <w:t xml:space="preserve">Приказ о пилоте; замер «до» (отходы, распределение предпочтений по опросу); инструктаж персонала; уведомление учредителя; при аутсорсинге — сверка контракта</w:t>
            </w:r>
          </w:p>
        </w:tc>
      </w:tr>
      <w:tr>
        <w:tc>
          <w:tcPr/>
          <w:p>
            <w:pPr>
              <w:pStyle w:val="Compact"/>
            </w:pPr>
            <w:r>
              <w:t xml:space="preserve">15–75</w:t>
            </w:r>
          </w:p>
        </w:tc>
        <w:tc>
          <w:tcPr/>
          <w:p>
            <w:pPr>
              <w:pStyle w:val="Compact"/>
            </w:pPr>
            <w:r>
              <w:t xml:space="preserve">Два варианта второго блюда 2–3 дня в неделю; журналы с первого дня; еженедельный разбор</w:t>
            </w:r>
          </w:p>
        </w:tc>
      </w:tr>
      <w:tr>
        <w:tc>
          <w:tcPr/>
          <w:p>
            <w:pPr>
              <w:pStyle w:val="Compact"/>
            </w:pPr>
            <w:r>
              <w:t xml:space="preserve">76–90</w:t>
            </w:r>
          </w:p>
        </w:tc>
        <w:tc>
          <w:tcPr/>
          <w:p>
            <w:pPr>
              <w:pStyle w:val="Compact"/>
            </w:pPr>
            <w:r>
              <w:t xml:space="preserve">Сводка показателей; обсуждение с жителями; решение: расширить, закрепить или свернуть с указанием причин</w:t>
            </w:r>
          </w:p>
        </w:tc>
      </w:tr>
    </w:tbl>
    <w:p>
      <w:pPr>
        <w:pStyle w:val="BodyText"/>
      </w:pPr>
      <w:r>
        <w:rPr>
          <w:b/>
          <w:bCs/>
        </w:rPr>
        <w:t xml:space="preserve">Что доказывает пилот.</w:t>
      </w:r>
      <w:r>
        <w:t xml:space="preserve"> </w:t>
      </w:r>
      <w:r>
        <w:t xml:space="preserve">Исполнимость и безопасность в конкретном учреждении, но не эффект выбора на пищевой статус: для этого нет контрольной группы и мало времени. Возможные систематические ошибки: эффект наблюдения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[17]; доклад «Не просто накормить» сжимает старт до 90 дней на одном отделении [16]. Это разные масштабы задачи (перестройка всего дома против пилота), а не ошибка одной из работ.</w:t>
      </w:r>
    </w:p>
    <w:bookmarkEnd w:id="113"/>
    <w:bookmarkStart w:id="114"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[64].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[16]. В самом докладе есть внутреннее противоречие о порядке этих каналов: в одном месте приоритет отдан зафиксированной биографии, в другом — текущему выраженному предпочтению [16, 17]. Автор не снимает его в этой редакции: решение требует этической и правовой проработки, в том числе с учётом дееспособности и роли законного представителя.</w:t>
      </w:r>
    </w:p>
    <w:p>
      <w:pPr>
        <w:pStyle w:val="BodyText"/>
      </w:pPr>
      <w:r>
        <w:rPr>
          <w:b/>
          <w:bCs/>
        </w:rPr>
        <w:t xml:space="preserve">Отказ от еды.</w:t>
      </w:r>
      <w:r>
        <w:t xml:space="preserve"> </w:t>
      </w:r>
      <w:r>
        <w:t xml:space="preserve">Доклад «Не просто накормить» предлагает проект правила: каждый отказ фиксируется; в тот же приём предлагается альтернатива; три отказа подряд — осмотр врача в тот же день; системный недоед (не менее 25 % порции в течение недели) — врач и пересмотр плана; отказ от воды — немедленно [16]. Это проект локального правила, а не норма российского права; клиническая часть — компетенция врача. Наличие альтернативы в вариативном меню облегчает второй шаг правила.</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[20].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[21]. Организационно это означает три вопроса, на которые учреждение должно иметь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позволяет реализовать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[25]. Зарубежные ориентиры: не более 14 часов (16 часов при перекусе) в США [85], не более 11 часов в шведских рекомендациях [90]. Доклад «Не просто накормить» использует рабочий ориентир не более 13 часов [16] — это ориентир, а не норма. Выбор блюда не компенсирует долгого ночного перерыва; если ужин подаётся в 17:30, а завтрак в 8:30, интервал составляет 15 часов, и это проблема организации режима, а не меню.</w:t>
      </w:r>
    </w:p>
    <w:bookmarkEnd w:id="114"/>
    <w:bookmarkStart w:id="115" w:name="X74c1e5a9828297a178ffd2db706e0440ee4750c"/>
    <w:p>
      <w:pPr>
        <w:pStyle w:val="Heading2"/>
      </w:pPr>
      <w:r>
        <w:rPr>
          <w:rStyle w:val="SectionNumber"/>
        </w:rPr>
        <w:t xml:space="preserve">7.12</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4.10) их не публикуют. Причина отчасти в том, что в отечественной практике социального обслуживания нет общепринятых инструментов для оценки питания с точки зрения жителя. В зарубежной литературе они есть; ниже описаны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смешивать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[76].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[76]. Этот результат приводится не как рекомендация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[92].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[61]. Для российского учреждения он измеряется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[93]. Wright и соавт. использовали Resident Foodservice Satisfaction Questionnaire и показали, что время между выбором и подачей влияет на удовлетворённость сильнее, чем характеристики самой еды [63]. Wheeler и соавт. обошлись пятибалльной шкалой Лайкерта [61].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Отметим, что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[94].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[95]. Для российского ДСО из этих работ следует простой вывод: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как показатель, который учреждение уже ведёт; её интерпретация — компетенция врача. Показатели не составляют научного исследования: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15"/>
    <w:bookmarkEnd w:id="116"/>
    <w:bookmarkStart w:id="126" w:name="контроль-кто-и-что-проверяет"/>
    <w:p>
      <w:pPr>
        <w:pStyle w:val="Heading1"/>
      </w:pPr>
      <w:r>
        <w:rPr>
          <w:rStyle w:val="SectionNumber"/>
        </w:rPr>
        <w:t xml:space="preserve">8</w:t>
      </w:r>
      <w:r>
        <w:tab/>
      </w:r>
      <w:r>
        <w:t xml:space="preserve">Контроль: кто и что проверяет</w:t>
      </w:r>
    </w:p>
    <w:bookmarkStart w:id="11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затрагивает предметы нескольких контролирующих органов, и каждый из них оценивает своё. Смешение предметов — источник большинства конфликтов при проверках: учреждение отвечает санитарному инспектору на вопрос о качестве социальной услуги или ведомственному контролёру — о санитарных нормах.</w:t>
      </w:r>
    </w:p>
    <w:bookmarkEnd w:id="117"/>
    <w:bookmarkStart w:id="11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набор блюд и сам факт выбора предметом санитарного надзора не являются; каждое блюдо, однако, проверяется по общим правилам (сценарий 5). Ответственность — ст. 6.6 КоАП (п. 2.11).</w:t>
      </w:r>
    </w:p>
    <w:bookmarkEnd w:id="118"/>
    <w:bookmarkStart w:id="119" w:name="X4467af5b1511a4da9fe7f12c2ab1835be0c952e"/>
    <w:p>
      <w:pPr>
        <w:pStyle w:val="Heading2"/>
      </w:pPr>
      <w:r>
        <w:rPr>
          <w:rStyle w:val="SectionNumber"/>
        </w:rPr>
        <w:t xml:space="preserve">8.3</w:t>
      </w:r>
      <w:r>
        <w:tab/>
      </w:r>
      <w:r>
        <w:t xml:space="preserve">Региональный государственный контроль в сфере социального обслуживания</w:t>
      </w:r>
    </w:p>
    <w:p>
      <w:pPr>
        <w:pStyle w:val="FirstParagraph"/>
      </w:pPr>
      <w:r>
        <w:t xml:space="preserve">Органы субъектов осуществляют региональный государственный контроль (надзор) в сфере социального обслуживания (ст. 33 442-ФЗ) [18]. Предмет — соблюдение требований к предоставлению социальных услуг, в том числе порядков, стандартов и норм питания, утверждённых субъектом. Именно здесь возникает вопрос о выполнении норм по группам продуктов (сценарий 1) и о соответствии фактического питания индивидуальной программе. Для вариативного меню существенно, что региональные нормы устанавливают количества, а не блюда; проверяющий вправе спросить, выполнены ли количества, но не вправе требовать единого меню, если такого требования нет в региональном акте (толкование). С 01.09.2025 к предмету этого контроля относится и исполнение обязанностей по Правилам, утверждённым приказом № 305н, в том числе обязанности обеспечивать условия для соблюдения постов (подп. 15 п. 20) [21]: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w:t>
      </w:r>
    </w:p>
    <w:bookmarkEnd w:id="119"/>
    <w:bookmarkStart w:id="120" w:name="учредитель"/>
    <w:p>
      <w:pPr>
        <w:pStyle w:val="Heading2"/>
      </w:pPr>
      <w:r>
        <w:rPr>
          <w:rStyle w:val="SectionNumber"/>
        </w:rPr>
        <w:t xml:space="preserve">8.4</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затрагивает его компетенцию постольку, поскольку меняются структура расходов на питание, штат или оборудование. Петербургское сообщение о вариативном меню прозвучало на заседании рабочей группы при Комитете по социальной политике [15]; этот формат — информирование учредителя и обсуждение с ним — снижает риск, что практика будет воспринята как самовольное отступление от порядка.</w:t>
      </w:r>
    </w:p>
    <w:bookmarkEnd w:id="120"/>
    <w:bookmarkStart w:id="121" w:name="прокуратура"/>
    <w:p>
      <w:pPr>
        <w:pStyle w:val="Heading2"/>
      </w:pPr>
      <w:r>
        <w:rPr>
          <w:rStyle w:val="SectionNumber"/>
        </w:rPr>
        <w:t xml:space="preserve">8.5</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[47]. Для вариативного меню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End w:id="121"/>
    <w:bookmarkStart w:id="122" w:name="антимонопольный-контроль"/>
    <w:p>
      <w:pPr>
        <w:pStyle w:val="Heading2"/>
      </w:pPr>
      <w:r>
        <w:rPr>
          <w:rStyle w:val="SectionNumber"/>
        </w:rPr>
        <w:t xml:space="preserve">8.6</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[49, 50]. Для вариативного меню существенен риск, что спецификация, составленная под конкретный вариант блюда, будет оценена как ограничивающая конкуренцию.</w:t>
      </w:r>
    </w:p>
    <w:bookmarkEnd w:id="122"/>
    <w:bookmarkStart w:id="123" w:name="Xd453b584d5a03894042caa9937fc1e7856692d8"/>
    <w:p>
      <w:pPr>
        <w:pStyle w:val="Heading2"/>
      </w:pPr>
      <w:r>
        <w:rPr>
          <w:rStyle w:val="SectionNumber"/>
        </w:rPr>
        <w:t xml:space="preserve">8.7</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[18]. Эти механизмы не порождают санкций, но формируют публичную репутацию учреждения. Для вариативного меню они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[54], а не в организациях социального обслуживания взрослых (п. 3.2).</w:t>
      </w:r>
    </w:p>
    <w:bookmarkEnd w:id="123"/>
    <w:bookmarkStart w:id="124" w:name="внутренний-контроль"/>
    <w:p>
      <w:pPr>
        <w:pStyle w:val="Heading2"/>
      </w:pPr>
      <w:r>
        <w:rPr>
          <w:rStyle w:val="SectionNumber"/>
        </w:rPr>
        <w:t xml:space="preserve">8.8</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[10, 23]. Рабочая база проекта выделяет признаки «фиктивной вариативности» —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[17]. Это рекомендательный чек-лист внутреннего контроля, а не критерий какого-либо надзорного органа.</w:t>
      </w:r>
    </w:p>
    <w:bookmarkEnd w:id="124"/>
    <w:bookmarkStart w:id="125" w:name="сводка"/>
    <w:p>
      <w:pPr>
        <w:pStyle w:val="Heading2"/>
      </w:pPr>
      <w:r>
        <w:rPr>
          <w:rStyle w:val="SectionNumber"/>
        </w:rPr>
        <w:t xml:space="preserve">8.9</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Региональный контроль соцобслуживания</w:t>
            </w:r>
          </w:p>
        </w:tc>
        <w:tc>
          <w:tcPr/>
          <w:p>
            <w:pPr>
              <w:pStyle w:val="Compact"/>
            </w:pPr>
            <w:r>
              <w:t xml:space="preserve">Порядки, стандарты, нормы субъекта</w:t>
            </w:r>
          </w:p>
        </w:tc>
        <w:tc>
          <w:tcPr/>
          <w:p>
            <w:pPr>
              <w:pStyle w:val="Compact"/>
            </w:pPr>
            <w:r>
              <w:t xml:space="preserve">Выполнение норм по группам продуктов; учёт замен; условия для соблюдения постов</w:t>
            </w:r>
          </w:p>
        </w:tc>
        <w:tc>
          <w:tcPr/>
          <w:p>
            <w:pPr>
              <w:pStyle w:val="Compact"/>
            </w:pPr>
            <w:r>
              <w:t xml:space="preserve">Ст. 33 442-ФЗ; региональные нормы; приказ № 305н</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w:t>
            </w:r>
          </w:p>
        </w:tc>
        <w:tc>
          <w:tcPr/>
          <w:p>
            <w:pPr>
              <w:pStyle w:val="Compact"/>
            </w:pPr>
            <w:r>
              <w:t xml:space="preserve">Локальные акты; п. 4 СанПиН 4282-26</w:t>
            </w:r>
          </w:p>
        </w:tc>
      </w:tr>
    </w:tbl>
    <w:bookmarkEnd w:id="125"/>
    <w:bookmarkEnd w:id="126"/>
    <w:bookmarkStart w:id="130"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27"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создавались в разное время, разными методами и при разном доступе к источникам. Расхождения между ними неизбежны. Ниже они перечислены без сглаживания: для каждого указано, в чём расхождение, как оно разрешается по первоисточнику и что остаётся открытым. Номера в скобках — пункты перечня противоречий рабочей базы знаний [17], где он есть.</w:t>
      </w:r>
    </w:p>
    <w:bookmarkEnd w:id="127"/>
    <w:bookmarkStart w:id="128"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[25]</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[26];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[46]</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[18, 19]</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По открытым источникам не подтверждён</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[61]; петербургский кейс называет оборудование и сотрудников [15]</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[54]</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[20]</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[16])</w:t>
            </w:r>
          </w:p>
        </w:tc>
        <w:tc>
          <w:tcPr/>
          <w:p>
            <w:pPr>
              <w:pStyle w:val="Compact"/>
            </w:pPr>
            <w:r>
              <w:t xml:space="preserve">8,00 — весь кейтеринг; сырьё — 6,08 [82]</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[27]</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[41]</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Первоисточник права не даёт ответа</w:t>
            </w:r>
          </w:p>
        </w:tc>
        <w:tc>
          <w:tcPr/>
          <w:p>
            <w:pPr>
              <w:pStyle w:val="Compact"/>
            </w:pPr>
            <w:r>
              <w:t xml:space="preserve">Открыто; решение автора</w:t>
            </w:r>
          </w:p>
        </w:tc>
      </w:tr>
      <w:tr>
        <w:tc>
          <w:tcPr/>
          <w:p>
            <w:pPr>
              <w:pStyle w:val="Compact"/>
            </w:pPr>
            <w:r>
              <w:t xml:space="preserve">18</w:t>
            </w:r>
          </w:p>
        </w:tc>
        <w:tc>
          <w:tcPr/>
          <w:p>
            <w:pPr>
              <w:pStyle w:val="Compact"/>
            </w:pPr>
            <w:r>
              <w:t xml:space="preserve">«Принудительное кормление запрещено» (канон) против «прямого запрета не найдено» (аудиторский слой) (9)</w:t>
            </w:r>
          </w:p>
        </w:tc>
        <w:tc>
          <w:tcPr/>
          <w:p>
            <w:pPr>
              <w:pStyle w:val="Compact"/>
            </w:pPr>
            <w:r>
              <w:t xml:space="preserve">Прямого запрета в проверенных актах не найдено; ст. 5 ч. 2 Закона № 3185-1 гарантирует гуманное отношение, исключающее унижение достоинства [20]</w:t>
            </w:r>
          </w:p>
        </w:tc>
        <w:tc>
          <w:tcPr/>
          <w:p>
            <w:pPr>
              <w:pStyle w:val="Compact"/>
            </w:pPr>
            <w:r>
              <w:t xml:space="preserve">Открыто; требует правовой экспертизы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[10]</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[23]</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Акты в ходе подготовки v2 не сверялись</w:t>
            </w:r>
          </w:p>
        </w:tc>
        <w:tc>
          <w:tcPr/>
          <w:p>
            <w:pPr>
              <w:pStyle w:val="Compact"/>
            </w:pPr>
            <w:r>
              <w:t xml:space="preserve">Открыто</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[58]</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Только пересказ агрегатора; первоисточник министерства не найден [11]</w:t>
            </w:r>
          </w:p>
        </w:tc>
        <w:tc>
          <w:tcPr/>
          <w:p>
            <w:pPr>
              <w:pStyle w:val="Compact"/>
            </w:pPr>
            <w:r>
              <w:t xml:space="preserve">Открыто</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[21];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23]</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bl>
    <w:bookmarkEnd w:id="128"/>
    <w:bookmarkStart w:id="129"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и 30 — исправления фактов или восполненные пробелы; во второй редакции применены исправленные версии. Пункты 9, 15, 17, 18, 24, 26 и 29 — открытые вопросы, по которым доклад не делает утверждений сверх установленного. Пункты 19 и 20 отражают разные задачи и разные определения и не требуют выбора одного варианта.</w:t>
      </w:r>
    </w:p>
    <w:bookmarkEnd w:id="129"/>
    <w:bookmarkEnd w:id="130"/>
    <w:bookmarkStart w:id="134"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w:t>
      </w:r>
    </w:p>
    <w:bookmarkStart w:id="131" w:name="федеральный-уровень"/>
    <w:p>
      <w:pPr>
        <w:pStyle w:val="Heading2"/>
      </w:pPr>
      <w:r>
        <w:rPr>
          <w:rStyle w:val="SectionNumber"/>
        </w:rPr>
        <w:t xml:space="preserve">10.1</w:t>
      </w:r>
      <w:r>
        <w:tab/>
      </w:r>
      <w:r>
        <w:t xml:space="preserve">Федеральный уровень</w:t>
      </w:r>
    </w:p>
    <w:p>
      <w:pPr>
        <w:numPr>
          <w:ilvl w:val="0"/>
          <w:numId w:val="101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Отсутствие общего словаря — главная причина, по которой одна и та же практика оценивается проверяющими по-разному.</w:t>
      </w:r>
    </w:p>
    <w:p>
      <w:pPr>
        <w:numPr>
          <w:ilvl w:val="0"/>
          <w:numId w:val="101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Сейчас учреждения применяют детскую таблицу по аналогии (п. 2.6).</w:t>
      </w:r>
    </w:p>
    <w:p>
      <w:pPr>
        <w:numPr>
          <w:ilvl w:val="0"/>
          <w:numId w:val="101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w:t>
      </w:r>
    </w:p>
    <w:p>
      <w:pPr>
        <w:numPr>
          <w:ilvl w:val="0"/>
          <w:numId w:val="1013"/>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(п. 9, позиция 15).</w:t>
      </w:r>
    </w:p>
    <w:p>
      <w:pPr>
        <w:numPr>
          <w:ilvl w:val="0"/>
          <w:numId w:val="1013"/>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[85], и на онтарийскую модель цикла меню с выбором, утверждаемого диетологом при участии совета жителей [86]. Предложение первой редакции обзора закрепить «не менее двух вариантов на основные приёмы пищи» [1] реализуемо не во всех учреждениях и не решает проблему жителей, не способных выбрать вербально.</w:t>
      </w:r>
    </w:p>
    <w:p>
      <w:pPr>
        <w:numPr>
          <w:ilvl w:val="0"/>
          <w:numId w:val="1013"/>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[21] исполняется в пределах региональных норм питания: какие замены мяса и молочных продуктов допустимы и по какой таблице. Без такого разъяснения учреждение исполняет федеральную обязанность с риском претензии регионального контроля за невыполнение норм по отдельным группам продуктов (п. 2.4, п. 2.6).</w:t>
      </w:r>
    </w:p>
    <w:p>
      <w:pPr>
        <w:numPr>
          <w:ilvl w:val="0"/>
          <w:numId w:val="101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7.12). Зарубежный опыт показывает, что такие показатели измеримы силами учреждения [61, 76].</w:t>
      </w:r>
    </w:p>
    <w:bookmarkEnd w:id="131"/>
    <w:bookmarkStart w:id="132"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1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3.11).</w:t>
      </w:r>
    </w:p>
    <w:p>
      <w:pPr>
        <w:pStyle w:val="Compact"/>
        <w:numPr>
          <w:ilvl w:val="0"/>
          <w:numId w:val="1014"/>
        </w:numPr>
      </w:pPr>
      <w:r>
        <w:rPr>
          <w:b/>
          <w:bCs/>
        </w:rPr>
        <w:t xml:space="preserve">Тариф.</w:t>
      </w:r>
      <w:r>
        <w:t xml:space="preserve"> </w:t>
      </w:r>
      <w:r>
        <w:t xml:space="preserve">При расчёте тарифа на обеспечение питанием учитывать не только продуктовый набор, но и организационную составляющую выбора, если субъект поддерживает вариативное питание как политику (п. 3.2).</w:t>
      </w:r>
    </w:p>
    <w:p>
      <w:pPr>
        <w:pStyle w:val="Compact"/>
        <w:numPr>
          <w:ilvl w:val="0"/>
          <w:numId w:val="101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[14]) и требовать от участников публикации измерений (отходы, распределение выбора, удовлетворённость), а не только описаний.</w:t>
      </w:r>
    </w:p>
    <w:bookmarkEnd w:id="132"/>
    <w:bookmarkStart w:id="133" w:name="уровень-учреждения"/>
    <w:p>
      <w:pPr>
        <w:pStyle w:val="Heading2"/>
      </w:pPr>
      <w:r>
        <w:rPr>
          <w:rStyle w:val="SectionNumber"/>
        </w:rPr>
        <w:t xml:space="preserve">10.3</w:t>
      </w:r>
      <w:r>
        <w:tab/>
      </w:r>
      <w:r>
        <w:t xml:space="preserve">Уровень учреждения</w:t>
      </w:r>
    </w:p>
    <w:p>
      <w:pPr>
        <w:pStyle w:val="Compact"/>
        <w:numPr>
          <w:ilvl w:val="0"/>
          <w:numId w:val="1015"/>
        </w:numPr>
      </w:pPr>
      <w:r>
        <w:rPr>
          <w:b/>
          <w:bCs/>
        </w:rPr>
        <w:t xml:space="preserve">Начинать с пары внутри группы</w:t>
      </w:r>
      <w:r>
        <w:t xml:space="preserve"> </w:t>
      </w:r>
      <w:r>
        <w:t xml:space="preserve">в одном приёме пищи одного отделения (сценарии 2 и 9).</w:t>
      </w:r>
    </w:p>
    <w:p>
      <w:pPr>
        <w:pStyle w:val="Compact"/>
        <w:numPr>
          <w:ilvl w:val="0"/>
          <w:numId w:val="1015"/>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(сценарий 7).</w:t>
      </w:r>
    </w:p>
    <w:p>
      <w:pPr>
        <w:pStyle w:val="Compact"/>
        <w:numPr>
          <w:ilvl w:val="0"/>
          <w:numId w:val="1015"/>
        </w:numPr>
      </w:pPr>
      <w:r>
        <w:rPr>
          <w:b/>
          <w:bCs/>
        </w:rPr>
        <w:t xml:space="preserve">Измерять до и после</w:t>
      </w:r>
      <w:r>
        <w:t xml:space="preserve"> </w:t>
      </w:r>
      <w:r>
        <w:t xml:space="preserve">хотя бы отходы с тарелки и распределение выбора (сценарий 8, п. 7.12).</w:t>
      </w:r>
    </w:p>
    <w:p>
      <w:pPr>
        <w:pStyle w:val="Compact"/>
        <w:numPr>
          <w:ilvl w:val="0"/>
          <w:numId w:val="1015"/>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и 10).</w:t>
      </w:r>
    </w:p>
    <w:p>
      <w:pPr>
        <w:pStyle w:val="Compact"/>
        <w:numPr>
          <w:ilvl w:val="0"/>
          <w:numId w:val="1015"/>
        </w:numPr>
      </w:pPr>
      <w:r>
        <w:rPr>
          <w:b/>
          <w:bCs/>
        </w:rPr>
        <w:t xml:space="preserve">Публиковать результаты</w:t>
      </w:r>
      <w:r>
        <w:t xml:space="preserve"> </w:t>
      </w:r>
      <w:r>
        <w:t xml:space="preserve">с датами и числами, включая неудачи. Пока российские сообщения состоят из описаний без измерений (п. 4.10), спор о пользе и вреде выбора будет вестись аргументами мнения.</w:t>
      </w:r>
    </w:p>
    <w:bookmarkEnd w:id="133"/>
    <w:bookmarkEnd w:id="134"/>
    <w:bookmarkStart w:id="135" w:name="заключение"/>
    <w:p>
      <w:pPr>
        <w:pStyle w:val="Heading1"/>
      </w:pPr>
      <w:r>
        <w:rPr>
          <w:rStyle w:val="SectionNumber"/>
        </w:rPr>
        <w:t xml:space="preserve">11</w:t>
      </w:r>
      <w:r>
        <w:tab/>
      </w:r>
      <w:r>
        <w:t xml:space="preserve">Заключение</w:t>
      </w:r>
    </w:p>
    <w:p>
      <w:pPr>
        <w:pStyle w:val="FirstParagraph"/>
      </w:pPr>
      <w:r>
        <w:t xml:space="preserve">Исследование позволяет сформулировать девять выводов. Класс каждого утверждения указан в соответствующем разделе; здесь выводы сведены без повторения ссылок там, где они уже приведены в тексте.</w:t>
      </w:r>
    </w:p>
    <w:p>
      <w:pPr>
        <w:numPr>
          <w:ilvl w:val="0"/>
          <w:numId w:val="101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[18].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19, 21, 26, 31]. Для жителей ПНИ к этому добавляются гарантии Закона № 3185-1, включая право соблюдать религиозные каноны (ч. 2 ст. 37 в силу ст. 43) [20],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[21]. Постный вариант блюда в пост поэтому относится к исполнению обязанности, а не к инициативе кухни.</w:t>
      </w:r>
    </w:p>
    <w:p>
      <w:pPr>
        <w:numPr>
          <w:ilvl w:val="0"/>
          <w:numId w:val="1016"/>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молчит о числе вариантов, но через требования к технологическому документу на каждое блюдо (п. 11), к трёхчасовому пределу на раздаче и запрету реализации остатков на следующий день (п. 32) и к бракеражу каждого блюда (подп. 13 п. 56) делает каждый дополнительный вариант отдельным объектом производственного контроля.</w:t>
      </w:r>
    </w:p>
    <w:p>
      <w:pPr>
        <w:numPr>
          <w:ilvl w:val="0"/>
          <w:numId w:val="1016"/>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Постановление Санкт-Петербурга № 1284 положений о замене не содержит. Поэтому выбор между мясом и рыбой юридически уязвимее выбора между гречкой и рисом, хотя обе пары могут быть эквивалентны по пищевой ценности.</w:t>
      </w:r>
    </w:p>
    <w:p>
      <w:pPr>
        <w:numPr>
          <w:ilvl w:val="0"/>
          <w:numId w:val="1016"/>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группам продуктов; внутри группы (крупы, овощи,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6"/>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С июня 2026 г. в Вологодской области работает межрегиональная площадка. Ни одно учреждение не опубликовало данных о потреблении, отходах или стоимости. Сообщения учреждений — самоотчёты, а не результаты проверки.</w:t>
      </w:r>
    </w:p>
    <w:p>
      <w:pPr>
        <w:numPr>
          <w:ilvl w:val="0"/>
          <w:numId w:val="101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[61]. Те же данные показывают цену выбора в момент еды: рост производственных отходов и стоимости примерно на 9–20 % [61]. Систематические обзоры оценивают эффект вмешательств в организацию питания на пищевой статус как небольшой и плохо измеренный [69, 70].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[71] и в условиях нормированного набора не проверено.</w:t>
      </w:r>
    </w:p>
    <w:p>
      <w:pPr>
        <w:numPr>
          <w:ilvl w:val="0"/>
          <w:numId w:val="101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[83, 85, 86]. Ни один из изученных актов не устанавливает минимального числа вторых блюд. Перенос этих формул в российское право возможен только через акт федерального или регионального уровня.</w:t>
      </w:r>
    </w:p>
    <w:p>
      <w:pPr>
        <w:numPr>
          <w:ilvl w:val="0"/>
          <w:numId w:val="1016"/>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[64], и канадские данные о том, что пища изменённой консистенции назначена 47 % жителей [78], показывают: вариативное меню, рассчитанное на ходячих и говорящих, может не дойти до значительной части дома. Включение маломобильных и невербальных жителей — условие, а не следующий этап.</w:t>
      </w:r>
    </w:p>
    <w:p>
      <w:pPr>
        <w:numPr>
          <w:ilvl w:val="0"/>
          <w:numId w:val="1016"/>
        </w:numPr>
      </w:pPr>
      <w:r>
        <w:rPr>
          <w:b/>
          <w:bCs/>
        </w:rPr>
        <w:t xml:space="preserve">Противоречия не устранены, а названы.</w:t>
      </w:r>
      <w:r>
        <w:t xml:space="preserve"> </w:t>
      </w:r>
      <w:r>
        <w:t xml:space="preserve">Глава 9 перечисляет 30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решением органа, уполномоченного на разъяснение или нормотворчество.</w:t>
      </w:r>
    </w:p>
    <w:p>
      <w:pPr>
        <w:pStyle w:val="FirstParagraph"/>
      </w:pPr>
      <w:r>
        <w:t xml:space="preserve">Практический итог для руководителя учреждения сводится к трём требованиям, обоснованным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измерять результат — хотя бы распределение выбора и отходы с тарелки — до и после изменений. Предложения главы 10 являются рекомендациями автора и не выражают позицию какого-либо органа.</w:t>
      </w:r>
    </w:p>
    <w:bookmarkEnd w:id="135"/>
    <w:bookmarkStart w:id="136"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17"/>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1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1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17"/>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17"/>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17"/>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1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17"/>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1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1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1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1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17"/>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17"/>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17"/>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17"/>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17"/>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1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17"/>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1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17"/>
        </w:numPr>
      </w:pPr>
      <w:r>
        <w:t xml:space="preserve">[н] Правила внутреннего распорядка СПб ГАСУСОН «ДСО „Серафимовский“» (утв. приказом от 10.03.2026 № 124). Архивная копия сайта учреждения от 15.04.2026. — URL: https://web.archive.org/web/20260415001233/https://www.pni9.ru/правила-внутреннего-распорядка/ (дата обращения: 21.08.2026).</w:t>
      </w:r>
    </w:p>
    <w:p>
      <w:pPr>
        <w:pStyle w:val="Compact"/>
        <w:numPr>
          <w:ilvl w:val="0"/>
          <w:numId w:val="1017"/>
        </w:numPr>
      </w:pPr>
      <w:r>
        <w:t xml:space="preserve">[н] Питание / ГАСУСО МО «Добрый дом „Солнечногорский“». — URL: https://ddsol.ru/about/pitanie/ (дата обращения: 05.10.2026).</w:t>
      </w:r>
    </w:p>
    <w:p>
      <w:pPr>
        <w:pStyle w:val="Compact"/>
        <w:numPr>
          <w:ilvl w:val="0"/>
          <w:numId w:val="1017"/>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1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1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1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 URL: https://base.garant.ru/22921449/ (дата обращения: 05.10.2026).</w:t>
      </w:r>
    </w:p>
    <w:p>
      <w:pPr>
        <w:pStyle w:val="Compact"/>
        <w:numPr>
          <w:ilvl w:val="0"/>
          <w:numId w:val="101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1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17"/>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17"/>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1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7"/>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1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17"/>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1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17"/>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17"/>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1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17"/>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1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17"/>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17"/>
        </w:numPr>
      </w:pPr>
      <w:r>
        <w:t xml:space="preserve">[н] Письмо Минфина России от 29.12.2014 № 02-02-08/68298. — URL: https://base.garant.ru/70853116/ (дата обращения: 05.10.2026).</w:t>
      </w:r>
    </w:p>
    <w:p>
      <w:pPr>
        <w:pStyle w:val="Compact"/>
        <w:numPr>
          <w:ilvl w:val="0"/>
          <w:numId w:val="1017"/>
        </w:numPr>
      </w:pPr>
      <w:r>
        <w:t xml:space="preserve">[н] Сообщение об определении Верховного Суда РФ от 28.01.2026 № 303-ЭС25-15393 (блог pro-ability.ru; первоисточник не проверен; в докладе не используется как установленный факт).</w:t>
      </w:r>
    </w:p>
    <w:p>
      <w:pPr>
        <w:pStyle w:val="Compact"/>
        <w:numPr>
          <w:ilvl w:val="0"/>
          <w:numId w:val="1017"/>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17"/>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17"/>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17"/>
        </w:numPr>
      </w:pPr>
      <w:r>
        <w:t xml:space="preserve">[н] Постановление Верховного Суда РФ от 21.02.2019 № 11-АД19-4. — URL: https://www.garant.ru/products/ipo/prime/doc/72095418/ (дата обращения: 05.10.2026).</w:t>
      </w:r>
    </w:p>
    <w:p>
      <w:pPr>
        <w:pStyle w:val="Compact"/>
        <w:numPr>
          <w:ilvl w:val="0"/>
          <w:numId w:val="1017"/>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17"/>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1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1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1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 распоряжение от 15.12.2025 № 1155-р (тарифы на 2026 г.): http://publication.pravo.gov.ru/document/7801202512190004 (дата обращения: 05.10.2026).</w:t>
      </w:r>
    </w:p>
    <w:p>
      <w:pPr>
        <w:pStyle w:val="Compact"/>
        <w:numPr>
          <w:ilvl w:val="0"/>
          <w:numId w:val="1017"/>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17"/>
        </w:numPr>
      </w:pPr>
      <w:r>
        <w:t xml:space="preserve">[о] Приказ Департамента труда и социальной защиты населения города Москвы от 22.03.2021 № 228 «Об утверждении норм питания…». — URL: https://base.garant.ru/405012407/ (дата обращения: 05.10.2026).</w:t>
      </w:r>
    </w:p>
    <w:p>
      <w:pPr>
        <w:pStyle w:val="Compact"/>
        <w:numPr>
          <w:ilvl w:val="0"/>
          <w:numId w:val="101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17"/>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17"/>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17"/>
        </w:numPr>
      </w:pPr>
      <w:r>
        <w:t xml:space="preserve">[н] Постановление Правительства Красноярского края от 17.12.2014 № 607-п (нормы питания), актуальная редакция; постановление Правительства Ленинградской области № 458; постановление Правительства ХМАО — Югры № 306-п (реквизиты — по докладу [80]; тексты не анализировались). — URL: https://ctonus.ru/f/normy_pitaniya.docx (дата обращения: 23.07.2026).</w:t>
      </w:r>
    </w:p>
    <w:p>
      <w:pPr>
        <w:pStyle w:val="Compact"/>
        <w:numPr>
          <w:ilvl w:val="0"/>
          <w:numId w:val="101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17"/>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17"/>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17"/>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17"/>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17"/>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17"/>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17"/>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17"/>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17"/>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17"/>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17"/>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17"/>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17"/>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17"/>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17"/>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17"/>
        </w:numPr>
      </w:pPr>
      <w:r>
        <w:t xml:space="preserve">[н] Roulston M., Thompson C., Pelly F., Cave D. Food waste in residential aged care: A scoping review // Nutrition &amp; Dietetics. 2026. Vol. 83, № 1. P. 56–73. DOI: 10.1111/1747-0080.70034.</w:t>
      </w:r>
    </w:p>
    <w:p>
      <w:pPr>
        <w:pStyle w:val="Compact"/>
        <w:numPr>
          <w:ilvl w:val="0"/>
          <w:numId w:val="1017"/>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17"/>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17"/>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17"/>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17"/>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17"/>
        </w:numPr>
      </w:pPr>
      <w:r>
        <w:t xml:space="preserve">[н] Hugo C., Isenring E., Sinclair D., Agarwal E. What does it cost to feed aged care residents in Australia? // Nutrition &amp; Dietetics. 2018. Vol. 75, № 1. P. 6–10. DOI: 10.1111/1747-0080.12368.</w:t>
      </w:r>
    </w:p>
    <w:p>
      <w:pPr>
        <w:pStyle w:val="Compact"/>
        <w:numPr>
          <w:ilvl w:val="0"/>
          <w:numId w:val="1017"/>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17"/>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17"/>
        </w:numPr>
      </w:pPr>
      <w:r>
        <w:t xml:space="preserve">[н] 42 CFR § 483.60. Food and nutrition services. — URL: https://www.law.cornell.edu/cfr/text/42/483.60 (дата обращения: 05.10.2026).</w:t>
      </w:r>
    </w:p>
    <w:p>
      <w:pPr>
        <w:pStyle w:val="Compact"/>
        <w:numPr>
          <w:ilvl w:val="0"/>
          <w:numId w:val="1017"/>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17"/>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17"/>
        </w:numPr>
      </w:pPr>
      <w:r>
        <w:t xml:space="preserve">[н] Deutsche Gesellschaft für Ernährung e. V. DGE-Qualitätsstandard für die Verpflegung in Senioreneinrichtungen. Bonn. — URL: https://www.fitimalter-dge.de/ (дата обращения: 05.10.2026).</w:t>
      </w:r>
    </w:p>
    <w:p>
      <w:pPr>
        <w:pStyle w:val="Compact"/>
        <w:numPr>
          <w:ilvl w:val="0"/>
          <w:numId w:val="1017"/>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17"/>
        </w:numPr>
      </w:pPr>
      <w:r>
        <w:t xml:space="preserve">[н] Livsmedelsverket. Bra måltider i äldreomsorgen. Uppsala. — URL: https://www.livsmedelsverket.se/ (дата обращения: 05.10.2026).</w:t>
      </w:r>
    </w:p>
    <w:p>
      <w:pPr>
        <w:pStyle w:val="Compact"/>
        <w:numPr>
          <w:ilvl w:val="0"/>
          <w:numId w:val="1017"/>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17"/>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17"/>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17"/>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17"/>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17"/>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17"/>
        </w:numPr>
      </w:pPr>
      <w:r>
        <w:t xml:space="preserve">[о] Федеральный закон от 02.01.2000 № 29-ФЗ «О качестве и безопасности пищевых продуктов». — URL: https://base.garant.ru/12117866/ (дата обращения: 05.10.2026).</w:t>
      </w:r>
    </w:p>
    <w:p>
      <w:pPr>
        <w:pStyle w:val="Compact"/>
        <w:numPr>
          <w:ilvl w:val="0"/>
          <w:numId w:val="1017"/>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bookmarkEnd w:id="136"/>
    <w:bookmarkStart w:id="137"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И — иностранный акт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[28]</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[29]</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[18]</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[20]</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[96]</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[97]</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w:t>
            </w:r>
          </w:p>
        </w:tc>
        <w:tc>
          <w:tcPr/>
          <w:p>
            <w:pPr>
              <w:pStyle w:val="Compact"/>
            </w:pPr>
            <w:r>
              <w:t xml:space="preserve">[98]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[41]</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[42]</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[46]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[21]</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[19]</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[26]</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[25]</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[32]</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w:t>
            </w:r>
          </w:p>
        </w:tc>
        <w:tc>
          <w:tcPr/>
          <w:p>
            <w:pPr>
              <w:pStyle w:val="Compact"/>
            </w:pPr>
            <w:r>
              <w:t xml:space="preserve">[2]</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[34]</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[36]</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[37]</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[38]</w:t>
            </w:r>
          </w:p>
        </w:tc>
      </w:tr>
      <w:tr>
        <w:tc>
          <w:tcPr/>
          <w:p>
            <w:pPr>
              <w:pStyle w:val="Compact"/>
            </w:pPr>
            <w:r>
              <w:t xml:space="preserve">22</w:t>
            </w:r>
          </w:p>
        </w:tc>
        <w:tc>
          <w:tcPr/>
          <w:p>
            <w:pPr>
              <w:pStyle w:val="Compact"/>
            </w:pPr>
            <w:r>
              <w:t xml:space="preserve">Пост. Правительства СПб от 29.12.2014 № 1284 (ред. 27.06.2022 № 561)</w:t>
            </w:r>
          </w:p>
        </w:tc>
        <w:tc>
          <w:tcPr/>
          <w:p>
            <w:pPr>
              <w:pStyle w:val="Compact"/>
            </w:pPr>
            <w:r>
              <w:t xml:space="preserve">Н</w:t>
            </w:r>
          </w:p>
        </w:tc>
        <w:tc>
          <w:tcPr/>
          <w:p>
            <w:pPr>
              <w:pStyle w:val="Compact"/>
            </w:pPr>
            <w:r>
              <w:t xml:space="preserve">Нормы питания СПб; две нормы для ПНИ</w:t>
            </w:r>
          </w:p>
        </w:tc>
        <w:tc>
          <w:tcPr/>
          <w:p>
            <w:pPr>
              <w:pStyle w:val="Compact"/>
            </w:pPr>
            <w:r>
              <w:t xml:space="preserve">[27]</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[52]</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w:t>
            </w:r>
          </w:p>
        </w:tc>
        <w:tc>
          <w:tcPr/>
          <w:p>
            <w:pPr>
              <w:pStyle w:val="Compact"/>
            </w:pPr>
            <w:r>
              <w:t xml:space="preserve">[53]</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[51]</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[55]</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[35]</w:t>
            </w:r>
          </w:p>
        </w:tc>
      </w:tr>
      <w:tr>
        <w:tc>
          <w:tcPr/>
          <w:p>
            <w:pPr>
              <w:pStyle w:val="Compact"/>
            </w:pPr>
            <w:r>
              <w:t xml:space="preserve">28</w:t>
            </w:r>
          </w:p>
        </w:tc>
        <w:tc>
          <w:tcPr/>
          <w:p>
            <w:pPr>
              <w:pStyle w:val="Compact"/>
            </w:pPr>
            <w:r>
              <w:t xml:space="preserve">Пост. Правительства Нижегородской обл. от 20.10.2014 № 709</w:t>
            </w:r>
          </w:p>
        </w:tc>
        <w:tc>
          <w:tcPr/>
          <w:p>
            <w:pPr>
              <w:pStyle w:val="Compact"/>
            </w:pPr>
            <w:r>
              <w:t xml:space="preserve">Н</w:t>
            </w:r>
          </w:p>
        </w:tc>
        <w:tc>
          <w:tcPr/>
          <w:p>
            <w:pPr>
              <w:pStyle w:val="Compact"/>
            </w:pPr>
            <w:r>
              <w:t xml:space="preserve">Нормы питания</w:t>
            </w:r>
          </w:p>
        </w:tc>
        <w:tc>
          <w:tcPr/>
          <w:p>
            <w:pPr>
              <w:pStyle w:val="Compact"/>
            </w:pPr>
            <w:r>
              <w:t xml:space="preserve">[56]</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[57]</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[58]</w:t>
            </w:r>
          </w:p>
        </w:tc>
      </w:tr>
      <w:tr>
        <w:tc>
          <w:tcPr/>
          <w:p>
            <w:pPr>
              <w:pStyle w:val="Compact"/>
            </w:pPr>
            <w:r>
              <w:t xml:space="preserve">31</w:t>
            </w:r>
          </w:p>
        </w:tc>
        <w:tc>
          <w:tcPr/>
          <w:p>
            <w:pPr>
              <w:pStyle w:val="Compact"/>
            </w:pPr>
            <w:r>
              <w:t xml:space="preserve">Пост. Правительства Красноярского края от 17.12.2014 № 607-п</w:t>
            </w:r>
          </w:p>
        </w:tc>
        <w:tc>
          <w:tcPr/>
          <w:p>
            <w:pPr>
              <w:pStyle w:val="Compact"/>
            </w:pPr>
            <w:r>
              <w:t xml:space="preserve">Н</w:t>
            </w:r>
          </w:p>
        </w:tc>
        <w:tc>
          <w:tcPr/>
          <w:p>
            <w:pPr>
              <w:pStyle w:val="Compact"/>
            </w:pPr>
            <w:r>
              <w:t xml:space="preserve">Нормы питания (не анализировалось)</w:t>
            </w:r>
          </w:p>
        </w:tc>
        <w:tc>
          <w:tcPr/>
          <w:p>
            <w:pPr>
              <w:pStyle w:val="Compact"/>
            </w:pPr>
            <w:r>
              <w:t xml:space="preserve">[59]</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[23])</w:t>
            </w:r>
          </w:p>
        </w:tc>
        <w:tc>
          <w:tcPr/>
          <w:p>
            <w:pPr>
              <w:pStyle w:val="Compact"/>
            </w:pPr>
            <w:r>
              <w:t xml:space="preserve">[23]</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[13]</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заказное питание</w:t>
            </w:r>
          </w:p>
        </w:tc>
        <w:tc>
          <w:tcPr/>
          <w:p>
            <w:pPr>
              <w:pStyle w:val="Compact"/>
            </w:pPr>
            <w:r>
              <w:t xml:space="preserve">[22]</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[83]</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[84]</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[85]</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[86]</w:t>
            </w:r>
          </w:p>
        </w:tc>
      </w:tr>
    </w:tbl>
    <w:bookmarkEnd w:id="137"/>
    <w:bookmarkStart w:id="138"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Нетто, граммы на человека в сутки, если не указано иное [27]. Столбцы: (1) учреждения, кроме ПНИ; (2) ПНИ, норма с СБКС; (3) лица с сахарным диабетом; (4) лица с заболеваниями ЖКТ; (5) ПНИ, норма без СБКС; (6) рекомендуемая норма приказа № 520н для лиц 18 лет и старше [26].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100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150</w:t>
            </w:r>
          </w:p>
        </w:tc>
      </w:tr>
      <w:tr>
        <w:tc>
          <w:tcPr/>
          <w:p>
            <w:pPr>
              <w:pStyle w:val="Compact"/>
            </w:pPr>
            <w:r>
              <w:t xml:space="preserve">Мука пшеничная</w:t>
            </w:r>
          </w:p>
        </w:tc>
        <w:tc>
          <w:tcPr/>
          <w:p>
            <w:pPr>
              <w:pStyle w:val="Compact"/>
            </w:pPr>
            <w:r>
              <w:t xml:space="preserve">45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r>
      <w:tr>
        <w:tc>
          <w:tcPr/>
          <w:p>
            <w:pPr>
              <w:pStyle w:val="Compact"/>
            </w:pPr>
            <w:r>
              <w:t xml:space="preserve">Мука картофельная (крахмал)</w:t>
            </w:r>
          </w:p>
        </w:tc>
        <w:tc>
          <w:tcPr/>
          <w:p>
            <w:pPr>
              <w:pStyle w:val="Compact"/>
            </w:pPr>
            <w:r>
              <w:t xml:space="preserve">2,5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80</w:t>
            </w:r>
          </w:p>
        </w:tc>
      </w:tr>
      <w:tr>
        <w:tc>
          <w:tcPr/>
          <w:p>
            <w:pPr>
              <w:pStyle w:val="Compact"/>
            </w:pPr>
            <w:r>
              <w:t xml:space="preserve">Овощи (все группы)</w:t>
            </w:r>
          </w:p>
        </w:tc>
        <w:tc>
          <w:tcPr/>
          <w:p>
            <w:pPr>
              <w:pStyle w:val="Compact"/>
            </w:pPr>
            <w:r>
              <w:t xml:space="preserve">318</w:t>
            </w:r>
          </w:p>
        </w:tc>
        <w:tc>
          <w:tcPr/>
          <w:p>
            <w:pPr>
              <w:pStyle w:val="Compact"/>
            </w:pPr>
            <w:r>
              <w:t xml:space="preserve">380</w:t>
            </w:r>
          </w:p>
        </w:tc>
        <w:tc>
          <w:tcPr/>
          <w:p>
            <w:pPr>
              <w:pStyle w:val="Compact"/>
            </w:pPr>
            <w:r>
              <w:t xml:space="preserve">402</w:t>
            </w:r>
          </w:p>
        </w:tc>
        <w:tc>
          <w:tcPr/>
          <w:p>
            <w:pPr>
              <w:pStyle w:val="Compact"/>
            </w:pPr>
            <w:r>
              <w:t xml:space="preserve">233,6</w:t>
            </w:r>
          </w:p>
        </w:tc>
        <w:tc>
          <w:tcPr/>
          <w:p>
            <w:pPr>
              <w:pStyle w:val="Compact"/>
            </w:pPr>
            <w:r>
              <w:t xml:space="preserve">380</w:t>
            </w:r>
          </w:p>
        </w:tc>
        <w:tc>
          <w:tcPr/>
          <w:p>
            <w:pPr>
              <w:pStyle w:val="Compact"/>
            </w:pPr>
            <w:r>
              <w:t xml:space="preserve">394,5¹</w:t>
            </w:r>
          </w:p>
        </w:tc>
      </w:tr>
      <w:tr>
        <w:tc>
          <w:tcPr/>
          <w:p>
            <w:pPr>
              <w:pStyle w:val="Compact"/>
            </w:pPr>
            <w:r>
              <w:t xml:space="preserve">Картофель</w:t>
            </w:r>
          </w:p>
        </w:tc>
        <w:tc>
          <w:tcPr/>
          <w:p>
            <w:pPr>
              <w:pStyle w:val="Compact"/>
            </w:pPr>
            <w:r>
              <w:t xml:space="preserve">168</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r>
      <w:tr>
        <w:tc>
          <w:tcPr/>
          <w:p>
            <w:pPr>
              <w:pStyle w:val="Compact"/>
            </w:pPr>
            <w:r>
              <w:t xml:space="preserve">Фрукты и ягоды свежие</w:t>
            </w:r>
          </w:p>
        </w:tc>
        <w:tc>
          <w:tcPr/>
          <w:p>
            <w:pPr>
              <w:pStyle w:val="Compact"/>
            </w:pPr>
            <w:r>
              <w:t xml:space="preserve">200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r>
      <w:tr>
        <w:tc>
          <w:tcPr/>
          <w:p>
            <w:pPr>
              <w:pStyle w:val="Compact"/>
            </w:pPr>
            <w:r>
              <w:t xml:space="preserve">Сухофрукты, шиповник</w:t>
            </w:r>
          </w:p>
        </w:tc>
        <w:tc>
          <w:tcPr/>
          <w:p>
            <w:pPr>
              <w:pStyle w:val="Compact"/>
            </w:pPr>
            <w:r>
              <w:t xml:space="preserve">10</w:t>
            </w:r>
          </w:p>
        </w:tc>
        <w:tc>
          <w:tcPr/>
          <w:p>
            <w:pPr>
              <w:pStyle w:val="Compact"/>
            </w:pPr>
            <w:r>
              <w:t xml:space="preserve">16</w:t>
            </w:r>
          </w:p>
        </w:tc>
        <w:tc>
          <w:tcPr/>
          <w:p>
            <w:pPr>
              <w:pStyle w:val="Compact"/>
            </w:pPr>
            <w:r>
              <w:t xml:space="preserve">81</w:t>
            </w:r>
          </w:p>
        </w:tc>
        <w:tc>
          <w:tcPr/>
          <w:p>
            <w:pPr>
              <w:pStyle w:val="Compact"/>
            </w:pPr>
            <w:r>
              <w:t xml:space="preserve">10</w:t>
            </w:r>
          </w:p>
        </w:tc>
        <w:tc>
          <w:tcPr/>
          <w:p>
            <w:pPr>
              <w:pStyle w:val="Compact"/>
            </w:pPr>
            <w:r>
              <w:t xml:space="preserve">16</w:t>
            </w:r>
          </w:p>
        </w:tc>
        <w:tc>
          <w:tcPr/>
          <w:p>
            <w:pPr>
              <w:pStyle w:val="Compact"/>
            </w:pPr>
            <w:r>
              <w:t xml:space="preserve">20 + 15²</w:t>
            </w:r>
          </w:p>
        </w:tc>
      </w:tr>
      <w:tr>
        <w:tc>
          <w:tcPr/>
          <w:p>
            <w:pPr>
              <w:pStyle w:val="Compact"/>
            </w:pPr>
            <w:r>
              <w:t xml:space="preserve">Соки</w:t>
            </w:r>
          </w:p>
        </w:tc>
        <w:tc>
          <w:tcPr/>
          <w:p>
            <w:pPr>
              <w:pStyle w:val="Compact"/>
            </w:pPr>
            <w:r>
              <w:t xml:space="preserve">60</w:t>
            </w:r>
          </w:p>
        </w:tc>
        <w:tc>
          <w:tcPr/>
          <w:p>
            <w:pPr>
              <w:pStyle w:val="Compact"/>
            </w:pPr>
            <w:r>
              <w:t xml:space="preserve">60</w:t>
            </w:r>
          </w:p>
        </w:tc>
        <w:tc>
          <w:tcPr/>
          <w:p>
            <w:pPr>
              <w:pStyle w:val="Compact"/>
            </w:pPr>
            <w:r>
              <w:t xml:space="preserve">66³</w:t>
            </w:r>
          </w:p>
        </w:tc>
        <w:tc>
          <w:tcPr/>
          <w:p>
            <w:pPr>
              <w:pStyle w:val="Compact"/>
            </w:pPr>
            <w:r>
              <w:t xml:space="preserve">74</w:t>
            </w:r>
          </w:p>
        </w:tc>
        <w:tc>
          <w:tcPr/>
          <w:p>
            <w:pPr>
              <w:pStyle w:val="Compact"/>
            </w:pPr>
            <w:r>
              <w:t xml:space="preserve">60</w:t>
            </w:r>
          </w:p>
        </w:tc>
        <w:tc>
          <w:tcPr/>
          <w:p>
            <w:pPr>
              <w:pStyle w:val="Compact"/>
            </w:pPr>
            <w:r>
              <w:t xml:space="preserve">100 мл</w:t>
            </w:r>
          </w:p>
        </w:tc>
      </w:tr>
      <w:tr>
        <w:tc>
          <w:tcPr/>
          <w:p>
            <w:pPr>
              <w:pStyle w:val="Compact"/>
            </w:pPr>
            <w:r>
              <w:t xml:space="preserve">Мясо (говядина, свинина)</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90</w:t>
            </w:r>
          </w:p>
        </w:tc>
      </w:tr>
      <w:tr>
        <w:tc>
          <w:tcPr/>
          <w:p>
            <w:pPr>
              <w:pStyle w:val="Compact"/>
            </w:pPr>
            <w:r>
              <w:t xml:space="preserve">Птица</w:t>
            </w:r>
          </w:p>
        </w:tc>
        <w:tc>
          <w:tcPr/>
          <w:p>
            <w:pPr>
              <w:pStyle w:val="Compact"/>
            </w:pPr>
            <w:r>
              <w:t xml:space="preserve">40</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r>
      <w:tr>
        <w:tc>
          <w:tcPr/>
          <w:p>
            <w:pPr>
              <w:pStyle w:val="Compact"/>
            </w:pPr>
            <w:r>
              <w:t xml:space="preserve">Колбаса, колбасные изделия</w:t>
            </w:r>
          </w:p>
        </w:tc>
        <w:tc>
          <w:tcPr/>
          <w:p>
            <w:pPr>
              <w:pStyle w:val="Compact"/>
            </w:pPr>
            <w:r>
              <w:t xml:space="preserve">25</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r>
      <w:tr>
        <w:tc>
          <w:tcPr/>
          <w:p>
            <w:pPr>
              <w:pStyle w:val="Compact"/>
            </w:pPr>
            <w:r>
              <w:t xml:space="preserve">Рыба, рыбопродукты</w:t>
            </w:r>
          </w:p>
        </w:tc>
        <w:tc>
          <w:tcPr/>
          <w:p>
            <w:pPr>
              <w:pStyle w:val="Compact"/>
            </w:pPr>
            <w:r>
              <w:t xml:space="preserve">41,8</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r>
      <w:tr>
        <w:tc>
          <w:tcPr/>
          <w:p>
            <w:pPr>
              <w:pStyle w:val="Compact"/>
            </w:pPr>
            <w:r>
              <w:t xml:space="preserve">Сыр</w:t>
            </w:r>
          </w:p>
        </w:tc>
        <w:tc>
          <w:tcPr/>
          <w:p>
            <w:pPr>
              <w:pStyle w:val="Compact"/>
            </w:pPr>
            <w:r>
              <w:t xml:space="preserve">14</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r>
      <w:tr>
        <w:tc>
          <w:tcPr/>
          <w:p>
            <w:pPr>
              <w:pStyle w:val="Compact"/>
            </w:pPr>
            <w:r>
              <w:t xml:space="preserve">Яйцо</w:t>
            </w:r>
          </w:p>
        </w:tc>
        <w:tc>
          <w:tcPr/>
          <w:p>
            <w:pPr>
              <w:pStyle w:val="Compact"/>
            </w:pPr>
            <w:r>
              <w:t xml:space="preserve">4 шт./нед</w:t>
            </w:r>
          </w:p>
        </w:tc>
        <w:tc>
          <w:tcPr/>
          <w:p>
            <w:pPr>
              <w:pStyle w:val="Compact"/>
            </w:pPr>
            <w:r>
              <w:t xml:space="preserve">4 шт./нед</w:t>
            </w:r>
          </w:p>
        </w:tc>
        <w:tc>
          <w:tcPr/>
          <w:p>
            <w:pPr>
              <w:pStyle w:val="Compact"/>
            </w:pPr>
            <w:r>
              <w:t xml:space="preserve">3,5 шт./нед</w:t>
            </w:r>
          </w:p>
        </w:tc>
        <w:tc>
          <w:tcPr/>
          <w:p>
            <w:pPr>
              <w:pStyle w:val="Compact"/>
            </w:pPr>
            <w:r>
              <w:t xml:space="preserve">4 шт./нед</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продукты</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 мл</w:t>
            </w:r>
          </w:p>
        </w:tc>
      </w:tr>
      <w:tr>
        <w:tc>
          <w:tcPr/>
          <w:p>
            <w:pPr>
              <w:pStyle w:val="Compact"/>
            </w:pPr>
            <w:r>
              <w:t xml:space="preserve">Творог</w:t>
            </w:r>
          </w:p>
        </w:tc>
        <w:tc>
          <w:tcPr/>
          <w:p>
            <w:pPr>
              <w:pStyle w:val="Compact"/>
            </w:pPr>
            <w:r>
              <w:t xml:space="preserve">40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20 мл</w:t>
            </w:r>
          </w:p>
        </w:tc>
      </w:tr>
      <w:tr>
        <w:tc>
          <w:tcPr/>
          <w:p>
            <w:pPr>
              <w:pStyle w:val="Compact"/>
            </w:pPr>
            <w:r>
              <w:t xml:space="preserve">Маргарин</w:t>
            </w:r>
          </w:p>
        </w:tc>
        <w:tc>
          <w:tcPr/>
          <w:p>
            <w:pPr>
              <w:pStyle w:val="Compact"/>
            </w:pPr>
            <w:r>
              <w:t xml:space="preserve">10</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Сметана</w:t>
            </w:r>
          </w:p>
        </w:tc>
        <w:tc>
          <w:tcPr/>
          <w:p>
            <w:pPr>
              <w:pStyle w:val="Compact"/>
            </w:pPr>
            <w:r>
              <w:t xml:space="preserve">10</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50⁴</w:t>
            </w:r>
          </w:p>
        </w:tc>
      </w:tr>
      <w:tr>
        <w:tc>
          <w:tcPr/>
          <w:p>
            <w:pPr>
              <w:pStyle w:val="Compact"/>
            </w:pPr>
            <w:r>
              <w:t xml:space="preserve">Сахар</w:t>
            </w:r>
          </w:p>
        </w:tc>
        <w:tc>
          <w:tcPr/>
          <w:p>
            <w:pPr>
              <w:pStyle w:val="Compact"/>
            </w:pPr>
            <w:r>
              <w:t xml:space="preserve">57</w:t>
            </w:r>
          </w:p>
        </w:tc>
        <w:tc>
          <w:tcPr/>
          <w:p>
            <w:pPr>
              <w:pStyle w:val="Compact"/>
            </w:pPr>
            <w:r>
              <w:t xml:space="preserve">57</w:t>
            </w:r>
          </w:p>
        </w:tc>
        <w:tc>
          <w:tcPr/>
          <w:p>
            <w:pPr>
              <w:pStyle w:val="Compact"/>
            </w:pPr>
            <w:r>
              <w:t xml:space="preserve">15⁵</w:t>
            </w:r>
          </w:p>
        </w:tc>
        <w:tc>
          <w:tcPr/>
          <w:p>
            <w:pPr>
              <w:pStyle w:val="Compact"/>
            </w:pPr>
            <w:r>
              <w:t xml:space="preserve">53</w:t>
            </w:r>
          </w:p>
        </w:tc>
        <w:tc>
          <w:tcPr/>
          <w:p>
            <w:pPr>
              <w:pStyle w:val="Compact"/>
            </w:pPr>
            <w:r>
              <w:t xml:space="preserve">57</w:t>
            </w:r>
          </w:p>
        </w:tc>
        <w:tc>
          <w:tcPr/>
          <w:p>
            <w:pPr>
              <w:pStyle w:val="Compact"/>
            </w:pPr>
            <w:r>
              <w:t xml:space="preserve">(в составе 50⁴)</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кофейный напиток, какао</w:t>
            </w:r>
          </w:p>
        </w:tc>
        <w:tc>
          <w:tcPr/>
          <w:p>
            <w:pPr>
              <w:pStyle w:val="Compact"/>
            </w:pPr>
            <w:r>
              <w:t xml:space="preserve">1,5</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r>
      <w:tr>
        <w:tc>
          <w:tcPr/>
          <w:p>
            <w:pPr>
              <w:pStyle w:val="Compact"/>
            </w:pPr>
            <w:r>
              <w:t xml:space="preserve">Соль</w:t>
            </w:r>
          </w:p>
        </w:tc>
        <w:tc>
          <w:tcPr/>
          <w:p>
            <w:pPr>
              <w:pStyle w:val="Compact"/>
            </w:pPr>
            <w:r>
              <w:t xml:space="preserve">10</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r>
      <w:tr>
        <w:tc>
          <w:tcPr/>
          <w:p>
            <w:pPr>
              <w:pStyle w:val="Compact"/>
            </w:pPr>
            <w:r>
              <w:t xml:space="preserve">СБКС</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1 драже 3 раза в неделю</w:t>
            </w:r>
          </w:p>
        </w:tc>
        <w:tc>
          <w:tcPr/>
          <w:p>
            <w:pPr>
              <w:pStyle w:val="Compact"/>
            </w:pPr>
            <w:r>
              <w:t xml:space="preserve">1 драже 3 раза в неделю</w:t>
            </w:r>
          </w:p>
        </w:tc>
        <w:tc>
          <w:tcPr/>
          <w:p>
            <w:pPr>
              <w:pStyle w:val="Compact"/>
            </w:pPr>
            <w:r>
              <w:t xml:space="preserve">—</w:t>
            </w:r>
          </w:p>
        </w:tc>
        <w:tc>
          <w:tcPr/>
          <w:p>
            <w:pPr>
              <w:pStyle w:val="Compact"/>
            </w:pPr>
            <w:r>
              <w:t xml:space="preserve">—</w:t>
            </w:r>
          </w:p>
        </w:tc>
        <w:tc>
          <w:tcPr/>
          <w:p>
            <w:pPr>
              <w:pStyle w:val="Compact"/>
            </w:pPr>
            <w:r>
              <w:t xml:space="preserve">1 драже 3 раза в неделю</w:t>
            </w:r>
          </w:p>
        </w:tc>
        <w:tc>
          <w:tcPr/>
          <w:p>
            <w:pPr>
              <w:pStyle w:val="Compact"/>
            </w:pPr>
            <w:r>
              <w:t xml:space="preserve">50–100 % физиол. нормы по мед. показаниям</w:t>
            </w:r>
          </w:p>
        </w:tc>
      </w:tr>
    </w:tbl>
    <w:p>
      <w:pPr>
        <w:pStyle w:val="BodyText"/>
      </w:pPr>
      <w:r>
        <w:t xml:space="preserve">¹ Сумма: свежие 340 + солёные и маринованные 15 + зелень 14,8 + консервированные 24,7. ² Сухофрукты 20 и шиповник 15 указаны в приказе № 520н раздельно. ³ Для лиц с сахарным диабетом — «сок без сахара». ⁴ В приказе № 520н — единая позиция «сахар, варенье, печенье, кондитерские изделия». ⁵ Для лиц с сахарным диабетом сахар не входит в рецептуру блюд и выдаётся отдельно (примечание к постановлению № 1284).</w:t>
      </w:r>
    </w:p>
    <w:bookmarkEnd w:id="138"/>
    <w:bookmarkStart w:id="139"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[17]</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[20, 25, 26, 46]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[27, 52–54]</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[5–15, 22, 23]</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[83–91]</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[24, 33, 39, 61–70, 74–80, 82]</w:t>
            </w:r>
          </w:p>
        </w:tc>
      </w:tr>
      <w:tr>
        <w:tc>
          <w:tcPr/>
          <w:p>
            <w:pPr>
              <w:pStyle w:val="Compact"/>
            </w:pPr>
            <w:r>
              <w:t xml:space="preserve">Модели и рекомендации</w:t>
            </w:r>
          </w:p>
        </w:tc>
        <w:tc>
          <w:tcPr/>
          <w:p>
            <w:pPr>
              <w:pStyle w:val="Compact"/>
            </w:pPr>
            <w:r>
              <w:t xml:space="preserve">Модели внедрения заменены десятью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[15, 53, 61, 82]</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2026-10-05T10:52:09Z</dcterms:created>
  <dcterms:modified xsi:type="dcterms:W3CDTF">2026-10-05T10:52:09Z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